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eastAsia="Noto Serif CJK SC"/>
          <w:b/>
          <w:i w:val="0"/>
          <w:color w:val="1F4E79"/>
          <w:sz w:val="52"/>
        </w:rPr>
        <w:t>矩阵基本运算的意义</w:t>
      </w:r>
    </w:p>
    <w:p>
      <w:pPr>
        <w:spacing w:before="160"/>
        <w:jc w:val="center"/>
      </w:pPr>
      <w:r>
        <w:rPr>
          <w:rFonts w:ascii="Times New Roman" w:hAnsi="Times New Roman" w:eastAsia="Noto Serif CJK SC"/>
          <w:b/>
          <w:i w:val="0"/>
          <w:color w:val="595959"/>
          <w:sz w:val="32"/>
        </w:rPr>
        <w:t>加法、减法、数乘与乘法</w:t>
      </w:r>
    </w:p>
    <w:p>
      <w:pPr>
        <w:spacing w:before="560"/>
        <w:jc w:val="center"/>
      </w:pPr>
      <w:r>
        <w:rPr>
          <w:rFonts w:ascii="Times New Roman" w:hAnsi="Times New Roman" w:eastAsia="Noto Serif CJK SC"/>
          <w:b w:val="0"/>
          <w:i w:val="0"/>
          <w:color w:val="646464"/>
          <w:sz w:val="22"/>
        </w:rPr>
        <w:t>从元素运算、数据解释与线性变换三个层面理解</w:t>
      </w:r>
    </w:p>
    <w:p>
      <w:pPr>
        <w:jc w:val="center"/>
      </w:pPr>
      <w:r>
        <w:rPr>
          <w:rFonts w:ascii="Times New Roman" w:hAnsi="Times New Roman" w:eastAsia="Noto Serif CJK SC"/>
          <w:b w:val="0"/>
          <w:i w:val="0"/>
          <w:color w:val="B4C8E1"/>
          <w:sz w:val="20"/>
        </w:rPr>
        <w:t>━━━━━━━━━━━━━━━━━━━━━━━━━━━━</w:t>
      </w:r>
    </w:p>
    <w:p>
      <w:pPr>
        <w:spacing w:before="3200"/>
        <w:jc w:val="center"/>
      </w:pPr>
      <w:r>
        <w:rPr>
          <w:rFonts w:ascii="Times New Roman" w:hAnsi="Times New Roman" w:eastAsia="Noto Serif CJK SC"/>
          <w:b w:val="0"/>
          <w:i w:val="0"/>
          <w:color w:val="6E6E6E"/>
          <w:sz w:val="19"/>
        </w:rPr>
        <w:t>公式均采用可编辑的 Office Math（OMML）对象，可在 WPS 文字中直接编辑；公式变量统一为数学斜体。</w:t>
      </w:r>
      <w:r>
        <w:br w:type="page"/>
      </w:r>
    </w:p>
    <w:p>
      <w:pPr>
        <w:pStyle w:val="一级标题"/>
        <w:keepNext/>
        <w:pBdr>
          <w:bottom w:val="single" w:sz="8" w:space="5" w:color="B4C7E7"/>
        </w:pBdr>
      </w:pPr>
      <w:r>
        <w:rPr>
          <w:rFonts w:ascii="Times New Roman" w:hAnsi="Times New Roman" w:eastAsia="Noto Serif CJK SC"/>
          <w:b/>
          <w:i w:val="0"/>
          <w:color w:val="1F4E79"/>
          <w:sz w:val="30"/>
        </w:rPr>
        <w:t>一、整体认识</w:t>
      </w:r>
    </w:p>
    <w:p>
      <w:pPr>
        <w:pStyle w:val="正文"/>
        <w:spacing w:after="100"/>
        <w:ind w:firstLine="420"/>
      </w:pPr>
      <w:r>
        <w:rPr>
          <w:rFonts w:ascii="Times New Roman" w:hAnsi="Times New Roman" w:eastAsia="Noto Serif CJK SC"/>
          <w:b w:val="0"/>
          <w:i w:val="0"/>
          <w:sz w:val="22"/>
        </w:rPr>
        <w:t>矩阵不仅是一张按行、列排列的数表，还可以表示数据集合、线性方程组的系数关系以及线性变换。矩阵的加法、减法和数乘主要描述“同类对象的线性组合”，矩阵乘法则描述“不同线性变换的复合”或“输入数据经过规则映射后得到输出”。</w:t>
      </w:r>
    </w:p>
    <w:tbl>
      <w:tblPr>
        <w:tblW w:type="auto" w:w="0"/>
        <w:jc w:val="center"/>
        <w:tblLayout w:type="fixed"/>
        <w:tblLook w:firstColumn="1" w:firstRow="1" w:lastColumn="0" w:lastRow="0" w:noHBand="0" w:noVBand="1" w:val="04A0"/>
      </w:tblPr>
      <w:tblGrid>
        <w:gridCol w:w="8844"/>
      </w:tblGrid>
      <w:tr>
        <w:trPr>
          <w:cantSplit/>
        </w:trPr>
        <w:tc>
          <w:tcPr>
            <w:tcW w:type="dxa" w:w="8844"/>
            <w:shd w:fill="EAF2F8"/>
            <w:tcMar>
              <w:top w:w="120" w:type="dxa"/>
              <w:start w:w="180" w:type="dxa"/>
              <w:bottom w:w="120" w:type="dxa"/>
              <w:end w:w="180" w:type="dxa"/>
            </w:tcMar>
            <w:vAlign w:val="center"/>
          </w:tcPr>
          <w:p>
            <w:pPr>
              <w:keepNext/>
              <w:spacing w:after="40"/>
            </w:pPr>
            <w:r>
              <w:rPr>
                <w:rFonts w:ascii="Times New Roman" w:hAnsi="Times New Roman" w:eastAsia="Noto Serif CJK SC"/>
                <w:b/>
                <w:i w:val="0"/>
                <w:color w:val="1F4E79"/>
                <w:sz w:val="21"/>
              </w:rPr>
              <w:t>核心区别</w:t>
            </w:r>
          </w:p>
          <w:p>
            <w:pPr>
              <w:keepLines/>
              <w:spacing w:after="0"/>
            </w:pPr>
            <w:r>
              <w:rPr>
                <w:rFonts w:ascii="Times New Roman" w:hAnsi="Times New Roman" w:eastAsia="Noto Serif CJK SC"/>
                <w:b w:val="0"/>
                <w:i w:val="0"/>
                <w:sz w:val="21"/>
              </w:rPr>
              <w:t>加、减与数乘是在同一个矩阵空间内进行组合和缩放；矩阵乘法则把一个矩阵所表示的输出结构与另一个矩阵所表示的输入结构连接起来。</w:t>
            </w:r>
          </w:p>
        </w:tc>
      </w:tr>
    </w:tbl>
    <w:p>
      <w:pPr>
        <w:spacing w:after="0"/>
      </w:pPr>
    </w:p>
    <w:p>
      <w:pPr>
        <w:pStyle w:val="一级标题"/>
        <w:keepNext/>
        <w:pBdr>
          <w:bottom w:val="single" w:sz="8" w:space="5" w:color="B4C7E7"/>
        </w:pBdr>
      </w:pPr>
      <w:r>
        <w:rPr>
          <w:rFonts w:ascii="Times New Roman" w:hAnsi="Times New Roman" w:eastAsia="Noto Serif CJK SC"/>
          <w:b/>
          <w:i w:val="0"/>
          <w:color w:val="1F4E79"/>
          <w:sz w:val="30"/>
        </w:rPr>
        <w:t>二、矩阵加法的意义</w:t>
      </w:r>
    </w:p>
    <w:p>
      <w:pPr>
        <w:pStyle w:val="二级标题"/>
        <w:keepNext/>
      </w:pPr>
      <w:r>
        <w:rPr>
          <w:rFonts w:ascii="Times New Roman" w:hAnsi="Times New Roman" w:eastAsia="Noto Serif CJK SC"/>
          <w:b/>
          <w:i w:val="0"/>
          <w:color w:val="2F5496"/>
          <w:sz w:val="24"/>
        </w:rPr>
        <w:t>1. 运算规则</w:t>
      </w:r>
    </w:p>
    <w:p>
      <w:pPr>
        <w:pStyle w:val="正文"/>
        <w:spacing w:after="100"/>
        <w:ind w:firstLine="420"/>
      </w:pPr>
      <w:r>
        <w:rPr>
          <w:rFonts w:ascii="Times New Roman" w:hAnsi="Times New Roman" w:eastAsia="Noto Serif CJK SC"/>
          <w:b w:val="0"/>
          <w:i w:val="0"/>
          <w:sz w:val="22"/>
        </w:rPr>
        <w:t>只有行数和列数都相同的矩阵才能相加，这类矩阵称为同型矩阵。矩阵相加时，对应位置的元素分别相加。</w:t>
      </w:r>
    </w:p>
    <w:p>
      <w:pPr>
        <w:keepLines/>
        <w:spacing w:before="60" w:after="100"/>
        <w:jc w:val="center"/>
      </w:pPr>
      <m:oMathPara>
        <m:oMath>
          <m:r>
            <m:rPr>
              <m:sty m:val="i"/>
            </m:rPr>
            <w:rPr>
              <w:rFonts w:ascii="Cambria Math" w:hAnsi="Cambria Math"/>
              <w:i/>
            </w:rPr>
            <m:t xml:space="preserve">A=</m:t>
          </m:r>
          <m:d>
            <m:dPr>
              <m:begChr m:val="("/>
              <m:endChr m:val=")"/>
              <m:grow m:val="1"/>
            </m:dPr>
            <m:e>
              <m:m>
                <m:mPr>
                  <m:mcs>
                    <m:mc>
                      <m:mcPr>
                        <m:count m:val="2"/>
                        <m:mcJc m:val="center"/>
                      </m:mcPr>
                    </m:mc>
                  </m:mcs>
                </m:mPr>
                <m:mr>
                  <m:e>
                    <m:r>
                      <m:rPr>
                        <m:sty m:val="i"/>
                      </m:rPr>
                      <w:rPr>
                        <w:rFonts w:ascii="Cambria Math" w:hAnsi="Cambria Math"/>
                        <w:i/>
                      </w:rPr>
                      <m:t xml:space="preserve">a₁₁</m:t>
                    </m:r>
                  </m:e>
                  <m:e>
                    <m:r>
                      <m:rPr>
                        <m:sty m:val="i"/>
                      </m:rPr>
                      <w:rPr>
                        <w:rFonts w:ascii="Cambria Math" w:hAnsi="Cambria Math"/>
                        <w:i/>
                      </w:rPr>
                      <m:t xml:space="preserve">a₁₂</m:t>
                    </m:r>
                  </m:e>
                </m:mr>
                <m:mr>
                  <m:e>
                    <m:r>
                      <m:rPr>
                        <m:sty m:val="i"/>
                      </m:rPr>
                      <w:rPr>
                        <w:rFonts w:ascii="Cambria Math" w:hAnsi="Cambria Math"/>
                        <w:i/>
                      </w:rPr>
                      <m:t xml:space="preserve">a₂₁</m:t>
                    </m:r>
                  </m:e>
                  <m:e>
                    <m:r>
                      <m:rPr>
                        <m:sty m:val="i"/>
                      </m:rPr>
                      <w:rPr>
                        <w:rFonts w:ascii="Cambria Math" w:hAnsi="Cambria Math"/>
                        <w:i/>
                      </w:rPr>
                      <m:t xml:space="preserve">a₂₂</m:t>
                    </m:r>
                  </m:e>
                </m:mr>
              </m:m>
            </m:e>
          </m:d>
          <m:r>
            <m:rPr>
              <m:sty m:val="i"/>
            </m:rPr>
            <w:rPr>
              <w:rFonts w:ascii="Cambria Math" w:hAnsi="Cambria Math"/>
              <w:i/>
            </w:rPr>
            <m:t xml:space="preserve">，B=</m:t>
          </m:r>
          <m:d>
            <m:dPr>
              <m:begChr m:val="("/>
              <m:endChr m:val=")"/>
              <m:grow m:val="1"/>
            </m:dPr>
            <m:e>
              <m:m>
                <m:mPr>
                  <m:mcs>
                    <m:mc>
                      <m:mcPr>
                        <m:count m:val="2"/>
                        <m:mcJc m:val="center"/>
                      </m:mcPr>
                    </m:mc>
                  </m:mcs>
                </m:mPr>
                <m:mr>
                  <m:e>
                    <m:r>
                      <m:rPr>
                        <m:sty m:val="i"/>
                      </m:rPr>
                      <w:rPr>
                        <w:rFonts w:ascii="Cambria Math" w:hAnsi="Cambria Math"/>
                        <w:i/>
                      </w:rPr>
                      <m:t xml:space="preserve">b₁₁</m:t>
                    </m:r>
                  </m:e>
                  <m:e>
                    <m:r>
                      <m:rPr>
                        <m:sty m:val="i"/>
                      </m:rPr>
                      <w:rPr>
                        <w:rFonts w:ascii="Cambria Math" w:hAnsi="Cambria Math"/>
                        <w:i/>
                      </w:rPr>
                      <m:t xml:space="preserve">b₁₂</m:t>
                    </m:r>
                  </m:e>
                </m:mr>
                <m:mr>
                  <m:e>
                    <m:r>
                      <m:rPr>
                        <m:sty m:val="i"/>
                      </m:rPr>
                      <w:rPr>
                        <w:rFonts w:ascii="Cambria Math" w:hAnsi="Cambria Math"/>
                        <w:i/>
                      </w:rPr>
                      <m:t xml:space="preserve">b₂₁</m:t>
                    </m:r>
                  </m:e>
                  <m:e>
                    <m:r>
                      <m:rPr>
                        <m:sty m:val="i"/>
                      </m:rPr>
                      <w:rPr>
                        <w:rFonts w:ascii="Cambria Math" w:hAnsi="Cambria Math"/>
                        <w:i/>
                      </w:rPr>
                      <m:t xml:space="preserve">b₂₂</m:t>
                    </m:r>
                  </m:e>
                </m:mr>
              </m:m>
            </m:e>
          </m:d>
        </m:oMath>
      </m:oMathPara>
    </w:p>
    <w:p>
      <w:pPr>
        <w:keepLines/>
        <w:spacing w:before="60" w:after="100"/>
        <w:jc w:val="center"/>
      </w:pPr>
      <m:oMathPara>
        <m:oMath>
          <m:r>
            <m:rPr>
              <m:sty m:val="i"/>
            </m:rPr>
            <w:rPr>
              <w:rFonts w:ascii="Cambria Math" w:hAnsi="Cambria Math"/>
              <w:i/>
            </w:rPr>
            <m:t xml:space="preserve">A+B=</m:t>
          </m:r>
          <m:d>
            <m:dPr>
              <m:begChr m:val="("/>
              <m:endChr m:val=")"/>
              <m:grow m:val="1"/>
            </m:dPr>
            <m:e>
              <m:m>
                <m:mPr>
                  <m:mcs>
                    <m:mc>
                      <m:mcPr>
                        <m:count m:val="2"/>
                        <m:mcJc m:val="center"/>
                      </m:mcPr>
                    </m:mc>
                  </m:mcs>
                </m:mPr>
                <m:mr>
                  <m:e>
                    <m:r>
                      <m:rPr>
                        <m:sty m:val="i"/>
                      </m:rPr>
                      <w:rPr>
                        <w:rFonts w:ascii="Cambria Math" w:hAnsi="Cambria Math"/>
                        <w:i/>
                      </w:rPr>
                      <m:t xml:space="preserve">a₁₁+b₁₁</m:t>
                    </m:r>
                  </m:e>
                  <m:e>
                    <m:r>
                      <m:rPr>
                        <m:sty m:val="i"/>
                      </m:rPr>
                      <w:rPr>
                        <w:rFonts w:ascii="Cambria Math" w:hAnsi="Cambria Math"/>
                        <w:i/>
                      </w:rPr>
                      <m:t xml:space="preserve">a₁₂+b₁₂</m:t>
                    </m:r>
                  </m:e>
                </m:mr>
                <m:mr>
                  <m:e>
                    <m:r>
                      <m:rPr>
                        <m:sty m:val="i"/>
                      </m:rPr>
                      <w:rPr>
                        <w:rFonts w:ascii="Cambria Math" w:hAnsi="Cambria Math"/>
                        <w:i/>
                      </w:rPr>
                      <m:t xml:space="preserve">a₂₁+b₂₁</m:t>
                    </m:r>
                  </m:e>
                  <m:e>
                    <m:r>
                      <m:rPr>
                        <m:sty m:val="i"/>
                      </m:rPr>
                      <w:rPr>
                        <w:rFonts w:ascii="Cambria Math" w:hAnsi="Cambria Math"/>
                        <w:i/>
                      </w:rPr>
                      <m:t xml:space="preserve">a₂₂+b₂₂</m:t>
                    </m:r>
                  </m:e>
                </m:mr>
              </m:m>
            </m:e>
          </m:d>
        </m:oMath>
      </m:oMathPara>
    </w:p>
    <w:p>
      <w:pPr>
        <w:keepLines/>
        <w:spacing w:before="60" w:after="100"/>
        <w:jc w:val="center"/>
      </w:pPr>
      <m:oMathPara>
        <m:oMath>
          <m:d>
            <m:dPr>
              <m:begChr m:val="("/>
              <m:endChr m:val=")"/>
              <m:grow m:val="1"/>
            </m:dPr>
            <m:e>
              <m:m>
                <m:mPr>
                  <m:mcs>
                    <m:mc>
                      <m:mcPr>
                        <m:count m:val="2"/>
                        <m:mcJc m:val="center"/>
                      </m:mcPr>
                    </m:mc>
                  </m:mcs>
                </m:mPr>
                <m:mr>
                  <m:e>
                    <m:r>
                      <m:rPr>
                        <m:sty m:val="i"/>
                      </m:rPr>
                      <w:rPr>
                        <w:rFonts w:ascii="Cambria Math" w:hAnsi="Cambria Math"/>
                        <w:i/>
                      </w:rPr>
                      <m:t xml:space="preserve">1</m:t>
                    </m:r>
                  </m:e>
                  <m:e>
                    <m:r>
                      <m:rPr>
                        <m:sty m:val="i"/>
                      </m:rPr>
                      <w:rPr>
                        <w:rFonts w:ascii="Cambria Math" w:hAnsi="Cambria Math"/>
                        <w:i/>
                      </w:rPr>
                      <m:t xml:space="preserve">2</m:t>
                    </m:r>
                  </m:e>
                </m:mr>
                <m:mr>
                  <m:e>
                    <m:r>
                      <m:rPr>
                        <m:sty m:val="i"/>
                      </m:rPr>
                      <w:rPr>
                        <w:rFonts w:ascii="Cambria Math" w:hAnsi="Cambria Math"/>
                        <w:i/>
                      </w:rPr>
                      <m:t xml:space="preserve">3</m:t>
                    </m:r>
                  </m:e>
                  <m:e>
                    <m:r>
                      <m:rPr>
                        <m:sty m:val="i"/>
                      </m:rPr>
                      <w:rPr>
                        <w:rFonts w:ascii="Cambria Math" w:hAnsi="Cambria Math"/>
                        <w:i/>
                      </w:rPr>
                      <m:t xml:space="preserve">4</m:t>
                    </m:r>
                  </m:e>
                </m:mr>
              </m:m>
            </m:e>
          </m:d>
          <m:r>
            <m:rPr>
              <m:sty m:val="i"/>
            </m:rPr>
            <w:rPr>
              <w:rFonts w:ascii="Cambria Math" w:hAnsi="Cambria Math"/>
              <w:i/>
            </w:rPr>
            <m:t xml:space="preserve">+</m:t>
          </m:r>
          <m:d>
            <m:dPr>
              <m:begChr m:val="("/>
              <m:endChr m:val=")"/>
              <m:grow m:val="1"/>
            </m:dPr>
            <m:e>
              <m:m>
                <m:mPr>
                  <m:mcs>
                    <m:mc>
                      <m:mcPr>
                        <m:count m:val="2"/>
                        <m:mcJc m:val="center"/>
                      </m:mcPr>
                    </m:mc>
                  </m:mcs>
                </m:mPr>
                <m:mr>
                  <m:e>
                    <m:r>
                      <m:rPr>
                        <m:sty m:val="i"/>
                      </m:rPr>
                      <w:rPr>
                        <w:rFonts w:ascii="Cambria Math" w:hAnsi="Cambria Math"/>
                        <w:i/>
                      </w:rPr>
                      <m:t xml:space="preserve">5</m:t>
                    </m:r>
                  </m:e>
                  <m:e>
                    <m:r>
                      <m:rPr>
                        <m:sty m:val="i"/>
                      </m:rPr>
                      <w:rPr>
                        <w:rFonts w:ascii="Cambria Math" w:hAnsi="Cambria Math"/>
                        <w:i/>
                      </w:rPr>
                      <m:t xml:space="preserve">6</m:t>
                    </m:r>
                  </m:e>
                </m:mr>
                <m:mr>
                  <m:e>
                    <m:r>
                      <m:rPr>
                        <m:sty m:val="i"/>
                      </m:rPr>
                      <w:rPr>
                        <w:rFonts w:ascii="Cambria Math" w:hAnsi="Cambria Math"/>
                        <w:i/>
                      </w:rPr>
                      <m:t xml:space="preserve">7</m:t>
                    </m:r>
                  </m:e>
                  <m:e>
                    <m:r>
                      <m:rPr>
                        <m:sty m:val="i"/>
                      </m:rPr>
                      <w:rPr>
                        <w:rFonts w:ascii="Cambria Math" w:hAnsi="Cambria Math"/>
                        <w:i/>
                      </w:rPr>
                      <m:t xml:space="preserve">8</m:t>
                    </m:r>
                  </m:e>
                </m:mr>
              </m:m>
            </m:e>
          </m:d>
          <m:r>
            <m:rPr>
              <m:sty m:val="i"/>
            </m:rPr>
            <w:rPr>
              <w:rFonts w:ascii="Cambria Math" w:hAnsi="Cambria Math"/>
              <w:i/>
            </w:rPr>
            <m:t xml:space="preserve">=</m:t>
          </m:r>
          <m:d>
            <m:dPr>
              <m:begChr m:val="("/>
              <m:endChr m:val=")"/>
              <m:grow m:val="1"/>
            </m:dPr>
            <m:e>
              <m:m>
                <m:mPr>
                  <m:mcs>
                    <m:mc>
                      <m:mcPr>
                        <m:count m:val="2"/>
                        <m:mcJc m:val="center"/>
                      </m:mcPr>
                    </m:mc>
                  </m:mcs>
                </m:mPr>
                <m:mr>
                  <m:e>
                    <m:r>
                      <m:rPr>
                        <m:sty m:val="i"/>
                      </m:rPr>
                      <w:rPr>
                        <w:rFonts w:ascii="Cambria Math" w:hAnsi="Cambria Math"/>
                        <w:i/>
                      </w:rPr>
                      <m:t xml:space="preserve">6</m:t>
                    </m:r>
                  </m:e>
                  <m:e>
                    <m:r>
                      <m:rPr>
                        <m:sty m:val="i"/>
                      </m:rPr>
                      <w:rPr>
                        <w:rFonts w:ascii="Cambria Math" w:hAnsi="Cambria Math"/>
                        <w:i/>
                      </w:rPr>
                      <m:t xml:space="preserve">8</m:t>
                    </m:r>
                  </m:e>
                </m:mr>
                <m:mr>
                  <m:e>
                    <m:r>
                      <m:rPr>
                        <m:sty m:val="i"/>
                      </m:rPr>
                      <w:rPr>
                        <w:rFonts w:ascii="Cambria Math" w:hAnsi="Cambria Math"/>
                        <w:i/>
                      </w:rPr>
                      <m:t xml:space="preserve">10</m:t>
                    </m:r>
                  </m:e>
                  <m:e>
                    <m:r>
                      <m:rPr>
                        <m:sty m:val="i"/>
                      </m:rPr>
                      <w:rPr>
                        <w:rFonts w:ascii="Cambria Math" w:hAnsi="Cambria Math"/>
                        <w:i/>
                      </w:rPr>
                      <m:t xml:space="preserve">12</m:t>
                    </m:r>
                  </m:e>
                </m:mr>
              </m:m>
            </m:e>
          </m:d>
        </m:oMath>
      </m:oMathPara>
    </w:p>
    <w:p>
      <w:pPr>
        <w:pStyle w:val="二级标题"/>
        <w:keepNext/>
      </w:pPr>
      <w:r>
        <w:rPr>
          <w:rFonts w:ascii="Times New Roman" w:hAnsi="Times New Roman" w:eastAsia="Noto Serif CJK SC"/>
          <w:b/>
          <w:i w:val="0"/>
          <w:color w:val="2F5496"/>
          <w:sz w:val="24"/>
        </w:rPr>
        <w:t>2. 运算意义</w:t>
      </w:r>
    </w:p>
    <w:p>
      <w:pPr>
        <w:pStyle w:val="正文"/>
        <w:spacing w:after="100"/>
        <w:ind w:firstLine="420"/>
      </w:pPr>
      <w:r>
        <w:rPr>
          <w:rFonts w:ascii="Times New Roman" w:hAnsi="Times New Roman" w:eastAsia="Noto Serif CJK SC"/>
          <w:b/>
          <w:i w:val="0"/>
          <w:color w:val="1F4E79"/>
          <w:sz w:val="22"/>
        </w:rPr>
        <w:t>数据层面：</w:t>
      </w:r>
      <w:r>
        <w:rPr>
          <w:rFonts w:ascii="Times New Roman" w:hAnsi="Times New Roman" w:eastAsia="Noto Serif CJK SC"/>
          <w:b w:val="0"/>
          <w:i w:val="0"/>
          <w:sz w:val="22"/>
        </w:rPr>
      </w:r>
    </w:p>
    <w:p>
      <w:pPr>
        <w:pStyle w:val="要点"/>
        <w:spacing w:after="60"/>
        <w:ind w:left="425" w:hanging="255"/>
      </w:pPr>
      <w:r>
        <w:rPr>
          <w:rFonts w:ascii="Times New Roman" w:hAnsi="Times New Roman" w:eastAsia="Noto Serif CJK SC"/>
          <w:b w:val="0"/>
          <w:i w:val="0"/>
          <w:color w:val="2F5496"/>
          <w:sz w:val="18"/>
        </w:rPr>
        <w:t xml:space="preserve">●  </w:t>
      </w:r>
      <w:r>
        <w:rPr>
          <w:rFonts w:ascii="Times New Roman" w:hAnsi="Times New Roman" w:eastAsia="Noto Serif CJK SC"/>
          <w:b w:val="0"/>
          <w:i w:val="0"/>
          <w:sz w:val="21"/>
        </w:rPr>
        <w:t>矩阵加法表示把两组具有相同结构、相同单位和相同含义的数据逐项合并。</w:t>
      </w:r>
    </w:p>
    <w:p>
      <w:pPr>
        <w:pStyle w:val="要点"/>
        <w:spacing w:after="60"/>
        <w:ind w:left="425" w:hanging="255"/>
      </w:pPr>
      <w:r>
        <w:rPr>
          <w:rFonts w:ascii="Times New Roman" w:hAnsi="Times New Roman" w:eastAsia="Noto Serif CJK SC"/>
          <w:b w:val="0"/>
          <w:i w:val="0"/>
          <w:color w:val="2F5496"/>
          <w:sz w:val="18"/>
        </w:rPr>
        <w:t xml:space="preserve">●  </w:t>
      </w:r>
      <w:r>
        <w:rPr>
          <w:rFonts w:ascii="Times New Roman" w:hAnsi="Times New Roman" w:eastAsia="Noto Serif CJK SC"/>
          <w:b w:val="0"/>
          <w:i w:val="0"/>
          <w:sz w:val="21"/>
        </w:rPr>
        <w:t>例如，一个矩阵记录上午各门店、各商品的销售量，另一个矩阵记录下午销售量，两者相加就是全天销售量。</w:t>
      </w:r>
    </w:p>
    <w:p>
      <w:pPr>
        <w:pStyle w:val="正文"/>
        <w:spacing w:after="100"/>
        <w:ind w:firstLine="420"/>
      </w:pPr>
      <w:r>
        <w:rPr>
          <w:rFonts w:ascii="Times New Roman" w:hAnsi="Times New Roman" w:eastAsia="Noto Serif CJK SC"/>
          <w:b/>
          <w:i w:val="0"/>
          <w:color w:val="1F4E79"/>
          <w:sz w:val="22"/>
        </w:rPr>
        <w:t>线性变换层面：</w:t>
      </w:r>
      <w:r>
        <w:rPr>
          <w:rFonts w:ascii="Times New Roman" w:hAnsi="Times New Roman" w:eastAsia="Noto Serif CJK SC"/>
          <w:b w:val="0"/>
          <w:i w:val="0"/>
          <w:sz w:val="22"/>
        </w:rPr>
      </w:r>
    </w:p>
    <w:p>
      <w:pPr>
        <w:pStyle w:val="正文"/>
        <w:spacing w:after="100"/>
      </w:pPr>
      <w:r>
        <w:rPr>
          <w:rFonts w:ascii="Times New Roman" w:hAnsi="Times New Roman" w:eastAsia="Noto Serif CJK SC"/>
          <w:b w:val="0"/>
          <w:i w:val="0"/>
          <w:sz w:val="22"/>
        </w:rPr>
        <w:t>若矩阵 A 和 B 分别表示两个线性变换，那么 A+B 表示把两个变换作用于同一个输入后，将输出结果相加。</w:t>
      </w:r>
    </w:p>
    <w:p>
      <w:pPr>
        <w:keepLines/>
        <w:spacing w:before="60" w:after="100"/>
        <w:jc w:val="center"/>
      </w:pPr>
      <m:oMathPara>
        <m:oMath>
          <m:r>
            <m:rPr>
              <m:sty m:val="i"/>
            </m:rPr>
            <w:rPr>
              <w:rFonts w:ascii="Cambria Math" w:hAnsi="Cambria Math"/>
              <w:i/>
            </w:rPr>
            <m:t xml:space="preserve">(A+B)x=Ax+Bx</m:t>
          </m:r>
        </m:oMath>
      </m:oMathPara>
    </w:p>
    <w:tbl>
      <w:tblPr>
        <w:tblW w:type="auto" w:w="0"/>
        <w:jc w:val="center"/>
        <w:tblLayout w:type="fixed"/>
        <w:tblLook w:firstColumn="1" w:firstRow="1" w:lastColumn="0" w:lastRow="0" w:noHBand="0" w:noVBand="1" w:val="04A0"/>
      </w:tblPr>
      <w:tblGrid>
        <w:gridCol w:w="8844"/>
      </w:tblGrid>
      <w:tr>
        <w:trPr>
          <w:cantSplit/>
        </w:trPr>
        <w:tc>
          <w:tcPr>
            <w:tcW w:type="dxa" w:w="8844"/>
            <w:shd w:fill="EAF2F8"/>
            <w:tcMar>
              <w:top w:w="120" w:type="dxa"/>
              <w:start w:w="180" w:type="dxa"/>
              <w:bottom w:w="120" w:type="dxa"/>
              <w:end w:w="180" w:type="dxa"/>
            </w:tcMar>
            <w:vAlign w:val="center"/>
          </w:tcPr>
          <w:p>
            <w:pPr>
              <w:keepNext/>
              <w:spacing w:after="40"/>
            </w:pPr>
            <w:r>
              <w:rPr>
                <w:rFonts w:ascii="Times New Roman" w:hAnsi="Times New Roman" w:eastAsia="Noto Serif CJK SC"/>
                <w:b/>
                <w:i w:val="0"/>
                <w:color w:val="1F4E79"/>
                <w:sz w:val="21"/>
              </w:rPr>
              <w:t>特别注意</w:t>
            </w:r>
          </w:p>
          <w:p>
            <w:pPr>
              <w:keepLines/>
              <w:spacing w:after="0"/>
            </w:pPr>
            <w:r>
              <w:rPr>
                <w:rFonts w:ascii="Times New Roman" w:hAnsi="Times New Roman" w:eastAsia="Noto Serif CJK SC"/>
                <w:b w:val="0"/>
                <w:i w:val="0"/>
                <w:sz w:val="21"/>
              </w:rPr>
              <w:t>矩阵加法不是“先做 A，再做 B”。连续执行两个变换对应矩阵乘法，而不是矩阵加法。</w:t>
            </w:r>
          </w:p>
        </w:tc>
      </w:tr>
    </w:tbl>
    <w:p>
      <w:pPr>
        <w:spacing w:after="0"/>
      </w:pPr>
    </w:p>
    <w:p>
      <w:pPr>
        <w:pStyle w:val="一级标题"/>
        <w:keepNext/>
        <w:pBdr>
          <w:bottom w:val="single" w:sz="8" w:space="5" w:color="B4C7E7"/>
        </w:pBdr>
      </w:pPr>
      <w:r>
        <w:rPr>
          <w:rFonts w:ascii="Times New Roman" w:hAnsi="Times New Roman" w:eastAsia="Noto Serif CJK SC"/>
          <w:b/>
          <w:i w:val="0"/>
          <w:color w:val="1F4E79"/>
          <w:sz w:val="30"/>
        </w:rPr>
        <w:t>三、矩阵减法的意义</w:t>
      </w:r>
    </w:p>
    <w:p>
      <w:pPr>
        <w:pStyle w:val="二级标题"/>
        <w:keepNext/>
      </w:pPr>
      <w:r>
        <w:rPr>
          <w:rFonts w:ascii="Times New Roman" w:hAnsi="Times New Roman" w:eastAsia="Noto Serif CJK SC"/>
          <w:b/>
          <w:i w:val="0"/>
          <w:color w:val="2F5496"/>
          <w:sz w:val="24"/>
        </w:rPr>
        <w:t>1. 运算规则</w:t>
      </w:r>
    </w:p>
    <w:p>
      <w:pPr>
        <w:pStyle w:val="正文"/>
        <w:spacing w:after="100"/>
        <w:ind w:firstLine="420"/>
      </w:pPr>
      <w:r>
        <w:rPr>
          <w:rFonts w:ascii="Times New Roman" w:hAnsi="Times New Roman" w:eastAsia="Noto Serif CJK SC"/>
          <w:b w:val="0"/>
          <w:i w:val="0"/>
          <w:sz w:val="22"/>
        </w:rPr>
        <w:t>矩阵减法同样要求两个矩阵同型。运算时，用被减矩阵的每个元素减去减矩阵对应位置的元素。</w:t>
      </w:r>
    </w:p>
    <w:p>
      <w:pPr>
        <w:keepLines/>
        <w:spacing w:before="60" w:after="100"/>
        <w:jc w:val="center"/>
      </w:pPr>
      <m:oMathPara>
        <m:oMath>
          <m:r>
            <m:rPr>
              <m:sty m:val="i"/>
            </m:rPr>
            <w:rPr>
              <w:rFonts w:ascii="Cambria Math" w:hAnsi="Cambria Math"/>
              <w:i/>
            </w:rPr>
            <m:t xml:space="preserve">A−B=</m:t>
          </m:r>
          <m:d>
            <m:dPr>
              <m:begChr m:val="("/>
              <m:endChr m:val=")"/>
              <m:grow m:val="1"/>
            </m:dPr>
            <m:e>
              <m:m>
                <m:mPr>
                  <m:mcs>
                    <m:mc>
                      <m:mcPr>
                        <m:count m:val="2"/>
                        <m:mcJc m:val="center"/>
                      </m:mcPr>
                    </m:mc>
                  </m:mcs>
                </m:mPr>
                <m:mr>
                  <m:e>
                    <m:r>
                      <m:rPr>
                        <m:sty m:val="i"/>
                      </m:rPr>
                      <w:rPr>
                        <w:rFonts w:ascii="Cambria Math" w:hAnsi="Cambria Math"/>
                        <w:i/>
                      </w:rPr>
                      <m:t xml:space="preserve">a₁₁−b₁₁</m:t>
                    </m:r>
                  </m:e>
                  <m:e>
                    <m:r>
                      <m:rPr>
                        <m:sty m:val="i"/>
                      </m:rPr>
                      <w:rPr>
                        <w:rFonts w:ascii="Cambria Math" w:hAnsi="Cambria Math"/>
                        <w:i/>
                      </w:rPr>
                      <m:t xml:space="preserve">a₁₂−b₁₂</m:t>
                    </m:r>
                  </m:e>
                </m:mr>
                <m:mr>
                  <m:e>
                    <m:r>
                      <m:rPr>
                        <m:sty m:val="i"/>
                      </m:rPr>
                      <w:rPr>
                        <w:rFonts w:ascii="Cambria Math" w:hAnsi="Cambria Math"/>
                        <w:i/>
                      </w:rPr>
                      <m:t xml:space="preserve">a₂₁−b₂₁</m:t>
                    </m:r>
                  </m:e>
                  <m:e>
                    <m:r>
                      <m:rPr>
                        <m:sty m:val="i"/>
                      </m:rPr>
                      <w:rPr>
                        <w:rFonts w:ascii="Cambria Math" w:hAnsi="Cambria Math"/>
                        <w:i/>
                      </w:rPr>
                      <m:t xml:space="preserve">a₂₂−b₂₂</m:t>
                    </m:r>
                  </m:e>
                </m:mr>
              </m:m>
            </m:e>
          </m:d>
        </m:oMath>
      </m:oMathPara>
    </w:p>
    <w:p>
      <w:pPr>
        <w:keepLines/>
        <w:spacing w:before="60" w:after="100"/>
        <w:jc w:val="center"/>
      </w:pPr>
      <m:oMathPara>
        <m:oMath>
          <m:d>
            <m:dPr>
              <m:begChr m:val="("/>
              <m:endChr m:val=")"/>
              <m:grow m:val="1"/>
            </m:dPr>
            <m:e>
              <m:m>
                <m:mPr>
                  <m:mcs>
                    <m:mc>
                      <m:mcPr>
                        <m:count m:val="2"/>
                        <m:mcJc m:val="center"/>
                      </m:mcPr>
                    </m:mc>
                  </m:mcs>
                </m:mPr>
                <m:mr>
                  <m:e>
                    <m:r>
                      <m:rPr>
                        <m:sty m:val="i"/>
                      </m:rPr>
                      <w:rPr>
                        <w:rFonts w:ascii="Cambria Math" w:hAnsi="Cambria Math"/>
                        <w:i/>
                      </w:rPr>
                      <m:t xml:space="preserve">8</m:t>
                    </m:r>
                  </m:e>
                  <m:e>
                    <m:r>
                      <m:rPr>
                        <m:sty m:val="i"/>
                      </m:rPr>
                      <w:rPr>
                        <w:rFonts w:ascii="Cambria Math" w:hAnsi="Cambria Math"/>
                        <w:i/>
                      </w:rPr>
                      <m:t xml:space="preserve">7</m:t>
                    </m:r>
                  </m:e>
                </m:mr>
                <m:mr>
                  <m:e>
                    <m:r>
                      <m:rPr>
                        <m:sty m:val="i"/>
                      </m:rPr>
                      <w:rPr>
                        <w:rFonts w:ascii="Cambria Math" w:hAnsi="Cambria Math"/>
                        <w:i/>
                      </w:rPr>
                      <m:t xml:space="preserve">6</m:t>
                    </m:r>
                  </m:e>
                  <m:e>
                    <m:r>
                      <m:rPr>
                        <m:sty m:val="i"/>
                      </m:rPr>
                      <w:rPr>
                        <w:rFonts w:ascii="Cambria Math" w:hAnsi="Cambria Math"/>
                        <w:i/>
                      </w:rPr>
                      <m:t xml:space="preserve">5</m:t>
                    </m:r>
                  </m:e>
                </m:mr>
              </m:m>
            </m:e>
          </m:d>
          <m:r>
            <m:rPr>
              <m:sty m:val="i"/>
            </m:rPr>
            <w:rPr>
              <w:rFonts w:ascii="Cambria Math" w:hAnsi="Cambria Math"/>
              <w:i/>
            </w:rPr>
            <m:t xml:space="preserve">−</m:t>
          </m:r>
          <m:d>
            <m:dPr>
              <m:begChr m:val="("/>
              <m:endChr m:val=")"/>
              <m:grow m:val="1"/>
            </m:dPr>
            <m:e>
              <m:m>
                <m:mPr>
                  <m:mcs>
                    <m:mc>
                      <m:mcPr>
                        <m:count m:val="2"/>
                        <m:mcJc m:val="center"/>
                      </m:mcPr>
                    </m:mc>
                  </m:mcs>
                </m:mPr>
                <m:mr>
                  <m:e>
                    <m:r>
                      <m:rPr>
                        <m:sty m:val="i"/>
                      </m:rPr>
                      <w:rPr>
                        <w:rFonts w:ascii="Cambria Math" w:hAnsi="Cambria Math"/>
                        <w:i/>
                      </w:rPr>
                      <m:t xml:space="preserve">1</m:t>
                    </m:r>
                  </m:e>
                  <m:e>
                    <m:r>
                      <m:rPr>
                        <m:sty m:val="i"/>
                      </m:rPr>
                      <w:rPr>
                        <w:rFonts w:ascii="Cambria Math" w:hAnsi="Cambria Math"/>
                        <w:i/>
                      </w:rPr>
                      <m:t xml:space="preserve">2</m:t>
                    </m:r>
                  </m:e>
                </m:mr>
                <m:mr>
                  <m:e>
                    <m:r>
                      <m:rPr>
                        <m:sty m:val="i"/>
                      </m:rPr>
                      <w:rPr>
                        <w:rFonts w:ascii="Cambria Math" w:hAnsi="Cambria Math"/>
                        <w:i/>
                      </w:rPr>
                      <m:t xml:space="preserve">3</m:t>
                    </m:r>
                  </m:e>
                  <m:e>
                    <m:r>
                      <m:rPr>
                        <m:sty m:val="i"/>
                      </m:rPr>
                      <w:rPr>
                        <w:rFonts w:ascii="Cambria Math" w:hAnsi="Cambria Math"/>
                        <w:i/>
                      </w:rPr>
                      <m:t xml:space="preserve">4</m:t>
                    </m:r>
                  </m:e>
                </m:mr>
              </m:m>
            </m:e>
          </m:d>
          <m:r>
            <m:rPr>
              <m:sty m:val="i"/>
            </m:rPr>
            <w:rPr>
              <w:rFonts w:ascii="Cambria Math" w:hAnsi="Cambria Math"/>
              <w:i/>
            </w:rPr>
            <m:t xml:space="preserve">=</m:t>
          </m:r>
          <m:d>
            <m:dPr>
              <m:begChr m:val="("/>
              <m:endChr m:val=")"/>
              <m:grow m:val="1"/>
            </m:dPr>
            <m:e>
              <m:m>
                <m:mPr>
                  <m:mcs>
                    <m:mc>
                      <m:mcPr>
                        <m:count m:val="2"/>
                        <m:mcJc m:val="center"/>
                      </m:mcPr>
                    </m:mc>
                  </m:mcs>
                </m:mPr>
                <m:mr>
                  <m:e>
                    <m:r>
                      <m:rPr>
                        <m:sty m:val="i"/>
                      </m:rPr>
                      <w:rPr>
                        <w:rFonts w:ascii="Cambria Math" w:hAnsi="Cambria Math"/>
                        <w:i/>
                      </w:rPr>
                      <m:t xml:space="preserve">7</m:t>
                    </m:r>
                  </m:e>
                  <m:e>
                    <m:r>
                      <m:rPr>
                        <m:sty m:val="i"/>
                      </m:rPr>
                      <w:rPr>
                        <w:rFonts w:ascii="Cambria Math" w:hAnsi="Cambria Math"/>
                        <w:i/>
                      </w:rPr>
                      <m:t xml:space="preserve">5</m:t>
                    </m:r>
                  </m:e>
                </m:mr>
                <m:mr>
                  <m:e>
                    <m:r>
                      <m:rPr>
                        <m:sty m:val="i"/>
                      </m:rPr>
                      <w:rPr>
                        <w:rFonts w:ascii="Cambria Math" w:hAnsi="Cambria Math"/>
                        <w:i/>
                      </w:rPr>
                      <m:t xml:space="preserve">3</m:t>
                    </m:r>
                  </m:e>
                  <m:e>
                    <m:r>
                      <m:rPr>
                        <m:sty m:val="i"/>
                      </m:rPr>
                      <w:rPr>
                        <w:rFonts w:ascii="Cambria Math" w:hAnsi="Cambria Math"/>
                        <w:i/>
                      </w:rPr>
                      <m:t xml:space="preserve">1</m:t>
                    </m:r>
                  </m:e>
                </m:mr>
              </m:m>
            </m:e>
          </m:d>
        </m:oMath>
      </m:oMathPara>
    </w:p>
    <w:p>
      <w:pPr>
        <w:keepLines/>
        <w:spacing w:before="60" w:after="100"/>
        <w:jc w:val="center"/>
      </w:pPr>
      <m:oMathPara>
        <m:oMath>
          <m:r>
            <m:rPr>
              <m:sty m:val="i"/>
            </m:rPr>
            <w:rPr>
              <w:rFonts w:ascii="Cambria Math" w:hAnsi="Cambria Math"/>
              <w:i/>
            </w:rPr>
            <m:t xml:space="preserve">A−B=A+(−B)</m:t>
          </m:r>
        </m:oMath>
      </m:oMathPara>
    </w:p>
    <w:p>
      <w:pPr>
        <w:pStyle w:val="二级标题"/>
        <w:keepNext/>
      </w:pPr>
      <w:r>
        <w:rPr>
          <w:rFonts w:ascii="Times New Roman" w:hAnsi="Times New Roman" w:eastAsia="Noto Serif CJK SC"/>
          <w:b/>
          <w:i w:val="0"/>
          <w:color w:val="2F5496"/>
          <w:sz w:val="24"/>
        </w:rPr>
        <w:t>2. 运算意义</w:t>
      </w:r>
    </w:p>
    <w:p>
      <w:pPr>
        <w:pStyle w:val="正文"/>
        <w:spacing w:after="100"/>
        <w:ind w:firstLine="420"/>
      </w:pPr>
      <w:r>
        <w:rPr>
          <w:rFonts w:ascii="Times New Roman" w:hAnsi="Times New Roman" w:eastAsia="Noto Serif CJK SC"/>
          <w:b w:val="0"/>
          <w:i w:val="0"/>
          <w:sz w:val="22"/>
        </w:rPr>
        <w:t>矩阵减法通常表示两组同类数据之间的差异、变化量、残差或误差。例如，实际值矩阵减去预测值矩阵，可以得到各位置的预测误差；本期矩阵减去上期矩阵，可以得到各指标的变化量。</w:t>
      </w:r>
    </w:p>
    <w:p>
      <w:pPr>
        <w:keepLines/>
        <w:spacing w:before="60" w:after="100"/>
        <w:jc w:val="center"/>
      </w:pPr>
      <m:oMathPara>
        <m:oMath>
          <m:r>
            <m:rPr>
              <m:sty m:val="i"/>
            </m:rPr>
            <w:rPr>
              <w:rFonts w:ascii="Cambria Math" w:hAnsi="Cambria Math"/>
              <w:i/>
            </w:rPr>
            <m:t xml:space="preserve">(A−B)x=Ax−Bx</m:t>
          </m:r>
        </m:oMath>
      </m:oMathPara>
    </w:p>
    <w:p>
      <w:pPr>
        <w:pStyle w:val="要点"/>
        <w:spacing w:after="60"/>
        <w:ind w:left="425" w:hanging="255"/>
      </w:pPr>
      <w:r>
        <w:rPr>
          <w:rFonts w:ascii="Times New Roman" w:hAnsi="Times New Roman" w:eastAsia="Noto Serif CJK SC"/>
          <w:b w:val="0"/>
          <w:i w:val="0"/>
          <w:color w:val="2F5496"/>
          <w:sz w:val="18"/>
        </w:rPr>
        <w:t xml:space="preserve">●  </w:t>
      </w:r>
      <w:r>
        <w:rPr>
          <w:rFonts w:ascii="Times New Roman" w:hAnsi="Times New Roman" w:eastAsia="Noto Serif CJK SC"/>
          <w:b w:val="0"/>
          <w:i w:val="0"/>
          <w:sz w:val="21"/>
        </w:rPr>
        <w:t>结果为正：被减矩阵在该位置的数值更大。</w:t>
      </w:r>
    </w:p>
    <w:p>
      <w:pPr>
        <w:pStyle w:val="要点"/>
        <w:spacing w:after="60"/>
        <w:ind w:left="425" w:hanging="255"/>
      </w:pPr>
      <w:r>
        <w:rPr>
          <w:rFonts w:ascii="Times New Roman" w:hAnsi="Times New Roman" w:eastAsia="Noto Serif CJK SC"/>
          <w:b w:val="0"/>
          <w:i w:val="0"/>
          <w:color w:val="2F5496"/>
          <w:sz w:val="18"/>
        </w:rPr>
        <w:t xml:space="preserve">●  </w:t>
      </w:r>
      <w:r>
        <w:rPr>
          <w:rFonts w:ascii="Times New Roman" w:hAnsi="Times New Roman" w:eastAsia="Noto Serif CJK SC"/>
          <w:b w:val="0"/>
          <w:i w:val="0"/>
          <w:sz w:val="21"/>
        </w:rPr>
        <w:t>结果为负：减矩阵在该位置的数值更大。</w:t>
      </w:r>
    </w:p>
    <w:p>
      <w:pPr>
        <w:pStyle w:val="要点"/>
        <w:spacing w:after="60"/>
        <w:ind w:left="425" w:hanging="255"/>
      </w:pPr>
      <w:r>
        <w:rPr>
          <w:rFonts w:ascii="Times New Roman" w:hAnsi="Times New Roman" w:eastAsia="Noto Serif CJK SC"/>
          <w:b w:val="0"/>
          <w:i w:val="0"/>
          <w:color w:val="2F5496"/>
          <w:sz w:val="18"/>
        </w:rPr>
        <w:t xml:space="preserve">●  </w:t>
      </w:r>
      <w:r>
        <w:rPr>
          <w:rFonts w:ascii="Times New Roman" w:hAnsi="Times New Roman" w:eastAsia="Noto Serif CJK SC"/>
          <w:b w:val="0"/>
          <w:i w:val="0"/>
          <w:sz w:val="21"/>
        </w:rPr>
        <w:t>结果为零：两个矩阵在该位置完全相同。</w:t>
      </w:r>
    </w:p>
    <w:p>
      <w:pPr>
        <w:pStyle w:val="一级标题"/>
        <w:keepNext/>
        <w:pBdr>
          <w:bottom w:val="single" w:sz="8" w:space="5" w:color="B4C7E7"/>
        </w:pBdr>
      </w:pPr>
      <w:r>
        <w:rPr>
          <w:rFonts w:ascii="Times New Roman" w:hAnsi="Times New Roman" w:eastAsia="Noto Serif CJK SC"/>
          <w:b/>
          <w:i w:val="0"/>
          <w:color w:val="1F4E79"/>
          <w:sz w:val="30"/>
        </w:rPr>
        <w:t>四、矩阵数乘的意义</w:t>
      </w:r>
    </w:p>
    <w:p>
      <w:pPr>
        <w:pStyle w:val="二级标题"/>
        <w:keepNext/>
      </w:pPr>
      <w:r>
        <w:rPr>
          <w:rFonts w:ascii="Times New Roman" w:hAnsi="Times New Roman" w:eastAsia="Noto Serif CJK SC"/>
          <w:b/>
          <w:i w:val="0"/>
          <w:color w:val="2F5496"/>
          <w:sz w:val="24"/>
        </w:rPr>
        <w:t>1. 运算规则</w:t>
      </w:r>
    </w:p>
    <w:p>
      <w:pPr>
        <w:pStyle w:val="正文"/>
        <w:spacing w:after="100"/>
        <w:ind w:firstLine="420"/>
      </w:pPr>
      <w:r>
        <w:rPr>
          <w:rFonts w:ascii="Times New Roman" w:hAnsi="Times New Roman" w:eastAsia="Noto Serif CJK SC"/>
          <w:b w:val="0"/>
          <w:i w:val="0"/>
          <w:sz w:val="22"/>
        </w:rPr>
        <w:t>用一个数 k 乘矩阵 A，就是把 A 中的每个元素都乘以同一个数 k。</w:t>
      </w:r>
    </w:p>
    <w:p>
      <w:pPr>
        <w:keepLines/>
        <w:spacing w:before="60" w:after="100"/>
        <w:jc w:val="center"/>
      </w:pPr>
      <m:oMathPara>
        <m:oMath>
          <m:r>
            <m:rPr>
              <m:sty m:val="i"/>
            </m:rPr>
            <w:rPr>
              <w:rFonts w:ascii="Cambria Math" w:hAnsi="Cambria Math"/>
              <w:i/>
            </w:rPr>
            <m:t xml:space="preserve">kA=</m:t>
          </m:r>
          <m:d>
            <m:dPr>
              <m:begChr m:val="("/>
              <m:endChr m:val=")"/>
              <m:grow m:val="1"/>
            </m:dPr>
            <m:e>
              <m:m>
                <m:mPr>
                  <m:mcs>
                    <m:mc>
                      <m:mcPr>
                        <m:count m:val="2"/>
                        <m:mcJc m:val="center"/>
                      </m:mcPr>
                    </m:mc>
                  </m:mcs>
                </m:mPr>
                <m:mr>
                  <m:e>
                    <m:r>
                      <m:rPr>
                        <m:sty m:val="i"/>
                      </m:rPr>
                      <w:rPr>
                        <w:rFonts w:ascii="Cambria Math" w:hAnsi="Cambria Math"/>
                        <w:i/>
                      </w:rPr>
                      <m:t xml:space="preserve">ka₁₁</m:t>
                    </m:r>
                  </m:e>
                  <m:e>
                    <m:r>
                      <m:rPr>
                        <m:sty m:val="i"/>
                      </m:rPr>
                      <w:rPr>
                        <w:rFonts w:ascii="Cambria Math" w:hAnsi="Cambria Math"/>
                        <w:i/>
                      </w:rPr>
                      <m:t xml:space="preserve">ka₁₂</m:t>
                    </m:r>
                  </m:e>
                </m:mr>
                <m:mr>
                  <m:e>
                    <m:r>
                      <m:rPr>
                        <m:sty m:val="i"/>
                      </m:rPr>
                      <w:rPr>
                        <w:rFonts w:ascii="Cambria Math" w:hAnsi="Cambria Math"/>
                        <w:i/>
                      </w:rPr>
                      <m:t xml:space="preserve">ka₂₁</m:t>
                    </m:r>
                  </m:e>
                  <m:e>
                    <m:r>
                      <m:rPr>
                        <m:sty m:val="i"/>
                      </m:rPr>
                      <w:rPr>
                        <w:rFonts w:ascii="Cambria Math" w:hAnsi="Cambria Math"/>
                        <w:i/>
                      </w:rPr>
                      <m:t xml:space="preserve">ka₂₂</m:t>
                    </m:r>
                  </m:e>
                </m:mr>
              </m:m>
            </m:e>
          </m:d>
        </m:oMath>
      </m:oMathPara>
    </w:p>
    <w:p>
      <w:pPr>
        <w:keepLines/>
        <w:spacing w:before="60" w:after="100"/>
        <w:jc w:val="center"/>
      </w:pPr>
      <m:oMathPara>
        <m:oMath>
          <m:r>
            <m:rPr>
              <m:sty m:val="i"/>
            </m:rPr>
            <w:rPr>
              <w:rFonts w:ascii="Cambria Math" w:hAnsi="Cambria Math"/>
              <w:i/>
            </w:rPr>
            <m:t xml:space="preserve">3</m:t>
          </m:r>
          <m:d>
            <m:dPr>
              <m:begChr m:val="("/>
              <m:endChr m:val=")"/>
              <m:grow m:val="1"/>
            </m:dPr>
            <m:e>
              <m:m>
                <m:mPr>
                  <m:mcs>
                    <m:mc>
                      <m:mcPr>
                        <m:count m:val="2"/>
                        <m:mcJc m:val="center"/>
                      </m:mcPr>
                    </m:mc>
                  </m:mcs>
                </m:mPr>
                <m:mr>
                  <m:e>
                    <m:r>
                      <m:rPr>
                        <m:sty m:val="i"/>
                      </m:rPr>
                      <w:rPr>
                        <w:rFonts w:ascii="Cambria Math" w:hAnsi="Cambria Math"/>
                        <w:i/>
                      </w:rPr>
                      <m:t xml:space="preserve">1</m:t>
                    </m:r>
                  </m:e>
                  <m:e>
                    <m:r>
                      <m:rPr>
                        <m:sty m:val="i"/>
                      </m:rPr>
                      <w:rPr>
                        <w:rFonts w:ascii="Cambria Math" w:hAnsi="Cambria Math"/>
                        <w:i/>
                      </w:rPr>
                      <m:t xml:space="preserve">−2</m:t>
                    </m:r>
                  </m:e>
                </m:mr>
                <m:mr>
                  <m:e>
                    <m:r>
                      <m:rPr>
                        <m:sty m:val="i"/>
                      </m:rPr>
                      <w:rPr>
                        <w:rFonts w:ascii="Cambria Math" w:hAnsi="Cambria Math"/>
                        <w:i/>
                      </w:rPr>
                      <m:t xml:space="preserve">4</m:t>
                    </m:r>
                  </m:e>
                  <m:e>
                    <m:r>
                      <m:rPr>
                        <m:sty m:val="i"/>
                      </m:rPr>
                      <w:rPr>
                        <w:rFonts w:ascii="Cambria Math" w:hAnsi="Cambria Math"/>
                        <w:i/>
                      </w:rPr>
                      <m:t xml:space="preserve">5</m:t>
                    </m:r>
                  </m:e>
                </m:mr>
              </m:m>
            </m:e>
          </m:d>
          <m:r>
            <m:rPr>
              <m:sty m:val="i"/>
            </m:rPr>
            <w:rPr>
              <w:rFonts w:ascii="Cambria Math" w:hAnsi="Cambria Math"/>
              <w:i/>
            </w:rPr>
            <m:t xml:space="preserve">=</m:t>
          </m:r>
          <m:d>
            <m:dPr>
              <m:begChr m:val="("/>
              <m:endChr m:val=")"/>
              <m:grow m:val="1"/>
            </m:dPr>
            <m:e>
              <m:m>
                <m:mPr>
                  <m:mcs>
                    <m:mc>
                      <m:mcPr>
                        <m:count m:val="2"/>
                        <m:mcJc m:val="center"/>
                      </m:mcPr>
                    </m:mc>
                  </m:mcs>
                </m:mPr>
                <m:mr>
                  <m:e>
                    <m:r>
                      <m:rPr>
                        <m:sty m:val="i"/>
                      </m:rPr>
                      <w:rPr>
                        <w:rFonts w:ascii="Cambria Math" w:hAnsi="Cambria Math"/>
                        <w:i/>
                      </w:rPr>
                      <m:t xml:space="preserve">3</m:t>
                    </m:r>
                  </m:e>
                  <m:e>
                    <m:r>
                      <m:rPr>
                        <m:sty m:val="i"/>
                      </m:rPr>
                      <w:rPr>
                        <w:rFonts w:ascii="Cambria Math" w:hAnsi="Cambria Math"/>
                        <w:i/>
                      </w:rPr>
                      <m:t xml:space="preserve">−6</m:t>
                    </m:r>
                  </m:e>
                </m:mr>
                <m:mr>
                  <m:e>
                    <m:r>
                      <m:rPr>
                        <m:sty m:val="i"/>
                      </m:rPr>
                      <w:rPr>
                        <w:rFonts w:ascii="Cambria Math" w:hAnsi="Cambria Math"/>
                        <w:i/>
                      </w:rPr>
                      <m:t xml:space="preserve">12</m:t>
                    </m:r>
                  </m:e>
                  <m:e>
                    <m:r>
                      <m:rPr>
                        <m:sty m:val="i"/>
                      </m:rPr>
                      <w:rPr>
                        <w:rFonts w:ascii="Cambria Math" w:hAnsi="Cambria Math"/>
                        <w:i/>
                      </w:rPr>
                      <m:t xml:space="preserve">15</m:t>
                    </m:r>
                  </m:e>
                </m:mr>
              </m:m>
            </m:e>
          </m:d>
        </m:oMath>
      </m:oMathPara>
    </w:p>
    <w:p>
      <w:pPr>
        <w:pStyle w:val="二级标题"/>
        <w:keepNext/>
      </w:pPr>
      <w:r>
        <w:rPr>
          <w:rFonts w:ascii="Times New Roman" w:hAnsi="Times New Roman" w:eastAsia="Noto Serif CJK SC"/>
          <w:b/>
          <w:i w:val="0"/>
          <w:color w:val="2F5496"/>
          <w:sz w:val="24"/>
        </w:rPr>
        <w:t>2. 运算意义</w:t>
      </w:r>
    </w:p>
    <w:p>
      <w:pPr>
        <w:pStyle w:val="正文"/>
        <w:spacing w:after="100"/>
        <w:ind w:firstLine="420"/>
      </w:pPr>
      <w:r>
        <w:rPr>
          <w:rFonts w:ascii="Times New Roman" w:hAnsi="Times New Roman" w:eastAsia="Noto Serif CJK SC"/>
          <w:b/>
          <w:i w:val="0"/>
          <w:color w:val="1F4E79"/>
          <w:sz w:val="22"/>
        </w:rPr>
        <w:t>数据层面：</w:t>
      </w:r>
      <w:r>
        <w:rPr>
          <w:rFonts w:ascii="Times New Roman" w:hAnsi="Times New Roman" w:eastAsia="Noto Serif CJK SC"/>
          <w:b w:val="0"/>
          <w:i w:val="0"/>
          <w:sz w:val="22"/>
        </w:rPr>
      </w:r>
    </w:p>
    <w:p>
      <w:pPr>
        <w:pStyle w:val="要点"/>
        <w:spacing w:after="60"/>
        <w:ind w:left="425" w:hanging="255"/>
      </w:pPr>
      <w:r>
        <w:rPr>
          <w:rFonts w:ascii="Times New Roman" w:hAnsi="Times New Roman" w:eastAsia="Noto Serif CJK SC"/>
          <w:b w:val="0"/>
          <w:i w:val="0"/>
          <w:color w:val="2F5496"/>
          <w:sz w:val="18"/>
        </w:rPr>
        <w:t xml:space="preserve">●  </w:t>
      </w:r>
      <w:r>
        <w:rPr>
          <w:rFonts w:ascii="Times New Roman" w:hAnsi="Times New Roman" w:eastAsia="Noto Serif CJK SC"/>
          <w:b w:val="0"/>
          <w:i w:val="0"/>
          <w:sz w:val="21"/>
        </w:rPr>
        <w:t>当 k&gt;1 时，所有数据按同一比例放大。</w:t>
      </w:r>
    </w:p>
    <w:p>
      <w:pPr>
        <w:pStyle w:val="要点"/>
        <w:spacing w:after="60"/>
        <w:ind w:left="425" w:hanging="255"/>
      </w:pPr>
      <w:r>
        <w:rPr>
          <w:rFonts w:ascii="Times New Roman" w:hAnsi="Times New Roman" w:eastAsia="Noto Serif CJK SC"/>
          <w:b w:val="0"/>
          <w:i w:val="0"/>
          <w:color w:val="2F5496"/>
          <w:sz w:val="18"/>
        </w:rPr>
        <w:t xml:space="preserve">●  </w:t>
      </w:r>
      <w:r>
        <w:rPr>
          <w:rFonts w:ascii="Times New Roman" w:hAnsi="Times New Roman" w:eastAsia="Noto Serif CJK SC"/>
          <w:b w:val="0"/>
          <w:i w:val="0"/>
          <w:sz w:val="21"/>
        </w:rPr>
        <w:t>当 0&lt;k&lt;1 时，所有数据按同一比例缩小。</w:t>
      </w:r>
    </w:p>
    <w:p>
      <w:pPr>
        <w:pStyle w:val="要点"/>
        <w:spacing w:after="60"/>
        <w:ind w:left="425" w:hanging="255"/>
      </w:pPr>
      <w:r>
        <w:rPr>
          <w:rFonts w:ascii="Times New Roman" w:hAnsi="Times New Roman" w:eastAsia="Noto Serif CJK SC"/>
          <w:b w:val="0"/>
          <w:i w:val="0"/>
          <w:color w:val="2F5496"/>
          <w:sz w:val="18"/>
        </w:rPr>
        <w:t xml:space="preserve">●  </w:t>
      </w:r>
      <w:r>
        <w:rPr>
          <w:rFonts w:ascii="Times New Roman" w:hAnsi="Times New Roman" w:eastAsia="Noto Serif CJK SC"/>
          <w:b w:val="0"/>
          <w:i w:val="0"/>
          <w:sz w:val="21"/>
        </w:rPr>
        <w:t>当 k&lt;0 时，除绝对值发生缩放外，符号还会反转。</w:t>
      </w:r>
    </w:p>
    <w:p>
      <w:pPr>
        <w:pStyle w:val="要点"/>
        <w:spacing w:after="60"/>
        <w:ind w:left="425" w:hanging="255"/>
      </w:pPr>
      <w:r>
        <w:rPr>
          <w:rFonts w:ascii="Times New Roman" w:hAnsi="Times New Roman" w:eastAsia="Noto Serif CJK SC"/>
          <w:b w:val="0"/>
          <w:i w:val="0"/>
          <w:color w:val="2F5496"/>
          <w:sz w:val="18"/>
        </w:rPr>
        <w:t xml:space="preserve">●  </w:t>
      </w:r>
      <w:r>
        <w:rPr>
          <w:rFonts w:ascii="Times New Roman" w:hAnsi="Times New Roman" w:eastAsia="Noto Serif CJK SC"/>
          <w:b w:val="0"/>
          <w:i w:val="0"/>
          <w:sz w:val="21"/>
        </w:rPr>
        <w:t>当 k=0 时，结果是零矩阵。</w:t>
      </w:r>
    </w:p>
    <w:p>
      <w:pPr>
        <w:pStyle w:val="正文"/>
        <w:spacing w:after="100"/>
        <w:ind w:firstLine="420"/>
      </w:pPr>
      <w:r>
        <w:rPr>
          <w:rFonts w:ascii="Times New Roman" w:hAnsi="Times New Roman" w:eastAsia="Noto Serif CJK SC"/>
          <w:b/>
          <w:i w:val="0"/>
          <w:color w:val="1F4E79"/>
          <w:sz w:val="22"/>
        </w:rPr>
        <w:t>线性变换层面：</w:t>
      </w:r>
      <w:r>
        <w:rPr>
          <w:rFonts w:ascii="Times New Roman" w:hAnsi="Times New Roman" w:eastAsia="Noto Serif CJK SC"/>
          <w:b w:val="0"/>
          <w:i w:val="0"/>
          <w:sz w:val="22"/>
        </w:rPr>
      </w:r>
    </w:p>
    <w:p>
      <w:pPr>
        <w:pStyle w:val="正文"/>
        <w:spacing w:after="100"/>
      </w:pPr>
      <w:r>
        <w:rPr>
          <w:rFonts w:ascii="Times New Roman" w:hAnsi="Times New Roman" w:eastAsia="Noto Serif CJK SC"/>
          <w:b w:val="0"/>
          <w:i w:val="0"/>
          <w:sz w:val="22"/>
        </w:rPr>
        <w:t>矩阵 A 原来把向量 x 变为 Ax，矩阵 kA 则把这一输出整体乘以 k。</w:t>
      </w:r>
    </w:p>
    <w:p>
      <w:pPr>
        <w:keepLines/>
        <w:spacing w:before="60" w:after="100"/>
        <w:jc w:val="center"/>
      </w:pPr>
      <m:oMathPara>
        <m:oMath>
          <m:r>
            <m:rPr>
              <m:sty m:val="i"/>
            </m:rPr>
            <w:rPr>
              <w:rFonts w:ascii="Cambria Math" w:hAnsi="Cambria Math"/>
              <w:i/>
            </w:rPr>
            <m:t xml:space="preserve">(kA)x=k(Ax)</m:t>
          </m:r>
        </m:oMath>
      </m:oMathPara>
    </w:p>
    <w:tbl>
      <w:tblPr>
        <w:tblW w:type="auto" w:w="0"/>
        <w:jc w:val="center"/>
        <w:tblLayout w:type="fixed"/>
        <w:tblLook w:firstColumn="1" w:firstRow="1" w:lastColumn="0" w:lastRow="0" w:noHBand="0" w:noVBand="1" w:val="04A0"/>
      </w:tblPr>
      <w:tblGrid>
        <w:gridCol w:w="8844"/>
      </w:tblGrid>
      <w:tr>
        <w:trPr>
          <w:cantSplit/>
        </w:trPr>
        <w:tc>
          <w:tcPr>
            <w:tcW w:type="dxa" w:w="8844"/>
            <w:shd w:fill="EAF2F8"/>
            <w:tcMar>
              <w:top w:w="120" w:type="dxa"/>
              <w:start w:w="180" w:type="dxa"/>
              <w:bottom w:w="120" w:type="dxa"/>
              <w:end w:w="180" w:type="dxa"/>
            </w:tcMar>
            <w:vAlign w:val="center"/>
          </w:tcPr>
          <w:p>
            <w:pPr>
              <w:keepNext/>
              <w:spacing w:after="40"/>
            </w:pPr>
            <w:r>
              <w:rPr>
                <w:rFonts w:ascii="Times New Roman" w:hAnsi="Times New Roman" w:eastAsia="Noto Serif CJK SC"/>
                <w:b/>
                <w:i w:val="0"/>
                <w:color w:val="1F4E79"/>
                <w:sz w:val="21"/>
              </w:rPr>
              <w:t>直观理解</w:t>
            </w:r>
          </w:p>
          <w:p>
            <w:pPr>
              <w:keepLines/>
              <w:spacing w:after="0"/>
            </w:pPr>
            <w:r>
              <w:rPr>
                <w:rFonts w:ascii="Times New Roman" w:hAnsi="Times New Roman" w:eastAsia="Noto Serif CJK SC"/>
                <w:b w:val="0"/>
                <w:i w:val="0"/>
                <w:sz w:val="21"/>
              </w:rPr>
              <w:t>数乘改变的是变换输出的尺度。当 k 为负数时，输出向量的方向还会反转。</w:t>
            </w:r>
          </w:p>
        </w:tc>
      </w:tr>
    </w:tbl>
    <w:p>
      <w:pPr>
        <w:spacing w:after="0"/>
      </w:pPr>
    </w:p>
    <w:p>
      <w:pPr>
        <w:pStyle w:val="一级标题"/>
        <w:keepNext/>
        <w:pBdr>
          <w:bottom w:val="single" w:sz="8" w:space="5" w:color="B4C7E7"/>
        </w:pBdr>
      </w:pPr>
      <w:r>
        <w:rPr>
          <w:rFonts w:ascii="Times New Roman" w:hAnsi="Times New Roman" w:eastAsia="Noto Serif CJK SC"/>
          <w:b/>
          <w:i w:val="0"/>
          <w:color w:val="1F4E79"/>
          <w:sz w:val="30"/>
        </w:rPr>
        <w:t>五、加减法与数乘的统一意义</w:t>
      </w:r>
    </w:p>
    <w:p>
      <w:pPr>
        <w:pStyle w:val="正文"/>
        <w:spacing w:after="100"/>
        <w:ind w:firstLine="420"/>
      </w:pPr>
      <w:r>
        <w:rPr>
          <w:rFonts w:ascii="Times New Roman" w:hAnsi="Times New Roman" w:eastAsia="Noto Serif CJK SC"/>
          <w:b w:val="0"/>
          <w:i w:val="0"/>
          <w:sz w:val="22"/>
        </w:rPr>
        <w:t>矩阵的加法、减法和数乘可以统一为“矩阵的线性组合”。例如，2A−3B 表示先把 A 的全部元素放大 2 倍，把 B 的全部元素放大 3 倍，再逐项相减。</w:t>
      </w:r>
    </w:p>
    <w:p>
      <w:pPr>
        <w:keepLines/>
        <w:spacing w:before="60" w:after="100"/>
        <w:jc w:val="center"/>
      </w:pPr>
      <m:oMathPara>
        <m:oMath>
          <m:r>
            <m:rPr>
              <m:sty m:val="i"/>
            </m:rPr>
            <w:rPr>
              <w:rFonts w:ascii="Cambria Math" w:hAnsi="Cambria Math"/>
              <w:i/>
            </w:rPr>
            <m:t xml:space="preserve">2A−3B</m:t>
          </m:r>
        </m:oMath>
      </m:oMathPara>
    </w:p>
    <w:p>
      <w:pPr>
        <w:keepLines/>
        <w:spacing w:before="60" w:after="100"/>
        <w:jc w:val="center"/>
      </w:pPr>
      <m:oMathPara>
        <m:oMath>
          <m:r>
            <m:rPr>
              <m:sty m:val="i"/>
            </m:rPr>
            <w:rPr>
              <w:rFonts w:ascii="Cambria Math" w:hAnsi="Cambria Math"/>
              <w:i/>
            </w:rPr>
            <m:t xml:space="preserve">(2A−3B)x=2Ax−3Bx</m:t>
          </m:r>
        </m:oMath>
      </m:oMathPara>
    </w:p>
    <w:p>
      <w:pPr>
        <w:pStyle w:val="正文"/>
        <w:spacing w:after="100"/>
        <w:ind w:firstLine="420"/>
      </w:pPr>
      <w:r>
        <w:rPr>
          <w:rFonts w:ascii="Times New Roman" w:hAnsi="Times New Roman" w:eastAsia="Noto Serif CJK SC"/>
          <w:b w:val="0"/>
          <w:i w:val="0"/>
          <w:sz w:val="22"/>
        </w:rPr>
        <w:t>因此，加法、减法和数乘的共同核心是：在保持矩阵行列结构不变的前提下，对同类数据或同一输入下的变换结果进行组合、比较与缩放。</w:t>
      </w:r>
    </w:p>
    <w:p>
      <w:pPr>
        <w:pStyle w:val="一级标题"/>
        <w:keepNext/>
        <w:pBdr>
          <w:bottom w:val="single" w:sz="8" w:space="5" w:color="B4C7E7"/>
        </w:pBdr>
      </w:pPr>
      <w:r>
        <w:rPr>
          <w:rFonts w:ascii="Times New Roman" w:hAnsi="Times New Roman" w:eastAsia="Noto Serif CJK SC"/>
          <w:b/>
          <w:i w:val="0"/>
          <w:color w:val="1F4E79"/>
          <w:sz w:val="30"/>
        </w:rPr>
        <w:t>六、矩阵乘法的意义</w:t>
      </w:r>
    </w:p>
    <w:p>
      <w:pPr>
        <w:pStyle w:val="二级标题"/>
        <w:keepNext/>
      </w:pPr>
      <w:r>
        <w:rPr>
          <w:rFonts w:ascii="Times New Roman" w:hAnsi="Times New Roman" w:eastAsia="Noto Serif CJK SC"/>
          <w:b/>
          <w:i w:val="0"/>
          <w:color w:val="2F5496"/>
          <w:sz w:val="24"/>
        </w:rPr>
        <w:t>1. 运算条件与行列规则</w:t>
      </w:r>
    </w:p>
    <w:p>
      <w:pPr>
        <w:pStyle w:val="正文"/>
        <w:spacing w:after="100"/>
        <w:ind w:firstLine="420"/>
      </w:pPr>
      <w:r>
        <w:rPr>
          <w:rFonts w:ascii="Times New Roman" w:hAnsi="Times New Roman" w:eastAsia="Noto Serif CJK SC"/>
          <w:b w:val="0"/>
          <w:i w:val="0"/>
          <w:sz w:val="22"/>
        </w:rPr>
        <w:t>若 A 是 m×n 矩阵，B 是 n×p 矩阵，则 A 与 B 可以相乘，乘积 AB 是 m×p 矩阵。前一个矩阵的列数必须等于后一个矩阵的行数。</w:t>
      </w:r>
    </w:p>
    <w:p>
      <w:pPr>
        <w:keepLines/>
        <w:spacing w:before="60" w:after="100"/>
        <w:jc w:val="center"/>
      </w:pPr>
      <m:oMathPara>
        <m:oMath>
          <m:sSub>
            <m:sSubPr/>
            <m:e>
              <m:r>
                <m:rPr>
                  <m:sty m:val="i"/>
                </m:rPr>
                <w:rPr>
                  <w:rFonts w:ascii="Cambria Math" w:hAnsi="Cambria Math"/>
                  <w:i/>
                </w:rPr>
                <m:t xml:space="preserve">A</m:t>
              </m:r>
            </m:e>
            <m:sub>
              <m:r>
                <m:rPr>
                  <m:sty m:val="i"/>
                </m:rPr>
                <w:rPr>
                  <w:rFonts w:ascii="Cambria Math" w:hAnsi="Cambria Math"/>
                  <w:i/>
                </w:rPr>
                <m:t xml:space="preserve">m×n</m:t>
              </m:r>
            </m:sub>
          </m:sSub>
          <m:sSub>
            <m:sSubPr/>
            <m:e>
              <m:r>
                <m:rPr>
                  <m:sty m:val="i"/>
                </m:rPr>
                <w:rPr>
                  <w:rFonts w:ascii="Cambria Math" w:hAnsi="Cambria Math"/>
                  <w:i/>
                </w:rPr>
                <m:t xml:space="preserve">B</m:t>
              </m:r>
            </m:e>
            <m:sub>
              <m:r>
                <m:rPr>
                  <m:sty m:val="i"/>
                </m:rPr>
                <w:rPr>
                  <w:rFonts w:ascii="Cambria Math" w:hAnsi="Cambria Math"/>
                  <w:i/>
                </w:rPr>
                <m:t xml:space="preserve">n×p</m:t>
              </m:r>
            </m:sub>
          </m:sSub>
          <m:r>
            <m:rPr>
              <m:sty m:val="i"/>
            </m:rPr>
            <w:rPr>
              <w:rFonts w:ascii="Cambria Math" w:hAnsi="Cambria Math"/>
              <w:i/>
            </w:rPr>
            <m:t xml:space="preserve">=</m:t>
          </m:r>
          <m:sSub>
            <m:sSubPr/>
            <m:e>
              <m:r>
                <m:rPr>
                  <m:sty m:val="i"/>
                </m:rPr>
                <w:rPr>
                  <w:rFonts w:ascii="Cambria Math" w:hAnsi="Cambria Math"/>
                  <w:i/>
                </w:rPr>
                <m:t xml:space="preserve">C</m:t>
              </m:r>
            </m:e>
            <m:sub>
              <m:r>
                <m:rPr>
                  <m:sty m:val="i"/>
                </m:rPr>
                <w:rPr>
                  <w:rFonts w:ascii="Cambria Math" w:hAnsi="Cambria Math"/>
                  <w:i/>
                </w:rPr>
                <m:t xml:space="preserve">m×p</m:t>
              </m:r>
            </m:sub>
          </m:sSub>
        </m:oMath>
      </m:oMathPara>
    </w:p>
    <w:p>
      <w:pPr>
        <w:pStyle w:val="正文"/>
        <w:spacing w:after="100"/>
        <w:ind w:firstLine="420"/>
      </w:pPr>
      <w:r>
        <w:rPr>
          <w:rFonts w:ascii="Times New Roman" w:hAnsi="Times New Roman" w:eastAsia="Noto Serif CJK SC"/>
          <w:b w:val="0"/>
          <w:i w:val="0"/>
          <w:sz w:val="22"/>
        </w:rPr>
        <w:t>乘积 AB 的第 i 行第 j 列元素，由 A 的第 i 行与 B 的第 j 列做内积得到。</w:t>
      </w:r>
    </w:p>
    <w:p>
      <w:pPr>
        <w:keepLines/>
        <w:spacing w:before="60" w:after="100"/>
        <w:jc w:val="center"/>
      </w:pPr>
      <m:oMathPara>
        <m:oMath>
          <m:sSub>
            <m:sSubPr/>
            <m:e>
              <m:r>
                <m:rPr>
                  <m:sty m:val="i"/>
                </m:rPr>
                <w:rPr>
                  <w:rFonts w:ascii="Cambria Math" w:hAnsi="Cambria Math"/>
                  <w:i/>
                </w:rPr>
                <m:t xml:space="preserve">(AB)</m:t>
              </m:r>
            </m:e>
            <m:sub>
              <m:r>
                <m:rPr>
                  <m:sty m:val="i"/>
                </m:rPr>
                <w:rPr>
                  <w:rFonts w:ascii="Cambria Math" w:hAnsi="Cambria Math"/>
                  <w:i/>
                </w:rPr>
                <m:t xml:space="preserve">ij</m:t>
              </m:r>
            </m:sub>
          </m:sSub>
          <m:r>
            <m:rPr>
              <m:sty m:val="i"/>
            </m:rPr>
            <w:rPr>
              <w:rFonts w:ascii="Cambria Math" w:hAnsi="Cambria Math"/>
              <w:i/>
            </w:rPr>
            <m:t xml:space="preserve">=</m:t>
          </m:r>
          <m:nary>
            <m:naryPr>
              <m:chr m:val="∑"/>
              <m:limLoc m:val="undOvr"/>
              <m:subHide m:val="0"/>
              <m:supHide m:val="0"/>
            </m:naryPr>
            <m:sub>
              <m:r>
                <m:rPr>
                  <m:sty m:val="i"/>
                </m:rPr>
                <w:rPr>
                  <w:rFonts w:ascii="Cambria Math" w:hAnsi="Cambria Math"/>
                  <w:i/>
                </w:rPr>
                <m:t xml:space="preserve">k=1</m:t>
              </m:r>
            </m:sub>
            <m:sup>
              <m:r>
                <m:rPr>
                  <m:sty m:val="i"/>
                </m:rPr>
                <w:rPr>
                  <w:rFonts w:ascii="Cambria Math" w:hAnsi="Cambria Math"/>
                  <w:i/>
                </w:rPr>
                <m:t xml:space="preserve">n</m:t>
              </m:r>
            </m:sup>
            <m:e>
              <m:sSub>
                <m:sSubPr/>
                <m:e>
                  <m:r>
                    <m:rPr>
                      <m:sty m:val="i"/>
                    </m:rPr>
                    <w:rPr>
                      <w:rFonts w:ascii="Cambria Math" w:hAnsi="Cambria Math"/>
                      <w:i/>
                    </w:rPr>
                    <m:t xml:space="preserve">a</m:t>
                  </m:r>
                </m:e>
                <m:sub>
                  <m:r>
                    <m:rPr>
                      <m:sty m:val="i"/>
                    </m:rPr>
                    <w:rPr>
                      <w:rFonts w:ascii="Cambria Math" w:hAnsi="Cambria Math"/>
                      <w:i/>
                    </w:rPr>
                    <m:t xml:space="preserve">ik</m:t>
                  </m:r>
                </m:sub>
              </m:sSub>
              <m:sSub>
                <m:sSubPr/>
                <m:e>
                  <m:r>
                    <m:rPr>
                      <m:sty m:val="i"/>
                    </m:rPr>
                    <w:rPr>
                      <w:rFonts w:ascii="Cambria Math" w:hAnsi="Cambria Math"/>
                      <w:i/>
                    </w:rPr>
                    <m:t xml:space="preserve">b</m:t>
                  </m:r>
                </m:e>
                <m:sub>
                  <m:r>
                    <m:rPr>
                      <m:sty m:val="i"/>
                    </m:rPr>
                    <w:rPr>
                      <w:rFonts w:ascii="Cambria Math" w:hAnsi="Cambria Math"/>
                      <w:i/>
                    </w:rPr>
                    <m:t xml:space="preserve">kj</m:t>
                  </m:r>
                </m:sub>
              </m:sSub>
            </m:e>
          </m:nary>
        </m:oMath>
      </m:oMathPara>
    </w:p>
    <w:tbl>
      <w:tblPr>
        <w:tblW w:type="auto" w:w="0"/>
        <w:jc w:val="center"/>
        <w:tblLayout w:type="fixed"/>
        <w:tblLook w:firstColumn="1" w:firstRow="1" w:lastColumn="0" w:lastRow="0" w:noHBand="0" w:noVBand="1" w:val="04A0"/>
      </w:tblPr>
      <w:tblGrid>
        <w:gridCol w:w="8844"/>
      </w:tblGrid>
      <w:tr>
        <w:trPr>
          <w:cantSplit/>
        </w:trPr>
        <w:tc>
          <w:tcPr>
            <w:tcW w:type="dxa" w:w="8844"/>
            <w:shd w:fill="EAF2F8"/>
            <w:tcMar>
              <w:top w:w="120" w:type="dxa"/>
              <w:start w:w="180" w:type="dxa"/>
              <w:bottom w:w="120" w:type="dxa"/>
              <w:end w:w="180" w:type="dxa"/>
            </w:tcMar>
            <w:vAlign w:val="center"/>
          </w:tcPr>
          <w:p>
            <w:pPr>
              <w:keepNext/>
              <w:spacing w:after="40"/>
            </w:pPr>
            <w:r>
              <w:rPr>
                <w:rFonts w:ascii="Times New Roman" w:hAnsi="Times New Roman" w:eastAsia="Noto Serif CJK SC"/>
                <w:b/>
                <w:i w:val="0"/>
                <w:color w:val="1F4E79"/>
                <w:sz w:val="21"/>
              </w:rPr>
              <w:t>维数记忆</w:t>
            </w:r>
          </w:p>
          <w:p>
            <w:pPr>
              <w:keepLines/>
              <w:spacing w:after="0"/>
            </w:pPr>
            <w:r>
              <w:rPr>
                <w:rFonts w:ascii="Times New Roman" w:hAnsi="Times New Roman" w:eastAsia="Noto Serif CJK SC"/>
                <w:b w:val="0"/>
                <w:i w:val="0"/>
                <w:sz w:val="21"/>
              </w:rPr>
              <w:t>矩阵相乘时“内侧维数相等，外侧维数保留”：(m×n)(n×p)=m×p。</w:t>
            </w:r>
          </w:p>
        </w:tc>
      </w:tr>
    </w:tbl>
    <w:p>
      <w:pPr>
        <w:spacing w:after="0"/>
      </w:pPr>
    </w:p>
    <w:p>
      <w:pPr>
        <w:pStyle w:val="二级标题"/>
        <w:keepNext/>
      </w:pPr>
      <w:r>
        <w:rPr>
          <w:rFonts w:ascii="Times New Roman" w:hAnsi="Times New Roman" w:eastAsia="Noto Serif CJK SC"/>
          <w:b/>
          <w:i w:val="0"/>
          <w:color w:val="2F5496"/>
          <w:sz w:val="24"/>
        </w:rPr>
        <w:t>2. 二阶矩阵乘法示例</w:t>
      </w:r>
    </w:p>
    <w:p>
      <w:pPr>
        <w:keepLines/>
        <w:spacing w:before="60" w:after="100"/>
        <w:jc w:val="center"/>
      </w:pPr>
      <m:oMathPara>
        <m:oMath>
          <m:r>
            <m:rPr>
              <m:sty m:val="i"/>
            </m:rPr>
            <w:rPr>
              <w:rFonts w:ascii="Cambria Math" w:hAnsi="Cambria Math"/>
              <w:i/>
            </w:rPr>
            <m:t xml:space="preserve">A=</m:t>
          </m:r>
          <m:d>
            <m:dPr>
              <m:begChr m:val="("/>
              <m:endChr m:val=")"/>
              <m:grow m:val="1"/>
            </m:dPr>
            <m:e>
              <m:m>
                <m:mPr>
                  <m:mcs>
                    <m:mc>
                      <m:mcPr>
                        <m:count m:val="2"/>
                        <m:mcJc m:val="center"/>
                      </m:mcPr>
                    </m:mc>
                  </m:mcs>
                </m:mPr>
                <m:mr>
                  <m:e>
                    <m:r>
                      <m:rPr>
                        <m:sty m:val="i"/>
                      </m:rPr>
                      <w:rPr>
                        <w:rFonts w:ascii="Cambria Math" w:hAnsi="Cambria Math"/>
                        <w:i/>
                      </w:rPr>
                      <m:t xml:space="preserve">a₁₁</m:t>
                    </m:r>
                  </m:e>
                  <m:e>
                    <m:r>
                      <m:rPr>
                        <m:sty m:val="i"/>
                      </m:rPr>
                      <w:rPr>
                        <w:rFonts w:ascii="Cambria Math" w:hAnsi="Cambria Math"/>
                        <w:i/>
                      </w:rPr>
                      <m:t xml:space="preserve">a₁₂</m:t>
                    </m:r>
                  </m:e>
                </m:mr>
                <m:mr>
                  <m:e>
                    <m:r>
                      <m:rPr>
                        <m:sty m:val="i"/>
                      </m:rPr>
                      <w:rPr>
                        <w:rFonts w:ascii="Cambria Math" w:hAnsi="Cambria Math"/>
                        <w:i/>
                      </w:rPr>
                      <m:t xml:space="preserve">a₂₁</m:t>
                    </m:r>
                  </m:e>
                  <m:e>
                    <m:r>
                      <m:rPr>
                        <m:sty m:val="i"/>
                      </m:rPr>
                      <w:rPr>
                        <w:rFonts w:ascii="Cambria Math" w:hAnsi="Cambria Math"/>
                        <w:i/>
                      </w:rPr>
                      <m:t xml:space="preserve">a₂₂</m:t>
                    </m:r>
                  </m:e>
                </m:mr>
              </m:m>
            </m:e>
          </m:d>
          <m:r>
            <m:rPr>
              <m:sty m:val="i"/>
            </m:rPr>
            <w:rPr>
              <w:rFonts w:ascii="Cambria Math" w:hAnsi="Cambria Math"/>
              <w:i/>
            </w:rPr>
            <m:t xml:space="preserve">，B=</m:t>
          </m:r>
          <m:d>
            <m:dPr>
              <m:begChr m:val="("/>
              <m:endChr m:val=")"/>
              <m:grow m:val="1"/>
            </m:dPr>
            <m:e>
              <m:m>
                <m:mPr>
                  <m:mcs>
                    <m:mc>
                      <m:mcPr>
                        <m:count m:val="2"/>
                        <m:mcJc m:val="center"/>
                      </m:mcPr>
                    </m:mc>
                  </m:mcs>
                </m:mPr>
                <m:mr>
                  <m:e>
                    <m:r>
                      <m:rPr>
                        <m:sty m:val="i"/>
                      </m:rPr>
                      <w:rPr>
                        <w:rFonts w:ascii="Cambria Math" w:hAnsi="Cambria Math"/>
                        <w:i/>
                      </w:rPr>
                      <m:t xml:space="preserve">b₁₁</m:t>
                    </m:r>
                  </m:e>
                  <m:e>
                    <m:r>
                      <m:rPr>
                        <m:sty m:val="i"/>
                      </m:rPr>
                      <w:rPr>
                        <w:rFonts w:ascii="Cambria Math" w:hAnsi="Cambria Math"/>
                        <w:i/>
                      </w:rPr>
                      <m:t xml:space="preserve">b₁₂</m:t>
                    </m:r>
                  </m:e>
                </m:mr>
                <m:mr>
                  <m:e>
                    <m:r>
                      <m:rPr>
                        <m:sty m:val="i"/>
                      </m:rPr>
                      <w:rPr>
                        <w:rFonts w:ascii="Cambria Math" w:hAnsi="Cambria Math"/>
                        <w:i/>
                      </w:rPr>
                      <m:t xml:space="preserve">b₂₁</m:t>
                    </m:r>
                  </m:e>
                  <m:e>
                    <m:r>
                      <m:rPr>
                        <m:sty m:val="i"/>
                      </m:rPr>
                      <w:rPr>
                        <w:rFonts w:ascii="Cambria Math" w:hAnsi="Cambria Math"/>
                        <w:i/>
                      </w:rPr>
                      <m:t xml:space="preserve">b₂₂</m:t>
                    </m:r>
                  </m:e>
                </m:mr>
              </m:m>
            </m:e>
          </m:d>
        </m:oMath>
      </m:oMathPara>
    </w:p>
    <w:p>
      <w:pPr>
        <w:keepLines/>
        <w:spacing w:before="60" w:after="100"/>
        <w:jc w:val="center"/>
      </w:pPr>
      <m:oMathPara>
        <m:oMath>
          <m:r>
            <m:rPr>
              <m:sty m:val="i"/>
            </m:rPr>
            <w:rPr>
              <w:rFonts w:ascii="Cambria Math" w:hAnsi="Cambria Math"/>
              <w:i/>
            </w:rPr>
            <m:t xml:space="preserve">AB=</m:t>
          </m:r>
          <m:d>
            <m:dPr>
              <m:begChr m:val="("/>
              <m:endChr m:val=")"/>
              <m:grow m:val="1"/>
            </m:dPr>
            <m:e>
              <m:m>
                <m:mPr>
                  <m:mcs>
                    <m:mc>
                      <m:mcPr>
                        <m:count m:val="2"/>
                        <m:mcJc m:val="center"/>
                      </m:mcPr>
                    </m:mc>
                  </m:mcs>
                </m:mPr>
                <m:mr>
                  <m:e>
                    <m:r>
                      <m:rPr>
                        <m:sty m:val="i"/>
                      </m:rPr>
                      <w:rPr>
                        <w:rFonts w:ascii="Cambria Math" w:hAnsi="Cambria Math"/>
                        <w:i/>
                      </w:rPr>
                      <m:t xml:space="preserve">a₁₁b₁₁+a₁₂b₂₁</m:t>
                    </m:r>
                  </m:e>
                  <m:e>
                    <m:r>
                      <m:rPr>
                        <m:sty m:val="i"/>
                      </m:rPr>
                      <w:rPr>
                        <w:rFonts w:ascii="Cambria Math" w:hAnsi="Cambria Math"/>
                        <w:i/>
                      </w:rPr>
                      <m:t xml:space="preserve">a₁₁b₁₂+a₁₂b₂₂</m:t>
                    </m:r>
                  </m:e>
                </m:mr>
                <m:mr>
                  <m:e>
                    <m:r>
                      <m:rPr>
                        <m:sty m:val="i"/>
                      </m:rPr>
                      <w:rPr>
                        <w:rFonts w:ascii="Cambria Math" w:hAnsi="Cambria Math"/>
                        <w:i/>
                      </w:rPr>
                      <m:t xml:space="preserve">a₂₁b₁₁+a₂₂b₂₁</m:t>
                    </m:r>
                  </m:e>
                  <m:e>
                    <m:r>
                      <m:rPr>
                        <m:sty m:val="i"/>
                      </m:rPr>
                      <w:rPr>
                        <w:rFonts w:ascii="Cambria Math" w:hAnsi="Cambria Math"/>
                        <w:i/>
                      </w:rPr>
                      <m:t xml:space="preserve">a₂₁b₁₂+a₂₂b₂₂</m:t>
                    </m:r>
                  </m:e>
                </m:mr>
              </m:m>
            </m:e>
          </m:d>
        </m:oMath>
      </m:oMathPara>
    </w:p>
    <w:p>
      <w:pPr>
        <w:keepLines/>
        <w:spacing w:before="60" w:after="100"/>
        <w:jc w:val="center"/>
      </w:pPr>
      <m:oMathPara>
        <m:oMath>
          <m:d>
            <m:dPr>
              <m:begChr m:val="("/>
              <m:endChr m:val=")"/>
              <m:grow m:val="1"/>
            </m:dPr>
            <m:e>
              <m:m>
                <m:mPr>
                  <m:mcs>
                    <m:mc>
                      <m:mcPr>
                        <m:count m:val="2"/>
                        <m:mcJc m:val="center"/>
                      </m:mcPr>
                    </m:mc>
                  </m:mcs>
                </m:mPr>
                <m:mr>
                  <m:e>
                    <m:r>
                      <m:rPr>
                        <m:sty m:val="i"/>
                      </m:rPr>
                      <w:rPr>
                        <w:rFonts w:ascii="Cambria Math" w:hAnsi="Cambria Math"/>
                        <w:i/>
                      </w:rPr>
                      <m:t xml:space="preserve">1</m:t>
                    </m:r>
                  </m:e>
                  <m:e>
                    <m:r>
                      <m:rPr>
                        <m:sty m:val="i"/>
                      </m:rPr>
                      <w:rPr>
                        <w:rFonts w:ascii="Cambria Math" w:hAnsi="Cambria Math"/>
                        <w:i/>
                      </w:rPr>
                      <m:t xml:space="preserve">2</m:t>
                    </m:r>
                  </m:e>
                </m:mr>
                <m:mr>
                  <m:e>
                    <m:r>
                      <m:rPr>
                        <m:sty m:val="i"/>
                      </m:rPr>
                      <w:rPr>
                        <w:rFonts w:ascii="Cambria Math" w:hAnsi="Cambria Math"/>
                        <w:i/>
                      </w:rPr>
                      <m:t xml:space="preserve">3</m:t>
                    </m:r>
                  </m:e>
                  <m:e>
                    <m:r>
                      <m:rPr>
                        <m:sty m:val="i"/>
                      </m:rPr>
                      <w:rPr>
                        <w:rFonts w:ascii="Cambria Math" w:hAnsi="Cambria Math"/>
                        <w:i/>
                      </w:rPr>
                      <m:t xml:space="preserve">4</m:t>
                    </m:r>
                  </m:e>
                </m:mr>
              </m:m>
            </m:e>
          </m:d>
          <m:d>
            <m:dPr>
              <m:begChr m:val="("/>
              <m:endChr m:val=")"/>
              <m:grow m:val="1"/>
            </m:dPr>
            <m:e>
              <m:m>
                <m:mPr>
                  <m:mcs>
                    <m:mc>
                      <m:mcPr>
                        <m:count m:val="2"/>
                        <m:mcJc m:val="center"/>
                      </m:mcPr>
                    </m:mc>
                  </m:mcs>
                </m:mPr>
                <m:mr>
                  <m:e>
                    <m:r>
                      <m:rPr>
                        <m:sty m:val="i"/>
                      </m:rPr>
                      <w:rPr>
                        <w:rFonts w:ascii="Cambria Math" w:hAnsi="Cambria Math"/>
                        <w:i/>
                      </w:rPr>
                      <m:t xml:space="preserve">5</m:t>
                    </m:r>
                  </m:e>
                  <m:e>
                    <m:r>
                      <m:rPr>
                        <m:sty m:val="i"/>
                      </m:rPr>
                      <w:rPr>
                        <w:rFonts w:ascii="Cambria Math" w:hAnsi="Cambria Math"/>
                        <w:i/>
                      </w:rPr>
                      <m:t xml:space="preserve">6</m:t>
                    </m:r>
                  </m:e>
                </m:mr>
                <m:mr>
                  <m:e>
                    <m:r>
                      <m:rPr>
                        <m:sty m:val="i"/>
                      </m:rPr>
                      <w:rPr>
                        <w:rFonts w:ascii="Cambria Math" w:hAnsi="Cambria Math"/>
                        <w:i/>
                      </w:rPr>
                      <m:t xml:space="preserve">7</m:t>
                    </m:r>
                  </m:e>
                  <m:e>
                    <m:r>
                      <m:rPr>
                        <m:sty m:val="i"/>
                      </m:rPr>
                      <w:rPr>
                        <w:rFonts w:ascii="Cambria Math" w:hAnsi="Cambria Math"/>
                        <w:i/>
                      </w:rPr>
                      <m:t xml:space="preserve">8</m:t>
                    </m:r>
                  </m:e>
                </m:mr>
              </m:m>
            </m:e>
          </m:d>
          <m:r>
            <m:rPr>
              <m:sty m:val="i"/>
            </m:rPr>
            <w:rPr>
              <w:rFonts w:ascii="Cambria Math" w:hAnsi="Cambria Math"/>
              <w:i/>
            </w:rPr>
            <m:t xml:space="preserve">=</m:t>
          </m:r>
          <m:d>
            <m:dPr>
              <m:begChr m:val="("/>
              <m:endChr m:val=")"/>
              <m:grow m:val="1"/>
            </m:dPr>
            <m:e>
              <m:m>
                <m:mPr>
                  <m:mcs>
                    <m:mc>
                      <m:mcPr>
                        <m:count m:val="2"/>
                        <m:mcJc m:val="center"/>
                      </m:mcPr>
                    </m:mc>
                  </m:mcs>
                </m:mPr>
                <m:mr>
                  <m:e>
                    <m:r>
                      <m:rPr>
                        <m:sty m:val="i"/>
                      </m:rPr>
                      <w:rPr>
                        <w:rFonts w:ascii="Cambria Math" w:hAnsi="Cambria Math"/>
                        <w:i/>
                      </w:rPr>
                      <m:t xml:space="preserve">19</m:t>
                    </m:r>
                  </m:e>
                  <m:e>
                    <m:r>
                      <m:rPr>
                        <m:sty m:val="i"/>
                      </m:rPr>
                      <w:rPr>
                        <w:rFonts w:ascii="Cambria Math" w:hAnsi="Cambria Math"/>
                        <w:i/>
                      </w:rPr>
                      <m:t xml:space="preserve">22</m:t>
                    </m:r>
                  </m:e>
                </m:mr>
                <m:mr>
                  <m:e>
                    <m:r>
                      <m:rPr>
                        <m:sty m:val="i"/>
                      </m:rPr>
                      <w:rPr>
                        <w:rFonts w:ascii="Cambria Math" w:hAnsi="Cambria Math"/>
                        <w:i/>
                      </w:rPr>
                      <m:t xml:space="preserve">43</m:t>
                    </m:r>
                  </m:e>
                  <m:e>
                    <m:r>
                      <m:rPr>
                        <m:sty m:val="i"/>
                      </m:rPr>
                      <w:rPr>
                        <w:rFonts w:ascii="Cambria Math" w:hAnsi="Cambria Math"/>
                        <w:i/>
                      </w:rPr>
                      <m:t xml:space="preserve">50</m:t>
                    </m:r>
                  </m:e>
                </m:mr>
              </m:m>
            </m:e>
          </m:d>
        </m:oMath>
      </m:oMathPara>
    </w:p>
    <w:p>
      <w:pPr>
        <w:pStyle w:val="二级标题"/>
        <w:keepNext/>
      </w:pPr>
      <w:r>
        <w:rPr>
          <w:rFonts w:ascii="Times New Roman" w:hAnsi="Times New Roman" w:eastAsia="Noto Serif CJK SC"/>
          <w:b/>
          <w:i w:val="0"/>
          <w:color w:val="2F5496"/>
          <w:sz w:val="24"/>
        </w:rPr>
        <w:t>3. 线性变换复合</w:t>
      </w:r>
    </w:p>
    <w:p>
      <w:pPr>
        <w:pStyle w:val="正文"/>
        <w:spacing w:after="100"/>
        <w:ind w:firstLine="420"/>
      </w:pPr>
      <w:r>
        <w:rPr>
          <w:rFonts w:ascii="Times New Roman" w:hAnsi="Times New Roman" w:eastAsia="Noto Serif CJK SC"/>
          <w:b w:val="0"/>
          <w:i w:val="0"/>
          <w:sz w:val="22"/>
        </w:rPr>
        <w:t>矩阵乘法最核心的意义是线性变换的复合。若 B 表示第一个变换，A 表示第二个变换，则对向量 x，先得到 Bx，再对 Bx 施加 A，最终结果为 A(Bx)。</w:t>
      </w:r>
    </w:p>
    <w:p>
      <w:pPr>
        <w:keepLines/>
        <w:spacing w:before="60" w:after="100"/>
        <w:jc w:val="center"/>
      </w:pPr>
      <m:oMathPara>
        <m:oMath>
          <m:r>
            <m:rPr>
              <m:sty m:val="i"/>
            </m:rPr>
            <w:rPr>
              <w:rFonts w:ascii="Cambria Math" w:hAnsi="Cambria Math"/>
              <w:i/>
            </w:rPr>
            <m:t xml:space="preserve">x→Bx→A(Bx)</m:t>
          </m:r>
        </m:oMath>
      </m:oMathPara>
    </w:p>
    <w:p>
      <w:pPr>
        <w:keepLines/>
        <w:spacing w:before="60" w:after="100"/>
        <w:jc w:val="center"/>
      </w:pPr>
      <m:oMathPara>
        <m:oMath>
          <m:r>
            <m:rPr>
              <m:sty m:val="i"/>
            </m:rPr>
            <w:rPr>
              <w:rFonts w:ascii="Cambria Math" w:hAnsi="Cambria Math"/>
              <w:i/>
            </w:rPr>
            <m:t xml:space="preserve">A(Bx)=(AB)x</m:t>
          </m:r>
        </m:oMath>
      </m:oMathPara>
    </w:p>
    <w:p>
      <w:pPr>
        <w:pStyle w:val="正文"/>
        <w:spacing w:after="100"/>
        <w:ind w:firstLine="420"/>
      </w:pPr>
      <w:r>
        <w:rPr>
          <w:rFonts w:ascii="Times New Roman" w:hAnsi="Times New Roman" w:eastAsia="Noto Serif CJK SC"/>
          <w:b w:val="0"/>
          <w:i w:val="0"/>
          <w:sz w:val="22"/>
        </w:rPr>
        <w:t>因此，乘积 AB 表示“先进行 B 变换，再进行 A 变换”。矩阵乘法的运算顺序从右向左读取。</w:t>
      </w:r>
    </w:p>
    <w:tbl>
      <w:tblPr>
        <w:tblW w:type="auto" w:w="0"/>
        <w:jc w:val="center"/>
        <w:tblLayout w:type="fixed"/>
        <w:tblLook w:firstColumn="1" w:firstRow="1" w:lastColumn="0" w:lastRow="0" w:noHBand="0" w:noVBand="1" w:val="04A0"/>
      </w:tblPr>
      <w:tblGrid>
        <w:gridCol w:w="8844"/>
      </w:tblGrid>
      <w:tr>
        <w:trPr>
          <w:cantSplit/>
        </w:trPr>
        <w:tc>
          <w:tcPr>
            <w:tcW w:type="dxa" w:w="8844"/>
            <w:shd w:fill="EAF2F8"/>
            <w:tcMar>
              <w:top w:w="120" w:type="dxa"/>
              <w:start w:w="180" w:type="dxa"/>
              <w:bottom w:w="120" w:type="dxa"/>
              <w:end w:w="180" w:type="dxa"/>
            </w:tcMar>
            <w:vAlign w:val="center"/>
          </w:tcPr>
          <w:p>
            <w:pPr>
              <w:keepNext/>
              <w:spacing w:after="40"/>
            </w:pPr>
            <w:r>
              <w:rPr>
                <w:rFonts w:ascii="Times New Roman" w:hAnsi="Times New Roman" w:eastAsia="Noto Serif CJK SC"/>
                <w:b/>
                <w:i w:val="0"/>
                <w:color w:val="1F4E79"/>
                <w:sz w:val="21"/>
              </w:rPr>
              <w:t>与加法的区别</w:t>
            </w:r>
          </w:p>
          <w:p>
            <w:pPr>
              <w:keepLines/>
              <w:spacing w:after="0"/>
            </w:pPr>
            <w:r>
              <w:rPr>
                <w:rFonts w:ascii="Times New Roman" w:hAnsi="Times New Roman" w:eastAsia="Noto Serif CJK SC"/>
                <w:b w:val="0"/>
                <w:i w:val="0"/>
                <w:sz w:val="21"/>
              </w:rPr>
              <w:t>A+B 表示两个变换结果的相加；AB 表示两个变换按先后顺序复合。</w:t>
            </w:r>
          </w:p>
        </w:tc>
      </w:tr>
    </w:tbl>
    <w:p>
      <w:pPr>
        <w:spacing w:after="0"/>
      </w:pPr>
    </w:p>
    <w:p>
      <w:pPr>
        <w:pStyle w:val="二级标题"/>
        <w:keepNext/>
      </w:pPr>
      <w:r>
        <w:rPr>
          <w:rFonts w:ascii="Times New Roman" w:hAnsi="Times New Roman" w:eastAsia="Noto Serif CJK SC"/>
          <w:b/>
          <w:i w:val="0"/>
          <w:color w:val="2F5496"/>
          <w:sz w:val="24"/>
        </w:rPr>
        <w:t>4. 从列向量线性组合理解</w:t>
      </w:r>
    </w:p>
    <w:p>
      <w:pPr>
        <w:pStyle w:val="正文"/>
        <w:spacing w:after="100"/>
        <w:ind w:firstLine="420"/>
      </w:pPr>
      <w:r>
        <w:rPr>
          <w:rFonts w:ascii="Times New Roman" w:hAnsi="Times New Roman" w:eastAsia="Noto Serif CJK SC"/>
          <w:b w:val="0"/>
          <w:i w:val="0"/>
          <w:sz w:val="22"/>
        </w:rPr>
        <w:t>矩阵乘以一个列向量时，结果可以看成矩阵各列的线性组合。设 A 的两列分别为 a₁、a₂，则：</w:t>
      </w:r>
    </w:p>
    <w:p>
      <w:pPr>
        <w:keepLines/>
        <w:spacing w:before="60" w:after="100"/>
        <w:jc w:val="center"/>
      </w:pPr>
      <m:oMathPara>
        <m:oMath>
          <m:r>
            <m:rPr>
              <m:sty m:val="i"/>
            </m:rPr>
            <w:rPr>
              <w:rFonts w:ascii="Cambria Math" w:hAnsi="Cambria Math"/>
              <w:i/>
            </w:rPr>
            <m:t xml:space="preserve">A=</m:t>
          </m:r>
          <m:d>
            <m:dPr>
              <m:begChr m:val="("/>
              <m:endChr m:val=")"/>
              <m:grow m:val="1"/>
            </m:dPr>
            <m:e>
              <m:m>
                <m:mPr>
                  <m:mcs>
                    <m:mc>
                      <m:mcPr>
                        <m:count m:val="2"/>
                        <m:mcJc m:val="center"/>
                      </m:mcPr>
                    </m:mc>
                  </m:mcs>
                </m:mPr>
                <m:mr>
                  <m:e>
                    <m:r>
                      <m:rPr>
                        <m:sty m:val="i"/>
                      </m:rPr>
                      <w:rPr>
                        <w:rFonts w:ascii="Cambria Math" w:hAnsi="Cambria Math"/>
                        <w:i/>
                      </w:rPr>
                      <m:t xml:space="preserve">a₁</m:t>
                    </m:r>
                  </m:e>
                  <m:e>
                    <m:r>
                      <m:rPr>
                        <m:sty m:val="i"/>
                      </m:rPr>
                      <w:rPr>
                        <w:rFonts w:ascii="Cambria Math" w:hAnsi="Cambria Math"/>
                        <w:i/>
                      </w:rPr>
                      <m:t xml:space="preserve">a₂</m:t>
                    </m:r>
                  </m:e>
                </m:mr>
              </m:m>
            </m:e>
          </m:d>
          <m:r>
            <m:rPr>
              <m:sty m:val="i"/>
            </m:rPr>
            <w:rPr>
              <w:rFonts w:ascii="Cambria Math" w:hAnsi="Cambria Math"/>
              <w:i/>
            </w:rPr>
            <m:t xml:space="preserve">，x=</m:t>
          </m:r>
          <m:d>
            <m:dPr>
              <m:begChr m:val="("/>
              <m:endChr m:val=")"/>
              <m:grow m:val="1"/>
            </m:dPr>
            <m:e>
              <m:m>
                <m:mPr>
                  <m:mcs>
                    <m:mc>
                      <m:mcPr>
                        <m:count m:val="1"/>
                        <m:mcJc m:val="center"/>
                      </m:mcPr>
                    </m:mc>
                  </m:mcs>
                </m:mPr>
                <m:mr>
                  <m:e>
                    <m:r>
                      <m:rPr>
                        <m:sty m:val="i"/>
                      </m:rPr>
                      <w:rPr>
                        <w:rFonts w:ascii="Cambria Math" w:hAnsi="Cambria Math"/>
                        <w:i/>
                      </w:rPr>
                      <m:t xml:space="preserve">x₁</m:t>
                    </m:r>
                  </m:e>
                </m:mr>
                <m:mr>
                  <m:e>
                    <m:r>
                      <m:rPr>
                        <m:sty m:val="i"/>
                      </m:rPr>
                      <w:rPr>
                        <w:rFonts w:ascii="Cambria Math" w:hAnsi="Cambria Math"/>
                        <w:i/>
                      </w:rPr>
                      <m:t xml:space="preserve">x₂</m:t>
                    </m:r>
                  </m:e>
                </m:mr>
              </m:m>
            </m:e>
          </m:d>
        </m:oMath>
      </m:oMathPara>
    </w:p>
    <w:p>
      <w:pPr>
        <w:keepLines/>
        <w:spacing w:before="60" w:after="100"/>
        <w:jc w:val="center"/>
      </w:pPr>
      <m:oMathPara>
        <m:oMath>
          <m:r>
            <m:rPr>
              <m:sty m:val="i"/>
            </m:rPr>
            <w:rPr>
              <w:rFonts w:ascii="Cambria Math" w:hAnsi="Cambria Math"/>
              <w:i/>
            </w:rPr>
            <m:t xml:space="preserve">Ax=x₁a₁+x₂a₂</m:t>
          </m:r>
        </m:oMath>
      </m:oMathPara>
    </w:p>
    <w:p>
      <w:pPr>
        <w:pStyle w:val="正文"/>
        <w:spacing w:after="100"/>
        <w:ind w:firstLine="420"/>
      </w:pPr>
      <w:r>
        <w:rPr>
          <w:rFonts w:ascii="Times New Roman" w:hAnsi="Times New Roman" w:eastAsia="Noto Serif CJK SC"/>
          <w:b w:val="0"/>
          <w:i w:val="0"/>
          <w:sz w:val="22"/>
        </w:rPr>
        <w:t>这说明向量 x 的各分量是组合矩阵各列的权重；矩阵的每一列可以理解为对应标准基向量经过线性变换后的结果。</w:t>
      </w:r>
    </w:p>
    <w:p>
      <w:pPr>
        <w:pStyle w:val="二级标题"/>
        <w:keepNext/>
      </w:pPr>
      <w:r>
        <w:rPr>
          <w:rFonts w:ascii="Times New Roman" w:hAnsi="Times New Roman" w:eastAsia="Noto Serif CJK SC"/>
          <w:b/>
          <w:i w:val="0"/>
          <w:color w:val="2F5496"/>
          <w:sz w:val="24"/>
        </w:rPr>
        <w:t>5. 数据映射与加权汇总</w:t>
      </w:r>
    </w:p>
    <w:p>
      <w:pPr>
        <w:pStyle w:val="正文"/>
        <w:spacing w:after="100"/>
        <w:ind w:firstLine="420"/>
      </w:pPr>
      <w:r>
        <w:rPr>
          <w:rFonts w:ascii="Times New Roman" w:hAnsi="Times New Roman" w:eastAsia="Noto Serif CJK SC"/>
          <w:b w:val="0"/>
          <w:i w:val="0"/>
          <w:sz w:val="22"/>
        </w:rPr>
        <w:t>在实际问题中，矩阵乘法经常用于把一种数据表示转换为另一种表示。例如，商品单价组成行矩阵，购买数量组成列向量，两者相乘即可得到总价。</w:t>
      </w:r>
    </w:p>
    <w:p>
      <w:pPr>
        <w:keepLines/>
        <w:spacing w:before="60" w:after="100"/>
        <w:jc w:val="center"/>
      </w:pPr>
      <m:oMathPara>
        <m:oMath>
          <m:d>
            <m:dPr>
              <m:begChr m:val="("/>
              <m:endChr m:val=")"/>
              <m:grow m:val="1"/>
            </m:dPr>
            <m:e>
              <m:m>
                <m:mPr>
                  <m:mcs>
                    <m:mc>
                      <m:mcPr>
                        <m:count m:val="2"/>
                        <m:mcJc m:val="center"/>
                      </m:mcPr>
                    </m:mc>
                  </m:mcs>
                </m:mPr>
                <m:mr>
                  <m:e>
                    <m:r>
                      <m:rPr>
                        <m:sty m:val="i"/>
                      </m:rPr>
                      <w:rPr>
                        <w:rFonts w:ascii="Cambria Math" w:hAnsi="Cambria Math"/>
                        <w:i/>
                      </w:rPr>
                      <m:t xml:space="preserve">5</m:t>
                    </m:r>
                  </m:e>
                  <m:e>
                    <m:r>
                      <m:rPr>
                        <m:sty m:val="i"/>
                      </m:rPr>
                      <w:rPr>
                        <w:rFonts w:ascii="Cambria Math" w:hAnsi="Cambria Math"/>
                        <w:i/>
                      </w:rPr>
                      <m:t xml:space="preserve">8</m:t>
                    </m:r>
                  </m:e>
                </m:mr>
              </m:m>
            </m:e>
          </m:d>
          <m:d>
            <m:dPr>
              <m:begChr m:val="("/>
              <m:endChr m:val=")"/>
              <m:grow m:val="1"/>
            </m:dPr>
            <m:e>
              <m:m>
                <m:mPr>
                  <m:mcs>
                    <m:mc>
                      <m:mcPr>
                        <m:count m:val="1"/>
                        <m:mcJc m:val="center"/>
                      </m:mcPr>
                    </m:mc>
                  </m:mcs>
                </m:mPr>
                <m:mr>
                  <m:e>
                    <m:r>
                      <m:rPr>
                        <m:sty m:val="i"/>
                      </m:rPr>
                      <w:rPr>
                        <w:rFonts w:ascii="Cambria Math" w:hAnsi="Cambria Math"/>
                        <w:i/>
                      </w:rPr>
                      <m:t xml:space="preserve">10</m:t>
                    </m:r>
                  </m:e>
                </m:mr>
                <m:mr>
                  <m:e>
                    <m:r>
                      <m:rPr>
                        <m:sty m:val="i"/>
                      </m:rPr>
                      <w:rPr>
                        <w:rFonts w:ascii="Cambria Math" w:hAnsi="Cambria Math"/>
                        <w:i/>
                      </w:rPr>
                      <m:t xml:space="preserve">20</m:t>
                    </m:r>
                  </m:e>
                </m:mr>
              </m:m>
            </m:e>
          </m:d>
          <m:r>
            <m:rPr>
              <m:sty m:val="i"/>
            </m:rPr>
            <w:rPr>
              <w:rFonts w:ascii="Cambria Math" w:hAnsi="Cambria Math"/>
              <w:i/>
            </w:rPr>
            <m:t xml:space="preserve">=5×10+8×20=210</m:t>
          </m:r>
        </m:oMath>
      </m:oMathPara>
    </w:p>
    <w:p>
      <w:pPr>
        <w:pStyle w:val="正文"/>
        <w:spacing w:after="100"/>
        <w:ind w:firstLine="420"/>
      </w:pPr>
      <w:r>
        <w:rPr>
          <w:rFonts w:ascii="Times New Roman" w:hAnsi="Times New Roman" w:eastAsia="Noto Serif CJK SC"/>
          <w:b w:val="0"/>
          <w:i w:val="0"/>
          <w:sz w:val="22"/>
        </w:rPr>
        <w:t>在机器学习中，线性层的基本形式也是矩阵乘法：输入特征经过权重矩阵加权组合，得到新的特征表示。</w:t>
      </w:r>
    </w:p>
    <w:p>
      <w:pPr>
        <w:keepLines/>
        <w:spacing w:before="60" w:after="100"/>
        <w:jc w:val="center"/>
      </w:pPr>
      <m:oMathPara>
        <m:oMath>
          <m:r>
            <m:rPr>
              <m:sty m:val="i"/>
            </m:rPr>
            <w:rPr>
              <w:rFonts w:ascii="Cambria Math" w:hAnsi="Cambria Math"/>
              <w:i/>
            </w:rPr>
            <m:t xml:space="preserve">y=Wx+b</m:t>
          </m:r>
        </m:oMath>
      </m:oMathPara>
    </w:p>
    <w:p>
      <w:pPr>
        <w:pStyle w:val="二级标题"/>
        <w:keepNext/>
      </w:pPr>
      <w:r>
        <w:rPr>
          <w:rFonts w:ascii="Times New Roman" w:hAnsi="Times New Roman" w:eastAsia="Noto Serif CJK SC"/>
          <w:b/>
          <w:i w:val="0"/>
          <w:color w:val="2F5496"/>
          <w:sz w:val="24"/>
        </w:rPr>
        <w:t>6. 为什么矩阵乘法通常不可交换</w:t>
      </w:r>
    </w:p>
    <w:p>
      <w:pPr>
        <w:pStyle w:val="正文"/>
        <w:spacing w:after="100"/>
        <w:ind w:firstLine="420"/>
      </w:pPr>
      <w:r>
        <w:rPr>
          <w:rFonts w:ascii="Times New Roman" w:hAnsi="Times New Roman" w:eastAsia="Noto Serif CJK SC"/>
          <w:b w:val="0"/>
          <w:i w:val="0"/>
          <w:sz w:val="22"/>
        </w:rPr>
        <w:t>AB 与 BA 表示不同的变换顺序。先进行 B 再进行 A，通常不同于先进行 A 再进行 B，因此矩阵乘法一般不满足交换律。</w:t>
      </w:r>
    </w:p>
    <w:p>
      <w:pPr>
        <w:keepLines/>
        <w:spacing w:before="60" w:after="100"/>
        <w:jc w:val="center"/>
      </w:pPr>
      <m:oMathPara>
        <m:oMath>
          <m:r>
            <m:rPr>
              <m:sty m:val="i"/>
            </m:rPr>
            <w:rPr>
              <w:rFonts w:ascii="Cambria Math" w:hAnsi="Cambria Math"/>
              <w:i/>
            </w:rPr>
            <m:t xml:space="preserve">AB≠BA</m:t>
          </m:r>
        </m:oMath>
      </m:oMathPara>
    </w:p>
    <w:p>
      <w:pPr>
        <w:pStyle w:val="正文"/>
        <w:spacing w:after="100"/>
        <w:ind w:firstLine="420"/>
      </w:pPr>
      <w:r>
        <w:rPr>
          <w:rFonts w:ascii="Times New Roman" w:hAnsi="Times New Roman" w:eastAsia="Noto Serif CJK SC"/>
          <w:b w:val="0"/>
          <w:i w:val="0"/>
          <w:sz w:val="22"/>
        </w:rPr>
        <w:t>但是矩阵乘法满足结合律，即连续进行三个线性变换时，先把哪两个变换合并不会改变最终结果。</w:t>
      </w:r>
    </w:p>
    <w:p>
      <w:pPr>
        <w:keepLines/>
        <w:spacing w:before="60" w:after="100"/>
        <w:jc w:val="center"/>
      </w:pPr>
      <m:oMathPara>
        <m:oMath>
          <m:r>
            <m:rPr>
              <m:sty m:val="i"/>
            </m:rPr>
            <w:rPr>
              <w:rFonts w:ascii="Cambria Math" w:hAnsi="Cambria Math"/>
              <w:i/>
            </w:rPr>
            <m:t xml:space="preserve">(AB)C=A(BC)</m:t>
          </m:r>
        </m:oMath>
      </m:oMathPara>
    </w:p>
    <w:p>
      <w:pPr>
        <w:pStyle w:val="一级标题"/>
        <w:keepNext/>
        <w:pBdr>
          <w:bottom w:val="single" w:sz="8" w:space="5" w:color="B4C7E7"/>
        </w:pBdr>
      </w:pPr>
      <w:r>
        <w:rPr>
          <w:rFonts w:ascii="Times New Roman" w:hAnsi="Times New Roman" w:eastAsia="Noto Serif CJK SC"/>
          <w:b/>
          <w:i w:val="0"/>
          <w:color w:val="1F4E79"/>
          <w:sz w:val="30"/>
        </w:rPr>
        <w:t>七、四种矩阵运算的对比</w:t>
      </w:r>
    </w:p>
    <w:tbl>
      <w:tblPr>
        <w:tblStyle w:val="TableGrid"/>
        <w:tblW w:type="auto" w:w="0"/>
        <w:jc w:val="center"/>
        <w:tblLayout w:type="fixed"/>
        <w:tblLook w:firstColumn="1" w:firstRow="1" w:lastColumn="0" w:lastRow="0" w:noHBand="0" w:noVBand="1" w:val="04A0"/>
      </w:tblPr>
      <w:tblGrid>
        <w:gridCol w:w="794"/>
        <w:gridCol w:w="1304"/>
        <w:gridCol w:w="1417"/>
        <w:gridCol w:w="2551"/>
        <w:gridCol w:w="3061"/>
      </w:tblGrid>
      <w:tr>
        <w:trPr>
          <w:trHeight w:hRule="atLeast" w:val="482"/>
          <w:tblHeader w:val="true"/>
        </w:trPr>
        <w:tc>
          <w:tcPr>
            <w:tcW w:type="dxa" w:w="503999"/>
            <w:shd w:fill="D9EAF7"/>
            <w:tcMar>
              <w:top w:w="100" w:type="dxa"/>
              <w:start w:w="120" w:type="dxa"/>
              <w:bottom w:w="100" w:type="dxa"/>
              <w:end w:w="120" w:type="dxa"/>
            </w:tcMar>
            <w:vAlign w:val="center"/>
          </w:tcPr>
          <w:p>
            <w:pPr>
              <w:jc w:val="center"/>
            </w:pPr>
            <w:r>
              <w:rPr>
                <w:rFonts w:ascii="Times New Roman" w:hAnsi="Times New Roman" w:eastAsia="Noto Serif CJK SC"/>
                <w:b/>
                <w:i w:val="0"/>
                <w:color w:val="1F4E79"/>
                <w:sz w:val="19"/>
              </w:rPr>
              <w:t>运算</w:t>
            </w:r>
          </w:p>
        </w:tc>
        <w:tc>
          <w:tcPr>
            <w:tcW w:type="dxa" w:w="827999"/>
            <w:shd w:fill="D9EAF7"/>
            <w:tcMar>
              <w:top w:w="100" w:type="dxa"/>
              <w:start w:w="120" w:type="dxa"/>
              <w:bottom w:w="100" w:type="dxa"/>
              <w:end w:w="120" w:type="dxa"/>
            </w:tcMar>
            <w:vAlign w:val="center"/>
          </w:tcPr>
          <w:p>
            <w:pPr>
              <w:jc w:val="center"/>
            </w:pPr>
            <w:r>
              <w:rPr>
                <w:rFonts w:ascii="Times New Roman" w:hAnsi="Times New Roman" w:eastAsia="Noto Serif CJK SC"/>
                <w:b/>
                <w:i w:val="0"/>
                <w:color w:val="1F4E79"/>
                <w:sz w:val="19"/>
              </w:rPr>
              <w:t>成立条件</w:t>
            </w:r>
          </w:p>
        </w:tc>
        <w:tc>
          <w:tcPr>
            <w:tcW w:type="dxa" w:w="900000"/>
            <w:shd w:fill="D9EAF7"/>
            <w:tcMar>
              <w:top w:w="100" w:type="dxa"/>
              <w:start w:w="120" w:type="dxa"/>
              <w:bottom w:w="100" w:type="dxa"/>
              <w:end w:w="120" w:type="dxa"/>
            </w:tcMar>
            <w:vAlign w:val="center"/>
          </w:tcPr>
          <w:p>
            <w:pPr>
              <w:jc w:val="center"/>
            </w:pPr>
            <w:r>
              <w:rPr>
                <w:rFonts w:ascii="Times New Roman" w:hAnsi="Times New Roman" w:eastAsia="Noto Serif CJK SC"/>
                <w:b/>
                <w:i w:val="0"/>
                <w:color w:val="1F4E79"/>
                <w:sz w:val="19"/>
              </w:rPr>
              <w:t>计算方式</w:t>
            </w:r>
          </w:p>
        </w:tc>
        <w:tc>
          <w:tcPr>
            <w:tcW w:type="dxa" w:w="1620000"/>
            <w:shd w:fill="D9EAF7"/>
            <w:tcMar>
              <w:top w:w="100" w:type="dxa"/>
              <w:start w:w="120" w:type="dxa"/>
              <w:bottom w:w="100" w:type="dxa"/>
              <w:end w:w="120" w:type="dxa"/>
            </w:tcMar>
            <w:vAlign w:val="center"/>
          </w:tcPr>
          <w:p>
            <w:pPr>
              <w:jc w:val="center"/>
            </w:pPr>
            <w:r>
              <w:rPr>
                <w:rFonts w:ascii="Times New Roman" w:hAnsi="Times New Roman" w:eastAsia="Noto Serif CJK SC"/>
                <w:b/>
                <w:i w:val="0"/>
                <w:color w:val="1F4E79"/>
                <w:sz w:val="19"/>
              </w:rPr>
              <w:t>主要意义</w:t>
            </w:r>
          </w:p>
        </w:tc>
        <w:tc>
          <w:tcPr>
            <w:tcW w:type="dxa" w:w="1944000"/>
            <w:shd w:fill="D9EAF7"/>
            <w:tcMar>
              <w:top w:w="100" w:type="dxa"/>
              <w:start w:w="120" w:type="dxa"/>
              <w:bottom w:w="100" w:type="dxa"/>
              <w:end w:w="120" w:type="dxa"/>
            </w:tcMar>
            <w:vAlign w:val="center"/>
          </w:tcPr>
          <w:p>
            <w:pPr>
              <w:jc w:val="center"/>
            </w:pPr>
            <w:r>
              <w:rPr>
                <w:rFonts w:ascii="Times New Roman" w:hAnsi="Times New Roman" w:eastAsia="Noto Serif CJK SC"/>
                <w:b/>
                <w:i w:val="0"/>
                <w:color w:val="1F4E79"/>
                <w:sz w:val="19"/>
              </w:rPr>
              <w:t>核心公式</w:t>
            </w:r>
          </w:p>
        </w:tc>
      </w:tr>
      <w:tr>
        <w:trPr>
          <w:cantSplit/>
          <w:trHeight w:hRule="atLeast" w:val="482"/>
        </w:trPr>
        <w:tc>
          <w:tcPr>
            <w:tcW w:type="dxa" w:w="503999"/>
            <w:tcMar>
              <w:top w:w="100" w:type="dxa"/>
              <w:start w:w="120" w:type="dxa"/>
              <w:bottom w:w="100" w:type="dxa"/>
              <w:end w:w="120" w:type="dxa"/>
            </w:tcMar>
            <w:vAlign w:val="center"/>
          </w:tcPr>
          <w:p>
            <w:pPr>
              <w:jc w:val="center"/>
            </w:pPr>
            <w:r>
              <w:rPr>
                <w:rFonts w:ascii="Times New Roman" w:hAnsi="Times New Roman" w:eastAsia="Noto Serif CJK SC"/>
                <w:b w:val="0"/>
                <w:i w:val="0"/>
                <w:sz w:val="18"/>
              </w:rPr>
              <w:t>加法</w:t>
            </w:r>
          </w:p>
        </w:tc>
        <w:tc>
          <w:tcPr>
            <w:tcW w:type="dxa" w:w="827999"/>
            <w:tcMar>
              <w:top w:w="100" w:type="dxa"/>
              <w:start w:w="120" w:type="dxa"/>
              <w:bottom w:w="100" w:type="dxa"/>
              <w:end w:w="120" w:type="dxa"/>
            </w:tcMar>
            <w:vAlign w:val="center"/>
          </w:tcPr>
          <w:p>
            <w:pPr>
              <w:jc w:val="center"/>
            </w:pPr>
            <w:r>
              <w:rPr>
                <w:rFonts w:ascii="Times New Roman" w:hAnsi="Times New Roman" w:eastAsia="Noto Serif CJK SC"/>
                <w:b w:val="0"/>
                <w:i w:val="0"/>
                <w:sz w:val="18"/>
              </w:rPr>
              <w:t>同型矩阵</w:t>
            </w:r>
          </w:p>
        </w:tc>
        <w:tc>
          <w:tcPr>
            <w:tcW w:type="dxa" w:w="900000"/>
            <w:tcMar>
              <w:top w:w="100" w:type="dxa"/>
              <w:start w:w="120" w:type="dxa"/>
              <w:bottom w:w="100" w:type="dxa"/>
              <w:end w:w="120" w:type="dxa"/>
            </w:tcMar>
            <w:vAlign w:val="center"/>
          </w:tcPr>
          <w:p>
            <w:pPr>
              <w:jc w:val="center"/>
            </w:pPr>
            <w:r>
              <w:rPr>
                <w:rFonts w:ascii="Times New Roman" w:hAnsi="Times New Roman" w:eastAsia="Noto Serif CJK SC"/>
                <w:b w:val="0"/>
                <w:i w:val="0"/>
                <w:sz w:val="18"/>
              </w:rPr>
              <w:t>对应元素相加</w:t>
            </w:r>
          </w:p>
        </w:tc>
        <w:tc>
          <w:tcPr>
            <w:tcW w:type="dxa" w:w="1620000"/>
            <w:tcMar>
              <w:top w:w="100" w:type="dxa"/>
              <w:start w:w="120" w:type="dxa"/>
              <w:bottom w:w="100" w:type="dxa"/>
              <w:end w:w="120" w:type="dxa"/>
            </w:tcMar>
            <w:vAlign w:val="center"/>
          </w:tcPr>
          <w:p>
            <w:pPr>
              <w:jc w:val="left"/>
            </w:pPr>
            <w:r>
              <w:rPr>
                <w:rFonts w:ascii="Times New Roman" w:hAnsi="Times New Roman" w:eastAsia="Noto Serif CJK SC"/>
                <w:b w:val="0"/>
                <w:i w:val="0"/>
                <w:sz w:val="18"/>
              </w:rPr>
              <w:t>合并同类数据或叠加变换结果</w:t>
            </w:r>
          </w:p>
        </w:tc>
        <w:tc>
          <w:tcPr>
            <w:tcW w:type="dxa" w:w="1944000"/>
            <w:tcMar>
              <w:top w:w="100" w:type="dxa"/>
              <w:start w:w="120" w:type="dxa"/>
              <w:bottom w:w="100" w:type="dxa"/>
              <w:end w:w="120" w:type="dxa"/>
            </w:tcMar>
            <w:vAlign w:val="center"/>
          </w:tcPr>
          <w:p>
            <w:pPr>
              <w:jc w:val="center"/>
            </w:pPr>
            <m:oMathPara>
              <m:oMath>
                <m:r>
                  <m:rPr>
                    <m:sty m:val="i"/>
                  </m:rPr>
                  <w:rPr>
                    <w:rFonts w:ascii="Cambria Math" w:hAnsi="Cambria Math"/>
                    <w:i/>
                  </w:rPr>
                  <m:t xml:space="preserve">(A+B)x=Ax+Bx</m:t>
                </m:r>
              </m:oMath>
            </m:oMathPara>
          </w:p>
        </w:tc>
      </w:tr>
      <w:tr>
        <w:trPr>
          <w:cantSplit/>
          <w:trHeight w:hRule="atLeast" w:val="482"/>
        </w:trPr>
        <w:tc>
          <w:tcPr>
            <w:tcW w:type="dxa" w:w="503999"/>
            <w:tcMar>
              <w:top w:w="100" w:type="dxa"/>
              <w:start w:w="120" w:type="dxa"/>
              <w:bottom w:w="100" w:type="dxa"/>
              <w:end w:w="120" w:type="dxa"/>
            </w:tcMar>
            <w:vAlign w:val="center"/>
          </w:tcPr>
          <w:p>
            <w:pPr>
              <w:jc w:val="center"/>
            </w:pPr>
            <w:r>
              <w:rPr>
                <w:rFonts w:ascii="Times New Roman" w:hAnsi="Times New Roman" w:eastAsia="Noto Serif CJK SC"/>
                <w:b w:val="0"/>
                <w:i w:val="0"/>
                <w:sz w:val="18"/>
              </w:rPr>
              <w:t>减法</w:t>
            </w:r>
          </w:p>
        </w:tc>
        <w:tc>
          <w:tcPr>
            <w:tcW w:type="dxa" w:w="827999"/>
            <w:tcMar>
              <w:top w:w="100" w:type="dxa"/>
              <w:start w:w="120" w:type="dxa"/>
              <w:bottom w:w="100" w:type="dxa"/>
              <w:end w:w="120" w:type="dxa"/>
            </w:tcMar>
            <w:vAlign w:val="center"/>
          </w:tcPr>
          <w:p>
            <w:pPr>
              <w:jc w:val="center"/>
            </w:pPr>
            <w:r>
              <w:rPr>
                <w:rFonts w:ascii="Times New Roman" w:hAnsi="Times New Roman" w:eastAsia="Noto Serif CJK SC"/>
                <w:b w:val="0"/>
                <w:i w:val="0"/>
                <w:sz w:val="18"/>
              </w:rPr>
              <w:t>同型矩阵</w:t>
            </w:r>
          </w:p>
        </w:tc>
        <w:tc>
          <w:tcPr>
            <w:tcW w:type="dxa" w:w="900000"/>
            <w:tcMar>
              <w:top w:w="100" w:type="dxa"/>
              <w:start w:w="120" w:type="dxa"/>
              <w:bottom w:w="100" w:type="dxa"/>
              <w:end w:w="120" w:type="dxa"/>
            </w:tcMar>
            <w:vAlign w:val="center"/>
          </w:tcPr>
          <w:p>
            <w:pPr>
              <w:jc w:val="center"/>
            </w:pPr>
            <w:r>
              <w:rPr>
                <w:rFonts w:ascii="Times New Roman" w:hAnsi="Times New Roman" w:eastAsia="Noto Serif CJK SC"/>
                <w:b w:val="0"/>
                <w:i w:val="0"/>
                <w:sz w:val="18"/>
              </w:rPr>
              <w:t>对应元素相减</w:t>
            </w:r>
          </w:p>
        </w:tc>
        <w:tc>
          <w:tcPr>
            <w:tcW w:type="dxa" w:w="1620000"/>
            <w:tcMar>
              <w:top w:w="100" w:type="dxa"/>
              <w:start w:w="120" w:type="dxa"/>
              <w:bottom w:w="100" w:type="dxa"/>
              <w:end w:w="120" w:type="dxa"/>
            </w:tcMar>
            <w:vAlign w:val="center"/>
          </w:tcPr>
          <w:p>
            <w:pPr>
              <w:jc w:val="left"/>
            </w:pPr>
            <w:r>
              <w:rPr>
                <w:rFonts w:ascii="Times New Roman" w:hAnsi="Times New Roman" w:eastAsia="Noto Serif CJK SC"/>
                <w:b w:val="0"/>
                <w:i w:val="0"/>
                <w:sz w:val="18"/>
              </w:rPr>
              <w:t>描述差异、变化量、残差或误差</w:t>
            </w:r>
          </w:p>
        </w:tc>
        <w:tc>
          <w:tcPr>
            <w:tcW w:type="dxa" w:w="1944000"/>
            <w:tcMar>
              <w:top w:w="100" w:type="dxa"/>
              <w:start w:w="120" w:type="dxa"/>
              <w:bottom w:w="100" w:type="dxa"/>
              <w:end w:w="120" w:type="dxa"/>
            </w:tcMar>
            <w:vAlign w:val="center"/>
          </w:tcPr>
          <w:p>
            <w:pPr>
              <w:jc w:val="center"/>
            </w:pPr>
            <m:oMathPara>
              <m:oMath>
                <m:r>
                  <m:rPr>
                    <m:sty m:val="i"/>
                  </m:rPr>
                  <w:rPr>
                    <w:rFonts w:ascii="Cambria Math" w:hAnsi="Cambria Math"/>
                    <w:i/>
                  </w:rPr>
                  <m:t xml:space="preserve">(A−B)x=Ax−Bx</m:t>
                </m:r>
              </m:oMath>
            </m:oMathPara>
          </w:p>
        </w:tc>
      </w:tr>
      <w:tr>
        <w:trPr>
          <w:cantSplit/>
          <w:trHeight w:hRule="atLeast" w:val="482"/>
        </w:trPr>
        <w:tc>
          <w:tcPr>
            <w:tcW w:type="dxa" w:w="503999"/>
            <w:tcMar>
              <w:top w:w="100" w:type="dxa"/>
              <w:start w:w="120" w:type="dxa"/>
              <w:bottom w:w="100" w:type="dxa"/>
              <w:end w:w="120" w:type="dxa"/>
            </w:tcMar>
            <w:vAlign w:val="center"/>
          </w:tcPr>
          <w:p>
            <w:pPr>
              <w:jc w:val="center"/>
            </w:pPr>
            <w:r>
              <w:rPr>
                <w:rFonts w:ascii="Times New Roman" w:hAnsi="Times New Roman" w:eastAsia="Noto Serif CJK SC"/>
                <w:b w:val="0"/>
                <w:i w:val="0"/>
                <w:sz w:val="18"/>
              </w:rPr>
              <w:t>数乘</w:t>
            </w:r>
          </w:p>
        </w:tc>
        <w:tc>
          <w:tcPr>
            <w:tcW w:type="dxa" w:w="827999"/>
            <w:tcMar>
              <w:top w:w="100" w:type="dxa"/>
              <w:start w:w="120" w:type="dxa"/>
              <w:bottom w:w="100" w:type="dxa"/>
              <w:end w:w="120" w:type="dxa"/>
            </w:tcMar>
            <w:vAlign w:val="center"/>
          </w:tcPr>
          <w:p>
            <w:pPr>
              <w:jc w:val="center"/>
            </w:pPr>
            <w:r>
              <w:rPr>
                <w:rFonts w:ascii="Times New Roman" w:hAnsi="Times New Roman" w:eastAsia="Noto Serif CJK SC"/>
                <w:b w:val="0"/>
                <w:i w:val="0"/>
                <w:sz w:val="18"/>
              </w:rPr>
              <w:t>任意矩阵与标量</w:t>
            </w:r>
          </w:p>
        </w:tc>
        <w:tc>
          <w:tcPr>
            <w:tcW w:type="dxa" w:w="900000"/>
            <w:tcMar>
              <w:top w:w="100" w:type="dxa"/>
              <w:start w:w="120" w:type="dxa"/>
              <w:bottom w:w="100" w:type="dxa"/>
              <w:end w:w="120" w:type="dxa"/>
            </w:tcMar>
            <w:vAlign w:val="center"/>
          </w:tcPr>
          <w:p>
            <w:pPr>
              <w:jc w:val="center"/>
            </w:pPr>
            <w:r>
              <w:rPr>
                <w:rFonts w:ascii="Times New Roman" w:hAnsi="Times New Roman" w:eastAsia="Noto Serif CJK SC"/>
                <w:b w:val="0"/>
                <w:i w:val="0"/>
                <w:sz w:val="18"/>
              </w:rPr>
              <w:t>每个元素乘同一标量</w:t>
            </w:r>
          </w:p>
        </w:tc>
        <w:tc>
          <w:tcPr>
            <w:tcW w:type="dxa" w:w="1620000"/>
            <w:tcMar>
              <w:top w:w="100" w:type="dxa"/>
              <w:start w:w="120" w:type="dxa"/>
              <w:bottom w:w="100" w:type="dxa"/>
              <w:end w:w="120" w:type="dxa"/>
            </w:tcMar>
            <w:vAlign w:val="center"/>
          </w:tcPr>
          <w:p>
            <w:pPr>
              <w:jc w:val="left"/>
            </w:pPr>
            <w:r>
              <w:rPr>
                <w:rFonts w:ascii="Times New Roman" w:hAnsi="Times New Roman" w:eastAsia="Noto Serif CJK SC"/>
                <w:b w:val="0"/>
                <w:i w:val="0"/>
                <w:sz w:val="18"/>
              </w:rPr>
              <w:t>整体缩放数据或变换输出</w:t>
            </w:r>
          </w:p>
        </w:tc>
        <w:tc>
          <w:tcPr>
            <w:tcW w:type="dxa" w:w="1944000"/>
            <w:tcMar>
              <w:top w:w="100" w:type="dxa"/>
              <w:start w:w="120" w:type="dxa"/>
              <w:bottom w:w="100" w:type="dxa"/>
              <w:end w:w="120" w:type="dxa"/>
            </w:tcMar>
            <w:vAlign w:val="center"/>
          </w:tcPr>
          <w:p>
            <w:pPr>
              <w:jc w:val="center"/>
            </w:pPr>
            <m:oMathPara>
              <m:oMath>
                <m:r>
                  <m:rPr>
                    <m:sty m:val="i"/>
                  </m:rPr>
                  <w:rPr>
                    <w:rFonts w:ascii="Cambria Math" w:hAnsi="Cambria Math"/>
                    <w:i/>
                  </w:rPr>
                  <m:t xml:space="preserve">(kA)x=k(Ax)</m:t>
                </m:r>
              </m:oMath>
            </m:oMathPara>
          </w:p>
        </w:tc>
      </w:tr>
      <w:tr>
        <w:trPr>
          <w:cantSplit/>
          <w:trHeight w:hRule="atLeast" w:val="482"/>
        </w:trPr>
        <w:tc>
          <w:tcPr>
            <w:tcW w:type="dxa" w:w="503999"/>
            <w:tcMar>
              <w:top w:w="100" w:type="dxa"/>
              <w:start w:w="120" w:type="dxa"/>
              <w:bottom w:w="100" w:type="dxa"/>
              <w:end w:w="120" w:type="dxa"/>
            </w:tcMar>
            <w:vAlign w:val="center"/>
          </w:tcPr>
          <w:p>
            <w:pPr>
              <w:jc w:val="center"/>
            </w:pPr>
            <w:r>
              <w:rPr>
                <w:rFonts w:ascii="Times New Roman" w:hAnsi="Times New Roman" w:eastAsia="Noto Serif CJK SC"/>
                <w:b w:val="0"/>
                <w:i w:val="0"/>
                <w:sz w:val="18"/>
              </w:rPr>
              <w:t>乘法</w:t>
            </w:r>
          </w:p>
        </w:tc>
        <w:tc>
          <w:tcPr>
            <w:tcW w:type="dxa" w:w="827999"/>
            <w:tcMar>
              <w:top w:w="100" w:type="dxa"/>
              <w:start w:w="120" w:type="dxa"/>
              <w:bottom w:w="100" w:type="dxa"/>
              <w:end w:w="120" w:type="dxa"/>
            </w:tcMar>
            <w:vAlign w:val="center"/>
          </w:tcPr>
          <w:p>
            <w:pPr>
              <w:jc w:val="center"/>
            </w:pPr>
            <w:r>
              <w:rPr>
                <w:rFonts w:ascii="Times New Roman" w:hAnsi="Times New Roman" w:eastAsia="Noto Serif CJK SC"/>
                <w:b w:val="0"/>
                <w:i w:val="0"/>
                <w:sz w:val="18"/>
              </w:rPr>
              <w:t>前列数等于后行数</w:t>
            </w:r>
          </w:p>
        </w:tc>
        <w:tc>
          <w:tcPr>
            <w:tcW w:type="dxa" w:w="900000"/>
            <w:tcMar>
              <w:top w:w="100" w:type="dxa"/>
              <w:start w:w="120" w:type="dxa"/>
              <w:bottom w:w="100" w:type="dxa"/>
              <w:end w:w="120" w:type="dxa"/>
            </w:tcMar>
            <w:vAlign w:val="center"/>
          </w:tcPr>
          <w:p>
            <w:pPr>
              <w:jc w:val="center"/>
            </w:pPr>
            <w:r>
              <w:rPr>
                <w:rFonts w:ascii="Times New Roman" w:hAnsi="Times New Roman" w:eastAsia="Noto Serif CJK SC"/>
                <w:b w:val="0"/>
                <w:i w:val="0"/>
                <w:sz w:val="18"/>
              </w:rPr>
              <w:t>行与列做内积</w:t>
            </w:r>
          </w:p>
        </w:tc>
        <w:tc>
          <w:tcPr>
            <w:tcW w:type="dxa" w:w="1620000"/>
            <w:tcMar>
              <w:top w:w="100" w:type="dxa"/>
              <w:start w:w="120" w:type="dxa"/>
              <w:bottom w:w="100" w:type="dxa"/>
              <w:end w:w="120" w:type="dxa"/>
            </w:tcMar>
            <w:vAlign w:val="center"/>
          </w:tcPr>
          <w:p>
            <w:pPr>
              <w:jc w:val="left"/>
            </w:pPr>
            <w:r>
              <w:rPr>
                <w:rFonts w:ascii="Times New Roman" w:hAnsi="Times New Roman" w:eastAsia="Noto Serif CJK SC"/>
                <w:b w:val="0"/>
                <w:i w:val="0"/>
                <w:sz w:val="18"/>
              </w:rPr>
              <w:t>复合线性变换或完成数据映射</w:t>
            </w:r>
          </w:p>
        </w:tc>
        <w:tc>
          <w:tcPr>
            <w:tcW w:type="dxa" w:w="1944000"/>
            <w:tcMar>
              <w:top w:w="100" w:type="dxa"/>
              <w:start w:w="120" w:type="dxa"/>
              <w:bottom w:w="100" w:type="dxa"/>
              <w:end w:w="120" w:type="dxa"/>
            </w:tcMar>
            <w:vAlign w:val="center"/>
          </w:tcPr>
          <w:p>
            <w:pPr>
              <w:jc w:val="center"/>
            </w:pPr>
            <m:oMathPara>
              <m:oMath>
                <m:r>
                  <m:rPr>
                    <m:sty m:val="i"/>
                  </m:rPr>
                  <w:rPr>
                    <w:rFonts w:ascii="Cambria Math" w:hAnsi="Cambria Math"/>
                    <w:i/>
                  </w:rPr>
                  <m:t xml:space="preserve">(AB)x=A(Bx)</m:t>
                </m:r>
              </m:oMath>
            </m:oMathPara>
          </w:p>
        </w:tc>
      </w:tr>
    </w:tbl>
    <w:p/>
    <w:p>
      <w:pPr>
        <w:pStyle w:val="一级标题"/>
        <w:keepNext/>
        <w:pBdr>
          <w:bottom w:val="single" w:sz="8" w:space="5" w:color="B4C7E7"/>
        </w:pBdr>
      </w:pPr>
      <w:r>
        <w:rPr>
          <w:rFonts w:ascii="Times New Roman" w:hAnsi="Times New Roman" w:eastAsia="Noto Serif CJK SC"/>
          <w:b/>
          <w:i w:val="0"/>
          <w:color w:val="1F4E79"/>
          <w:sz w:val="30"/>
        </w:rPr>
        <w:t>八、总结</w:t>
      </w:r>
    </w:p>
    <w:p>
      <w:pPr>
        <w:pStyle w:val="要点"/>
        <w:spacing w:after="60"/>
        <w:ind w:left="425" w:hanging="255"/>
      </w:pPr>
      <w:r>
        <w:rPr>
          <w:rFonts w:ascii="Times New Roman" w:hAnsi="Times New Roman" w:eastAsia="Noto Serif CJK SC"/>
          <w:b w:val="0"/>
          <w:i w:val="0"/>
          <w:color w:val="2F5496"/>
          <w:sz w:val="18"/>
        </w:rPr>
        <w:t xml:space="preserve">●  </w:t>
      </w:r>
      <w:r>
        <w:rPr>
          <w:rFonts w:ascii="Times New Roman" w:hAnsi="Times New Roman" w:eastAsia="Noto Serif CJK SC"/>
          <w:b w:val="0"/>
          <w:i w:val="0"/>
          <w:sz w:val="21"/>
        </w:rPr>
        <w:t>矩阵加法：把结构相同的矩阵逐项合并。</w:t>
      </w:r>
    </w:p>
    <w:p>
      <w:pPr>
        <w:pStyle w:val="要点"/>
        <w:spacing w:after="60"/>
        <w:ind w:left="425" w:hanging="255"/>
      </w:pPr>
      <w:r>
        <w:rPr>
          <w:rFonts w:ascii="Times New Roman" w:hAnsi="Times New Roman" w:eastAsia="Noto Serif CJK SC"/>
          <w:b w:val="0"/>
          <w:i w:val="0"/>
          <w:color w:val="2F5496"/>
          <w:sz w:val="18"/>
        </w:rPr>
        <w:t xml:space="preserve">●  </w:t>
      </w:r>
      <w:r>
        <w:rPr>
          <w:rFonts w:ascii="Times New Roman" w:hAnsi="Times New Roman" w:eastAsia="Noto Serif CJK SC"/>
          <w:b w:val="0"/>
          <w:i w:val="0"/>
          <w:sz w:val="21"/>
        </w:rPr>
        <w:t>矩阵减法：刻画结构相同的矩阵之间的差异。</w:t>
      </w:r>
    </w:p>
    <w:p>
      <w:pPr>
        <w:pStyle w:val="要点"/>
        <w:spacing w:after="60"/>
        <w:ind w:left="425" w:hanging="255"/>
      </w:pPr>
      <w:r>
        <w:rPr>
          <w:rFonts w:ascii="Times New Roman" w:hAnsi="Times New Roman" w:eastAsia="Noto Serif CJK SC"/>
          <w:b w:val="0"/>
          <w:i w:val="0"/>
          <w:color w:val="2F5496"/>
          <w:sz w:val="18"/>
        </w:rPr>
        <w:t xml:space="preserve">●  </w:t>
      </w:r>
      <w:r>
        <w:rPr>
          <w:rFonts w:ascii="Times New Roman" w:hAnsi="Times New Roman" w:eastAsia="Noto Serif CJK SC"/>
          <w:b w:val="0"/>
          <w:i w:val="0"/>
          <w:sz w:val="21"/>
        </w:rPr>
        <w:t>矩阵数乘：按统一比例缩放矩阵及其所表示的变换。</w:t>
      </w:r>
    </w:p>
    <w:p>
      <w:pPr>
        <w:pStyle w:val="要点"/>
        <w:spacing w:after="60"/>
        <w:ind w:left="425" w:hanging="255"/>
      </w:pPr>
      <w:r>
        <w:rPr>
          <w:rFonts w:ascii="Times New Roman" w:hAnsi="Times New Roman" w:eastAsia="Noto Serif CJK SC"/>
          <w:b w:val="0"/>
          <w:i w:val="0"/>
          <w:color w:val="2F5496"/>
          <w:sz w:val="18"/>
        </w:rPr>
        <w:t xml:space="preserve">●  </w:t>
      </w:r>
      <w:r>
        <w:rPr>
          <w:rFonts w:ascii="Times New Roman" w:hAnsi="Times New Roman" w:eastAsia="Noto Serif CJK SC"/>
          <w:b w:val="0"/>
          <w:i w:val="0"/>
          <w:sz w:val="21"/>
        </w:rPr>
        <w:t>矩阵乘法：将一个线性变换的输出作为另一个线性变换的输入，实现变换复合或数据映射。</w:t>
      </w:r>
    </w:p>
    <w:tbl>
      <w:tblPr>
        <w:tblW w:type="auto" w:w="0"/>
        <w:jc w:val="center"/>
        <w:tblLayout w:type="fixed"/>
        <w:tblLook w:firstColumn="1" w:firstRow="1" w:lastColumn="0" w:lastRow="0" w:noHBand="0" w:noVBand="1" w:val="04A0"/>
      </w:tblPr>
      <w:tblGrid>
        <w:gridCol w:w="8844"/>
      </w:tblGrid>
      <w:tr>
        <w:trPr>
          <w:cantSplit/>
        </w:trPr>
        <w:tc>
          <w:tcPr>
            <w:tcW w:type="dxa" w:w="8844"/>
            <w:shd w:fill="EAF2F8"/>
            <w:tcMar>
              <w:top w:w="120" w:type="dxa"/>
              <w:start w:w="180" w:type="dxa"/>
              <w:bottom w:w="120" w:type="dxa"/>
              <w:end w:w="180" w:type="dxa"/>
            </w:tcMar>
            <w:vAlign w:val="center"/>
          </w:tcPr>
          <w:p>
            <w:pPr>
              <w:keepNext/>
              <w:spacing w:after="40"/>
            </w:pPr>
            <w:r>
              <w:rPr>
                <w:rFonts w:ascii="Times New Roman" w:hAnsi="Times New Roman" w:eastAsia="Noto Serif CJK SC"/>
                <w:b/>
                <w:i w:val="0"/>
                <w:color w:val="1F4E79"/>
                <w:sz w:val="21"/>
              </w:rPr>
              <w:t>最重要的记忆</w:t>
            </w:r>
          </w:p>
          <w:p>
            <w:pPr>
              <w:keepLines/>
              <w:spacing w:after="0"/>
            </w:pPr>
            <w:r>
              <w:rPr>
                <w:rFonts w:ascii="Times New Roman" w:hAnsi="Times New Roman" w:eastAsia="Noto Serif CJK SC"/>
                <w:b w:val="0"/>
                <w:i w:val="0"/>
                <w:sz w:val="21"/>
              </w:rPr>
              <w:t>加、减、数乘描述线性组合；矩阵乘法描述线性变换的复合。公式 (AB)x=A(Bx) 是理解矩阵乘法意义的关键。</w:t>
            </w:r>
          </w:p>
        </w:tc>
      </w:tr>
    </w:tbl>
    <w:p>
      <w:pPr>
        <w:spacing w:after="0"/>
      </w:pPr>
    </w:p>
    <w:sectPr w:rsidR="00FC693F" w:rsidRPr="0006063C" w:rsidSect="00034616">
      <w:headerReference w:type="default" r:id="rId9"/>
      <w:footerReference w:type="default" r:id="rId10"/>
      <w:pgSz w:w="12240" w:h="15840"/>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b w:val="0"/>
        <w:i w:val="0"/>
        <w:color w:val="646464"/>
        <w:sz w:val="18"/>
      </w:rPr>
      <w:t xml:space="preserve">第 </w:t>
      <w:fldChar w:fldCharType="begin"/>
      <w:instrText xml:space="preserve"> PAGE </w:instrText>
      <w:fldChar w:fldCharType="end"/>
    </w:r>
    <w:r>
      <w:rPr>
        <w:rFonts w:ascii="Times New Roman" w:hAnsi="Times New Roman" w:eastAsia="Noto Serif CJK SC"/>
        <w:b w:val="0"/>
        <w:i w:val="0"/>
        <w:color w:val="646464"/>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5" w:color="D9E2F3"/>
      </w:pBdr>
    </w:pPr>
    <w:r>
      <w:rPr>
        <w:rFonts w:ascii="Times New Roman" w:hAnsi="Times New Roman" w:eastAsia="Noto Serif CJK SC"/>
        <w:b w:val="0"/>
        <w:i w:val="0"/>
        <w:color w:val="787878"/>
        <w:sz w:val="18"/>
      </w:rPr>
      <w:t>线性代数基础 · 矩阵基本运算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pPr>
      <w:spacing w:line="348" w:lineRule="auto" w:after="100"/>
    </w:pPr>
  </w:style>
  <w:style w:type="paragraph" w:customStyle="1" w:styleId="要点">
    <w:name w:val="要点"/>
    <w:pPr>
      <w:spacing w:line="312" w:lineRule="auto"/>
    </w:pPr>
  </w:style>
  <w:style w:type="paragraph" w:customStyle="1" w:styleId="一级标题">
    <w:name w:val="一级标题"/>
    <w:pPr>
      <w:spacing w:before="240" w:after="140"/>
    </w:pPr>
  </w:style>
  <w:style w:type="paragraph" w:customStyle="1" w:styleId="二级标题">
    <w:name w:val="二级标题"/>
    <w:pPr>
      <w:spacing w:before="160" w:after="8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矩阵基本运算的意义</dc:title>
  <dc:subject>矩阵加法、减法、数乘与乘法的概念解释</dc:subject>
  <dc:creator>OpenAI</dc:creator>
  <cp:keywords>矩阵, 加法, 减法, 数乘, 矩阵乘法, 线性变换, WPS公式</cp:keywords>
  <dc:description>generated by python-docx</dc:description>
  <cp:lastModifiedBy/>
  <cp:revision>1</cp:revision>
  <dcterms:created xsi:type="dcterms:W3CDTF">2013-12-23T23:15:00Z</dcterms:created>
  <dcterms:modified xsi:type="dcterms:W3CDTF">2013-12-23T23:15:00Z</dcterms:modified>
  <cp:category/>
</cp:coreProperties>
</file>