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720" w:line="360" w:lineRule="auto"/>
        <w:jc w:val="center"/>
      </w:pPr>
      <w:r>
        <w:rPr>
          <w:rFonts w:ascii="Times New Roman" w:hAnsi="Times New Roman" w:eastAsia="Times New Roman"/>
          <w:b w:val="0"/>
          <w:i w:val="0"/>
          <w:sz w:val="24"/>
        </w:rPr>
        <w:t>A Seminar and technical writing report on</w:t>
      </w:r>
    </w:p>
    <w:p>
      <w:pPr>
        <w:spacing w:after="40" w:before="0" w:line="360" w:lineRule="auto"/>
        <w:jc w:val="center"/>
      </w:pPr>
      <w:r>
        <w:rPr>
          <w:rFonts w:ascii="Times New Roman" w:hAnsi="Times New Roman" w:eastAsia="Times New Roman"/>
          <w:b/>
          <w:i w:val="0"/>
          <w:sz w:val="32"/>
        </w:rPr>
        <w:t>An AR/VR and AI-Guided Manual Assembly</w:t>
      </w:r>
    </w:p>
    <w:p>
      <w:pPr>
        <w:spacing w:after="480" w:before="0" w:line="360" w:lineRule="auto"/>
        <w:jc w:val="center"/>
      </w:pPr>
      <w:r>
        <w:rPr>
          <w:rFonts w:ascii="Times New Roman" w:hAnsi="Times New Roman" w:eastAsia="Times New Roman"/>
          <w:b/>
          <w:i w:val="0"/>
          <w:sz w:val="32"/>
        </w:rPr>
        <w:t>Solution for Indian Manufacturing</w:t>
      </w:r>
    </w:p>
    <w:p>
      <w:pPr>
        <w:spacing w:after="40" w:before="0" w:line="360" w:lineRule="auto"/>
        <w:jc w:val="center"/>
      </w:pPr>
      <w:r>
        <w:rPr>
          <w:rFonts w:ascii="Times New Roman" w:hAnsi="Times New Roman" w:eastAsia="Times New Roman"/>
          <w:b w:val="0"/>
          <w:i w:val="0"/>
          <w:sz w:val="24"/>
        </w:rPr>
        <w:t>Submitted in partial fulfilment of the requirements of the degree of</w:t>
      </w:r>
    </w:p>
    <w:p>
      <w:pPr>
        <w:spacing w:after="320" w:before="0" w:line="360" w:lineRule="auto"/>
        <w:jc w:val="center"/>
      </w:pPr>
      <w:r>
        <w:rPr>
          <w:rFonts w:ascii="Times New Roman" w:hAnsi="Times New Roman" w:eastAsia="Times New Roman"/>
          <w:b w:val="0"/>
          <w:i w:val="0"/>
          <w:sz w:val="24"/>
        </w:rPr>
        <w:t>Master of Technology by</w:t>
      </w:r>
    </w:p>
    <w:p>
      <w:pPr>
        <w:spacing w:after="80" w:before="0" w:line="360" w:lineRule="auto"/>
        <w:jc w:val="center"/>
      </w:pPr>
      <w:r>
        <w:rPr>
          <w:rFonts w:ascii="Times New Roman" w:hAnsi="Times New Roman" w:eastAsia="Times New Roman"/>
          <w:b/>
          <w:i w:val="0"/>
          <w:sz w:val="24"/>
        </w:rPr>
        <w:t>«Your Name»</w:t>
      </w:r>
    </w:p>
    <w:p>
      <w:pPr>
        <w:spacing w:after="560" w:before="0" w:line="360" w:lineRule="auto"/>
        <w:jc w:val="center"/>
      </w:pPr>
      <w:r>
        <w:rPr>
          <w:rFonts w:ascii="Times New Roman" w:hAnsi="Times New Roman" w:eastAsia="Times New Roman"/>
          <w:b w:val="0"/>
          <w:i w:val="0"/>
          <w:sz w:val="24"/>
        </w:rPr>
        <w:t>Roll No. «24MEM3Rxx»</w:t>
      </w:r>
    </w:p>
    <w:p>
      <w:pPr>
        <w:spacing w:after="560" w:before="0" w:line="360" w:lineRule="auto"/>
        <w:jc w:val="center"/>
      </w:pPr>
      <w:r>
        <w:rPr>
          <w:rFonts w:ascii="Times New Roman" w:hAnsi="Times New Roman" w:eastAsia="Times New Roman"/>
          <w:b w:val="0"/>
          <w:i/>
          <w:color w:val="828282"/>
          <w:sz w:val="24"/>
        </w:rPr>
        <w:t>[Insert NIT Warangal emblem here]</w:t>
      </w:r>
    </w:p>
    <w:p>
      <w:pPr>
        <w:spacing w:after="320" w:before="0" w:line="360" w:lineRule="auto"/>
        <w:jc w:val="center"/>
      </w:pPr>
      <w:r>
        <w:rPr>
          <w:rFonts w:ascii="Times New Roman" w:hAnsi="Times New Roman" w:eastAsia="Times New Roman"/>
          <w:b w:val="0"/>
          <w:i w:val="0"/>
          <w:sz w:val="24"/>
        </w:rPr>
        <w:t>Department of Mechanical Engineering</w:t>
      </w:r>
    </w:p>
    <w:p>
      <w:pPr>
        <w:spacing w:after="360" w:before="0" w:line="360" w:lineRule="auto"/>
        <w:jc w:val="center"/>
      </w:pPr>
      <w:r>
        <w:rPr>
          <w:rFonts w:ascii="Times New Roman" w:hAnsi="Times New Roman" w:eastAsia="Times New Roman"/>
          <w:b/>
          <w:i w:val="0"/>
          <w:sz w:val="28"/>
        </w:rPr>
        <w:t>NATIONAL INSTITUTE OF TECHNOLOGY WARANGAL</w:t>
      </w:r>
    </w:p>
    <w:p>
      <w:pPr>
        <w:spacing w:after="120" w:before="0" w:line="360" w:lineRule="auto"/>
        <w:jc w:val="center"/>
      </w:pPr>
      <w:r>
        <w:rPr>
          <w:rFonts w:ascii="Times New Roman" w:hAnsi="Times New Roman" w:eastAsia="Times New Roman"/>
          <w:b w:val="0"/>
          <w:i w:val="0"/>
          <w:sz w:val="24"/>
        </w:rPr>
        <w:t>2025-26</w:t>
      </w:r>
    </w:p>
    <w:p>
      <w:r>
        <w:br w:type="page"/>
      </w:r>
    </w:p>
    <w:p>
      <w:pPr>
        <w:spacing w:after="280" w:before="240" w:line="360" w:lineRule="auto"/>
        <w:jc w:val="center"/>
      </w:pPr>
      <w:r>
        <w:rPr>
          <w:rFonts w:ascii="Times New Roman" w:hAnsi="Times New Roman" w:eastAsia="Times New Roman"/>
          <w:b/>
          <w:i w:val="0"/>
          <w:sz w:val="32"/>
        </w:rPr>
        <w:t>Abstract</w:t>
      </w:r>
    </w:p>
    <w:p>
      <w:pPr>
        <w:spacing w:after="120" w:before="0" w:line="360" w:lineRule="auto"/>
        <w:jc w:val="both"/>
      </w:pPr>
      <w:r>
        <w:rPr>
          <w:rFonts w:ascii="Times New Roman" w:hAnsi="Times New Roman" w:eastAsia="Times New Roman"/>
          <w:b w:val="0"/>
          <w:i w:val="0"/>
          <w:sz w:val="24"/>
        </w:rPr>
        <w:t>Indian manufacturing still assembles a large share of its products by hand, from automotive wire harnesses and switchgear to pumps and electronic sub-assemblies. Manual assembly brings recurring problems: wrong or missed parts, incorrect sequence, slow onboarding of new and contract workers, out-of-date paper work instructions, and little traceability. This report proposes StepSure, a station-mounted AI assembly copilot that guides each manual step, verifies it with a camera and connected tools before the next step unlocks, trains new workers in virtual reality from the same digital process recipe, and is designed to add human-cobot collaboration later. The concept is informed by five real, independently verifiable patents covering projected AR guidance, AR glasses with assembly verification, machine-learning step recognition, VR assembly training, and AR/VR interaction with collaborative robots. Importantly, this report distinguishes a patent's technical disclosure from the scope of its granted claims, flags which records are granted patents and which are applications, and treats every financial figure as a clearly labelled planning assumption rather than a forecast. The report follows an academic-industrial structure covering the problem and opportunity, a patent portfolio overview, the unique value proposition, market analysis, business model, an intellectual-property and commercialization strategy, financial projections, and a 36-month implementation roadmap. Under the stated assumptions, the concept is technically feasible today and could reduce assembly errors and onboarding time materially, but it is not profitable in year one and reaches break-even only after roughly twelve to thirteen customers; both the willingness to pay and real-line computer-vision accuracy must be validated through a paid pilot before any wider commitment.</w:t>
      </w:r>
    </w:p>
    <w:p>
      <w:pPr>
        <w:spacing w:before="160" w:line="360" w:lineRule="auto"/>
      </w:pPr>
      <w:r>
        <w:rPr>
          <w:rFonts w:ascii="Times New Roman" w:hAnsi="Times New Roman" w:eastAsia="Times New Roman"/>
          <w:b/>
          <w:i w:val="0"/>
          <w:sz w:val="24"/>
        </w:rPr>
        <w:t>Keywords—</w:t>
      </w:r>
      <w:r>
        <w:rPr>
          <w:rFonts w:ascii="Times New Roman" w:hAnsi="Times New Roman" w:eastAsia="Times New Roman"/>
          <w:b w:val="0"/>
          <w:i w:val="0"/>
          <w:sz w:val="24"/>
        </w:rPr>
        <w:t>Augmented reality, virtual reality, guided manual assembly, computer vision, pose estimation, assembly verification, human-robot collaboration, cobots, digital twin, freedom to operate, Indian manufacturing, Industry 4.0.</w:t>
      </w:r>
    </w:p>
    <w:p>
      <w:r>
        <w:br w:type="page"/>
      </w:r>
    </w:p>
    <w:p>
      <w:pPr>
        <w:spacing w:after="360" w:before="240" w:line="360" w:lineRule="auto"/>
        <w:jc w:val="center"/>
      </w:pPr>
      <w:r>
        <w:rPr>
          <w:rFonts w:ascii="Times New Roman" w:hAnsi="Times New Roman" w:eastAsia="Times New Roman"/>
          <w:b/>
          <w:i w:val="0"/>
          <w:sz w:val="32"/>
        </w:rPr>
        <w:t>Contents</w:t>
      </w:r>
    </w:p>
    <w:p>
      <w:pPr>
        <w:tabs>
          <w:tab w:pos="8784" w:val="right" w:leader="dot"/>
        </w:tabs>
        <w:spacing w:after="120" w:line="360" w:lineRule="auto"/>
      </w:pPr>
      <w:r>
        <w:rPr>
          <w:rFonts w:ascii="Times New Roman" w:hAnsi="Times New Roman" w:eastAsia="Times New Roman"/>
          <w:b w:val="0"/>
          <w:i w:val="0"/>
          <w:sz w:val="24"/>
        </w:rPr>
        <w:t>Abstract</w:t>
        <w:tab/>
        <w:t>ii</w:t>
      </w:r>
    </w:p>
    <w:p>
      <w:pPr>
        <w:tabs>
          <w:tab w:pos="8784" w:val="right" w:leader="dot"/>
        </w:tabs>
        <w:spacing w:after="120" w:line="360" w:lineRule="auto"/>
      </w:pPr>
      <w:r>
        <w:rPr>
          <w:rFonts w:ascii="Times New Roman" w:hAnsi="Times New Roman" w:eastAsia="Times New Roman"/>
          <w:b w:val="0"/>
          <w:i w:val="0"/>
          <w:sz w:val="24"/>
        </w:rPr>
        <w:t>Chapter 1  Introduction</w:t>
        <w:tab/>
        <w:t>1</w:t>
      </w:r>
    </w:p>
    <w:p>
      <w:pPr>
        <w:tabs>
          <w:tab w:pos="8784" w:val="right" w:leader="dot"/>
        </w:tabs>
        <w:spacing w:after="120" w:line="360" w:lineRule="auto"/>
      </w:pPr>
      <w:r>
        <w:rPr>
          <w:rFonts w:ascii="Times New Roman" w:hAnsi="Times New Roman" w:eastAsia="Times New Roman"/>
          <w:b w:val="0"/>
          <w:i w:val="0"/>
          <w:sz w:val="24"/>
        </w:rPr>
        <w:t>Chapter 2  Problem and Opportunity</w:t>
        <w:tab/>
        <w:t>3</w:t>
      </w:r>
    </w:p>
    <w:p>
      <w:pPr>
        <w:tabs>
          <w:tab w:pos="8784" w:val="right" w:leader="dot"/>
        </w:tabs>
        <w:spacing w:after="120" w:line="360" w:lineRule="auto"/>
      </w:pPr>
      <w:r>
        <w:rPr>
          <w:rFonts w:ascii="Times New Roman" w:hAnsi="Times New Roman" w:eastAsia="Times New Roman"/>
          <w:b w:val="0"/>
          <w:i w:val="0"/>
          <w:sz w:val="24"/>
        </w:rPr>
        <w:t>Chapter 3  Patent Portfolio Overview</w:t>
        <w:tab/>
        <w:t>5</w:t>
      </w:r>
    </w:p>
    <w:p>
      <w:pPr>
        <w:tabs>
          <w:tab w:pos="8784" w:val="right" w:leader="dot"/>
        </w:tabs>
        <w:spacing w:after="120" w:line="360" w:lineRule="auto"/>
      </w:pPr>
      <w:r>
        <w:rPr>
          <w:rFonts w:ascii="Times New Roman" w:hAnsi="Times New Roman" w:eastAsia="Times New Roman"/>
          <w:b w:val="0"/>
          <w:i w:val="0"/>
          <w:sz w:val="24"/>
        </w:rPr>
        <w:t>Chapter 4  Unique Value Proposition (UVP)</w:t>
        <w:tab/>
        <w:t>9</w:t>
      </w:r>
    </w:p>
    <w:p>
      <w:pPr>
        <w:tabs>
          <w:tab w:pos="8784" w:val="right" w:leader="dot"/>
        </w:tabs>
        <w:spacing w:after="120" w:line="360" w:lineRule="auto"/>
      </w:pPr>
      <w:r>
        <w:rPr>
          <w:rFonts w:ascii="Times New Roman" w:hAnsi="Times New Roman" w:eastAsia="Times New Roman"/>
          <w:b w:val="0"/>
          <w:i w:val="0"/>
          <w:sz w:val="24"/>
        </w:rPr>
        <w:t>Chapter 5  Market Analysis</w:t>
        <w:tab/>
        <w:t>11</w:t>
      </w:r>
    </w:p>
    <w:p>
      <w:pPr>
        <w:tabs>
          <w:tab w:pos="8784" w:val="right" w:leader="dot"/>
        </w:tabs>
        <w:spacing w:after="120" w:line="360" w:lineRule="auto"/>
      </w:pPr>
      <w:r>
        <w:rPr>
          <w:rFonts w:ascii="Times New Roman" w:hAnsi="Times New Roman" w:eastAsia="Times New Roman"/>
          <w:b w:val="0"/>
          <w:i w:val="0"/>
          <w:sz w:val="24"/>
        </w:rPr>
        <w:t>Chapter 6  Business Model</w:t>
        <w:tab/>
        <w:t>13</w:t>
      </w:r>
    </w:p>
    <w:p>
      <w:pPr>
        <w:tabs>
          <w:tab w:pos="8784" w:val="right" w:leader="dot"/>
        </w:tabs>
        <w:spacing w:after="120" w:line="360" w:lineRule="auto"/>
      </w:pPr>
      <w:r>
        <w:rPr>
          <w:rFonts w:ascii="Times New Roman" w:hAnsi="Times New Roman" w:eastAsia="Times New Roman"/>
          <w:b w:val="0"/>
          <w:i w:val="0"/>
          <w:sz w:val="24"/>
        </w:rPr>
        <w:t>Chapter 7  IP and Commercialization Strategy</w:t>
        <w:tab/>
        <w:t>15</w:t>
      </w:r>
    </w:p>
    <w:p>
      <w:pPr>
        <w:tabs>
          <w:tab w:pos="8784" w:val="right" w:leader="dot"/>
        </w:tabs>
        <w:spacing w:after="120" w:line="360" w:lineRule="auto"/>
      </w:pPr>
      <w:r>
        <w:rPr>
          <w:rFonts w:ascii="Times New Roman" w:hAnsi="Times New Roman" w:eastAsia="Times New Roman"/>
          <w:b w:val="0"/>
          <w:i w:val="0"/>
          <w:sz w:val="24"/>
        </w:rPr>
        <w:t>Chapter 8  Financial Projections</w:t>
        <w:tab/>
        <w:t>17</w:t>
      </w:r>
    </w:p>
    <w:p>
      <w:pPr>
        <w:tabs>
          <w:tab w:pos="8784" w:val="right" w:leader="dot"/>
        </w:tabs>
        <w:spacing w:after="120" w:line="360" w:lineRule="auto"/>
      </w:pPr>
      <w:r>
        <w:rPr>
          <w:rFonts w:ascii="Times New Roman" w:hAnsi="Times New Roman" w:eastAsia="Times New Roman"/>
          <w:b w:val="0"/>
          <w:i w:val="0"/>
          <w:sz w:val="24"/>
        </w:rPr>
        <w:t>Chapter 9  Implementation Roadmap</w:t>
        <w:tab/>
        <w:t>19</w:t>
      </w:r>
    </w:p>
    <w:p>
      <w:pPr>
        <w:tabs>
          <w:tab w:pos="8784" w:val="right" w:leader="dot"/>
        </w:tabs>
        <w:spacing w:after="120" w:line="360" w:lineRule="auto"/>
      </w:pPr>
      <w:r>
        <w:rPr>
          <w:rFonts w:ascii="Times New Roman" w:hAnsi="Times New Roman" w:eastAsia="Times New Roman"/>
          <w:b w:val="0"/>
          <w:i w:val="0"/>
          <w:sz w:val="24"/>
        </w:rPr>
        <w:t>Chapter 10  Conclusion</w:t>
        <w:tab/>
        <w:t>21</w:t>
      </w:r>
    </w:p>
    <w:p>
      <w:pPr>
        <w:tabs>
          <w:tab w:pos="8784" w:val="right" w:leader="dot"/>
        </w:tabs>
        <w:spacing w:after="120" w:line="360" w:lineRule="auto"/>
      </w:pPr>
      <w:r>
        <w:rPr>
          <w:rFonts w:ascii="Times New Roman" w:hAnsi="Times New Roman" w:eastAsia="Times New Roman"/>
          <w:b w:val="0"/>
          <w:i w:val="0"/>
          <w:sz w:val="24"/>
        </w:rPr>
        <w:t>References</w:t>
        <w:tab/>
        <w:t>22</w:t>
      </w:r>
    </w:p>
    <w:p>
      <w:r>
        <w:br w:type="page"/>
      </w:r>
    </w:p>
    <w:p>
      <w:pPr>
        <w:spacing w:before="360" w:after="240"/>
        <w:jc w:val="center"/>
      </w:pPr>
      <w:r>
        <w:rPr>
          <w:rFonts w:ascii="Times New Roman" w:hAnsi="Times New Roman" w:eastAsia="Times New Roman"/>
          <w:b/>
          <w:i w:val="0"/>
          <w:sz w:val="32"/>
        </w:rPr>
        <w:t>Chapter 1</w:t>
      </w:r>
    </w:p>
    <w:p>
      <w:pPr>
        <w:spacing w:after="360"/>
        <w:jc w:val="center"/>
      </w:pPr>
      <w:r>
        <w:rPr>
          <w:rFonts w:ascii="Times New Roman" w:hAnsi="Times New Roman" w:eastAsia="Times New Roman"/>
          <w:b/>
          <w:i w:val="0"/>
          <w:sz w:val="32"/>
        </w:rPr>
        <w:t>Introduction</w:t>
      </w:r>
    </w:p>
    <w:p>
      <w:pPr>
        <w:spacing w:after="120" w:before="0" w:line="360" w:lineRule="auto"/>
        <w:jc w:val="both"/>
      </w:pPr>
      <w:r>
        <w:rPr>
          <w:rFonts w:ascii="Times New Roman" w:hAnsi="Times New Roman" w:eastAsia="Times New Roman"/>
          <w:b w:val="0"/>
          <w:i w:val="0"/>
          <w:sz w:val="24"/>
        </w:rPr>
        <w:t>India's manufacturing sector is growing quickly and is central to national programmes such as Make in India and the production-linked incentive (PLI) schemes. Yet a large share of actual assembly work is still done by hand. Automotive component suppliers, electrical and electronics manufacturers, and general engineering plants assemble wire harnesses, switches, lamps, pumps, seats, meters and sub-assemblies manually, often across many low-volume product variants. As product mixes widen and quality expectations from original equipment manufacturers (OEMs) rise, manual reliance produces bottlenecks and quality escapes, creating an urgent need for affordable, worker-friendly digital assistance on the shop floor.</w:t>
      </w:r>
    </w:p>
    <w:p>
      <w:pPr>
        <w:spacing w:after="120" w:before="0" w:line="360" w:lineRule="auto"/>
        <w:jc w:val="both"/>
      </w:pPr>
      <w:r>
        <w:rPr>
          <w:rFonts w:ascii="Times New Roman" w:hAnsi="Times New Roman" w:eastAsia="Times New Roman"/>
          <w:b w:val="0"/>
          <w:i w:val="0"/>
          <w:sz w:val="24"/>
        </w:rPr>
        <w:t>The common problems in manual assembly are well known: the wrong part is picked, a step is missed, the sequence is wrong, or a fastener is left loose; new and contract workers take days or weeks of buddy training to reach line speed; paper and PDF work instructions go out of date and are rarely read during work; and there is no reliable record of who did which step and when. Attrition on Indian shop floors makes this worse, because the training burden never ends.</w:t>
      </w:r>
    </w:p>
    <w:p>
      <w:pPr>
        <w:spacing w:after="120" w:before="0" w:line="360" w:lineRule="auto"/>
        <w:jc w:val="both"/>
      </w:pPr>
      <w:r>
        <w:rPr>
          <w:rFonts w:ascii="Times New Roman" w:hAnsi="Times New Roman" w:eastAsia="Times New Roman"/>
          <w:b w:val="0"/>
          <w:i w:val="0"/>
          <w:sz w:val="24"/>
        </w:rPr>
        <w:t>Augmented reality (AR), virtual reality (VR) and computer vision (CV) offer a practical answer. AR shows the next instruction on top of the real work, by projection, on a screen, or in glasses. VR lets a trainee practise the whole assembly in a 3D virtual workplace before touching real parts. Computer vision and artificial intelligence (AI) let a camera recognise parts, hands and the current assembly state, so the system can confirm that a step was done correctly or warn the worker. A digital twin keeps a live digital copy of the station so the same process data can drive training, guidance and analytics. Later, the same platform can coordinate a collaborative robot (cobot) working next to the operator.</w:t>
      </w:r>
    </w:p>
    <w:p>
      <w:pPr>
        <w:spacing w:after="120" w:before="0" w:line="360" w:lineRule="auto"/>
        <w:jc w:val="both"/>
      </w:pPr>
      <w:r>
        <w:rPr>
          <w:rFonts w:ascii="Times New Roman" w:hAnsi="Times New Roman" w:eastAsia="Times New Roman"/>
          <w:b w:val="0"/>
          <w:i w:val="0"/>
          <w:sz w:val="24"/>
        </w:rPr>
        <w:t>The evidence that AR guidance helps is long-standing. In a controlled experiment, Tang et al. (CHI 2003) found that overlaying 3D instructions on the actual work pieces reduced assembly errors by 82 percent compared with a paper manual, a computer screen and an unregistered head-mounted display [9]. This was a laboratory study with simple tasks, so real-factory gains will be smaller and more variable, but the direction is clear.</w:t>
      </w:r>
    </w:p>
    <w:p>
      <w:pPr>
        <w:spacing w:after="120" w:before="0" w:line="360" w:lineRule="auto"/>
        <w:jc w:val="both"/>
      </w:pPr>
      <w:r>
        <w:rPr>
          <w:rFonts w:ascii="Times New Roman" w:hAnsi="Times New Roman" w:eastAsia="Times New Roman"/>
          <w:b w:val="0"/>
          <w:i w:val="0"/>
          <w:sz w:val="24"/>
        </w:rPr>
        <w:t>The technical foundation of the proposed solution is informed by five real patents, each covering a different part of the problem:</w:t>
      </w:r>
    </w:p>
    <w:p>
      <w:pPr>
        <w:pStyle w:val="ListNumber"/>
        <w:spacing w:after="80" w:line="360" w:lineRule="auto"/>
        <w:jc w:val="both"/>
      </w:pPr>
      <w:r>
        <w:rPr>
          <w:rFonts w:ascii="Times New Roman" w:hAnsi="Times New Roman" w:eastAsia="Times New Roman"/>
          <w:b/>
          <w:i w:val="0"/>
          <w:sz w:val="24"/>
        </w:rPr>
        <w:t xml:space="preserve">Projected-light guided assembly </w:t>
      </w:r>
      <w:r>
        <w:rPr>
          <w:rFonts w:ascii="Times New Roman" w:hAnsi="Times New Roman" w:eastAsia="Times New Roman"/>
          <w:b w:val="0"/>
          <w:i w:val="0"/>
          <w:sz w:val="24"/>
        </w:rPr>
        <w:t>[1]</w:t>
      </w:r>
      <w:r>
        <w:rPr>
          <w:rFonts w:ascii="Times New Roman" w:hAnsi="Times New Roman" w:eastAsia="Times New Roman"/>
          <w:b w:val="0"/>
          <w:i w:val="0"/>
          <w:sz w:val="24"/>
        </w:rPr>
        <w:t>: instructions projected directly onto the work.</w:t>
      </w:r>
    </w:p>
    <w:p>
      <w:pPr>
        <w:pStyle w:val="ListNumber"/>
        <w:spacing w:after="80" w:line="360" w:lineRule="auto"/>
        <w:jc w:val="both"/>
      </w:pPr>
      <w:r>
        <w:rPr>
          <w:rFonts w:ascii="Times New Roman" w:hAnsi="Times New Roman" w:eastAsia="Times New Roman"/>
          <w:b/>
          <w:i w:val="0"/>
          <w:sz w:val="24"/>
        </w:rPr>
        <w:t xml:space="preserve">AR glasses for assembly assistance and monitoring </w:t>
      </w:r>
      <w:r>
        <w:rPr>
          <w:rFonts w:ascii="Times New Roman" w:hAnsi="Times New Roman" w:eastAsia="Times New Roman"/>
          <w:b w:val="0"/>
          <w:i w:val="0"/>
          <w:sz w:val="24"/>
        </w:rPr>
        <w:t>[2]</w:t>
      </w:r>
      <w:r>
        <w:rPr>
          <w:rFonts w:ascii="Times New Roman" w:hAnsi="Times New Roman" w:eastAsia="Times New Roman"/>
          <w:b w:val="0"/>
          <w:i w:val="0"/>
          <w:sz w:val="24"/>
        </w:rPr>
        <w:t>: wearable guidance with camera-based verification.</w:t>
      </w:r>
    </w:p>
    <w:p>
      <w:pPr>
        <w:pStyle w:val="ListNumber"/>
        <w:spacing w:after="80" w:line="360" w:lineRule="auto"/>
        <w:jc w:val="both"/>
      </w:pPr>
      <w:r>
        <w:rPr>
          <w:rFonts w:ascii="Times New Roman" w:hAnsi="Times New Roman" w:eastAsia="Times New Roman"/>
          <w:b/>
          <w:i w:val="0"/>
          <w:sz w:val="24"/>
        </w:rPr>
        <w:t xml:space="preserve">Machine-learning assembly step recognition </w:t>
      </w:r>
      <w:r>
        <w:rPr>
          <w:rFonts w:ascii="Times New Roman" w:hAnsi="Times New Roman" w:eastAsia="Times New Roman"/>
          <w:b w:val="0"/>
          <w:i w:val="0"/>
          <w:sz w:val="24"/>
        </w:rPr>
        <w:t>[3]</w:t>
      </w:r>
      <w:r>
        <w:rPr>
          <w:rFonts w:ascii="Times New Roman" w:hAnsi="Times New Roman" w:eastAsia="Times New Roman"/>
          <w:b w:val="0"/>
          <w:i w:val="0"/>
          <w:sz w:val="24"/>
        </w:rPr>
        <w:t>: AI that recognises the current step and overlays a position cue.</w:t>
      </w:r>
    </w:p>
    <w:p>
      <w:pPr>
        <w:pStyle w:val="ListNumber"/>
        <w:spacing w:after="80" w:line="360" w:lineRule="auto"/>
        <w:jc w:val="both"/>
      </w:pPr>
      <w:r>
        <w:rPr>
          <w:rFonts w:ascii="Times New Roman" w:hAnsi="Times New Roman" w:eastAsia="Times New Roman"/>
          <w:b/>
          <w:i w:val="0"/>
          <w:sz w:val="24"/>
        </w:rPr>
        <w:t xml:space="preserve">Virtual reality assembly training </w:t>
      </w:r>
      <w:r>
        <w:rPr>
          <w:rFonts w:ascii="Times New Roman" w:hAnsi="Times New Roman" w:eastAsia="Times New Roman"/>
          <w:b w:val="0"/>
          <w:i w:val="0"/>
          <w:sz w:val="24"/>
        </w:rPr>
        <w:t>[4]</w:t>
      </w:r>
      <w:r>
        <w:rPr>
          <w:rFonts w:ascii="Times New Roman" w:hAnsi="Times New Roman" w:eastAsia="Times New Roman"/>
          <w:b w:val="0"/>
          <w:i w:val="0"/>
          <w:sz w:val="24"/>
        </w:rPr>
        <w:t>: step-sequenced VR training with haptic feedback.</w:t>
      </w:r>
    </w:p>
    <w:p>
      <w:pPr>
        <w:pStyle w:val="ListNumber"/>
        <w:spacing w:after="80" w:line="360" w:lineRule="auto"/>
        <w:jc w:val="both"/>
      </w:pPr>
      <w:r>
        <w:rPr>
          <w:rFonts w:ascii="Times New Roman" w:hAnsi="Times New Roman" w:eastAsia="Times New Roman"/>
          <w:b/>
          <w:i w:val="0"/>
          <w:sz w:val="24"/>
        </w:rPr>
        <w:t xml:space="preserve">AR/VR interaction with collaborative robots </w:t>
      </w:r>
      <w:r>
        <w:rPr>
          <w:rFonts w:ascii="Times New Roman" w:hAnsi="Times New Roman" w:eastAsia="Times New Roman"/>
          <w:b w:val="0"/>
          <w:i w:val="0"/>
          <w:sz w:val="24"/>
        </w:rPr>
        <w:t>[5]</w:t>
      </w:r>
      <w:r>
        <w:rPr>
          <w:rFonts w:ascii="Times New Roman" w:hAnsi="Times New Roman" w:eastAsia="Times New Roman"/>
          <w:b w:val="0"/>
          <w:i w:val="0"/>
          <w:sz w:val="24"/>
        </w:rPr>
        <w:t>: showing a robot's planned motion and aiding programming.</w:t>
      </w:r>
    </w:p>
    <w:p>
      <w:pPr>
        <w:spacing w:after="120" w:before="0" w:line="360" w:lineRule="auto"/>
        <w:jc w:val="both"/>
      </w:pPr>
      <w:r>
        <w:rPr>
          <w:rFonts w:ascii="Times New Roman" w:hAnsi="Times New Roman" w:eastAsia="Times New Roman"/>
          <w:b w:val="0"/>
          <w:i w:val="0"/>
          <w:sz w:val="24"/>
        </w:rPr>
        <w:t>This report is explicitly patent-informed, not patent-protected. It uses the published technical disclosures of these patents to shape an architecture, while keeping a clear separation between what a patent teaches (its disclosure, which is public) and what it legally protects (its granted claims, which are narrower). It covers the problem and opportunity, a patent portfolio overview, the unique value proposition, market analysis, the business model, an IP and commercialization strategy, financial projections and an implementation roadmap, aiming at a realistic, affordable solution for Indian manufacturing.</w:t>
      </w:r>
    </w:p>
    <w:p>
      <w:r>
        <w:br w:type="page"/>
      </w:r>
    </w:p>
    <w:p>
      <w:pPr>
        <w:spacing w:before="360" w:after="240"/>
        <w:jc w:val="center"/>
      </w:pPr>
      <w:r>
        <w:rPr>
          <w:rFonts w:ascii="Times New Roman" w:hAnsi="Times New Roman" w:eastAsia="Times New Roman"/>
          <w:b/>
          <w:i w:val="0"/>
          <w:sz w:val="32"/>
        </w:rPr>
        <w:t>Chapter 2</w:t>
      </w:r>
    </w:p>
    <w:p>
      <w:pPr>
        <w:spacing w:after="360"/>
        <w:jc w:val="center"/>
      </w:pPr>
      <w:r>
        <w:rPr>
          <w:rFonts w:ascii="Times New Roman" w:hAnsi="Times New Roman" w:eastAsia="Times New Roman"/>
          <w:b/>
          <w:i w:val="0"/>
          <w:sz w:val="32"/>
        </w:rPr>
        <w:t>Problem and Opportunity</w:t>
      </w:r>
    </w:p>
    <w:p>
      <w:pPr>
        <w:spacing w:before="160" w:after="80"/>
      </w:pPr>
      <w:r>
        <w:rPr>
          <w:rFonts w:ascii="Times New Roman" w:hAnsi="Times New Roman" w:eastAsia="Times New Roman"/>
          <w:b/>
          <w:i w:val="0"/>
          <w:sz w:val="24"/>
        </w:rPr>
        <w:t>A. Existing Challenges in Manual Indian Assembly</w:t>
      </w:r>
    </w:p>
    <w:p>
      <w:pPr>
        <w:spacing w:after="120" w:before="0" w:line="360" w:lineRule="auto"/>
        <w:jc w:val="both"/>
      </w:pPr>
      <w:r>
        <w:rPr>
          <w:rFonts w:ascii="Times New Roman" w:hAnsi="Times New Roman" w:eastAsia="Times New Roman"/>
          <w:b w:val="0"/>
          <w:i w:val="0"/>
          <w:sz w:val="24"/>
        </w:rPr>
        <w:t>Manual assembly lines in India face a set of connected operational and economic challenges that limit quality and productivity.</w:t>
      </w:r>
    </w:p>
    <w:p>
      <w:pPr>
        <w:spacing w:before="160" w:after="80"/>
      </w:pPr>
      <w:r>
        <w:rPr>
          <w:rFonts w:ascii="Times New Roman" w:hAnsi="Times New Roman" w:eastAsia="Times New Roman"/>
          <w:b/>
          <w:i w:val="0"/>
          <w:sz w:val="24"/>
        </w:rPr>
        <w:t>1) Quality escapes from human error:</w:t>
      </w:r>
    </w:p>
    <w:p>
      <w:pPr>
        <w:spacing w:after="120" w:before="0" w:line="360" w:lineRule="auto"/>
        <w:jc w:val="both"/>
      </w:pPr>
      <w:r>
        <w:rPr>
          <w:rFonts w:ascii="Times New Roman" w:hAnsi="Times New Roman" w:eastAsia="Times New Roman"/>
          <w:b w:val="0"/>
          <w:i w:val="0"/>
          <w:sz w:val="24"/>
        </w:rPr>
        <w:t>A wrong part, a missed screw, a wrong connector or an incorrect torque passes down the line as rework or scrap, and sometimes reaches the OEM as a field complaint. For a Tier-1 or Tier-2 supplier, defective-parts-per-million (PPM) penalties and lost OEM ratings are a direct cost.</w:t>
      </w:r>
    </w:p>
    <w:p>
      <w:pPr>
        <w:spacing w:before="160" w:after="80"/>
      </w:pPr>
      <w:r>
        <w:rPr>
          <w:rFonts w:ascii="Times New Roman" w:hAnsi="Times New Roman" w:eastAsia="Times New Roman"/>
          <w:b/>
          <w:i w:val="0"/>
          <w:sz w:val="24"/>
        </w:rPr>
        <w:t>2) Slow onboarding and high attrition:</w:t>
      </w:r>
    </w:p>
    <w:p>
      <w:pPr>
        <w:spacing w:after="120" w:before="0" w:line="360" w:lineRule="auto"/>
        <w:jc w:val="both"/>
      </w:pPr>
      <w:r>
        <w:rPr>
          <w:rFonts w:ascii="Times New Roman" w:hAnsi="Times New Roman" w:eastAsia="Times New Roman"/>
          <w:b w:val="0"/>
          <w:i w:val="0"/>
          <w:sz w:val="24"/>
        </w:rPr>
        <w:t>New and contract workers typically need days to weeks of buddy training to reach standard cycle time. Industry reporting places shop-floor attrition in auto components above 18-20 percent, so the training burden is continuous [11]. About 80 percent of Indian employers report difficulty finding skilled staff [10].</w:t>
      </w:r>
    </w:p>
    <w:p>
      <w:pPr>
        <w:spacing w:before="160" w:after="80"/>
      </w:pPr>
      <w:r>
        <w:rPr>
          <w:rFonts w:ascii="Times New Roman" w:hAnsi="Times New Roman" w:eastAsia="Times New Roman"/>
          <w:b/>
          <w:i w:val="0"/>
          <w:sz w:val="24"/>
        </w:rPr>
        <w:t>3) Out-of-date paper instructions and high variant count:</w:t>
      </w:r>
    </w:p>
    <w:p>
      <w:pPr>
        <w:spacing w:after="120" w:before="0" w:line="360" w:lineRule="auto"/>
        <w:jc w:val="both"/>
      </w:pPr>
      <w:r>
        <w:rPr>
          <w:rFonts w:ascii="Times New Roman" w:hAnsi="Times New Roman" w:eastAsia="Times New Roman"/>
          <w:b w:val="0"/>
          <w:i w:val="0"/>
          <w:sz w:val="24"/>
        </w:rPr>
        <w:t>Paper and PDF standard operating procedures (SOPs) are hard to keep current, and are rarely consulted during the work itself. Indian suppliers run many low-volume variants, so the right instruction for the exact variant is often unclear at the station.</w:t>
      </w:r>
    </w:p>
    <w:p>
      <w:pPr>
        <w:spacing w:before="160" w:after="80"/>
      </w:pPr>
      <w:r>
        <w:rPr>
          <w:rFonts w:ascii="Times New Roman" w:hAnsi="Times New Roman" w:eastAsia="Times New Roman"/>
          <w:b/>
          <w:i w:val="0"/>
          <w:sz w:val="24"/>
        </w:rPr>
        <w:t>4) No verification and no traceability:</w:t>
      </w:r>
    </w:p>
    <w:p>
      <w:pPr>
        <w:spacing w:after="120" w:before="0" w:line="360" w:lineRule="auto"/>
        <w:jc w:val="both"/>
      </w:pPr>
      <w:r>
        <w:rPr>
          <w:rFonts w:ascii="Times New Roman" w:hAnsi="Times New Roman" w:eastAsia="Times New Roman"/>
          <w:b w:val="0"/>
          <w:i w:val="0"/>
          <w:sz w:val="24"/>
        </w:rPr>
        <w:t>Most stations cannot confirm that each step was done correctly, and keep no per-unit record of who did which step and when. Vision inspection, where present, usually checks the finished product rather than guiding and checking each step in sequence.</w:t>
      </w:r>
    </w:p>
    <w:p>
      <w:pPr>
        <w:spacing w:before="160" w:after="80"/>
      </w:pPr>
      <w:r>
        <w:rPr>
          <w:rFonts w:ascii="Times New Roman" w:hAnsi="Times New Roman" w:eastAsia="Times New Roman"/>
          <w:b/>
          <w:i w:val="0"/>
          <w:sz w:val="24"/>
        </w:rPr>
        <w:t>5) The headset and platform risk:</w:t>
      </w:r>
    </w:p>
    <w:p>
      <w:pPr>
        <w:spacing w:after="120" w:before="0" w:line="360" w:lineRule="auto"/>
        <w:jc w:val="both"/>
      </w:pPr>
      <w:r>
        <w:rPr>
          <w:rFonts w:ascii="Times New Roman" w:hAnsi="Times New Roman" w:eastAsia="Times New Roman"/>
          <w:b w:val="0"/>
          <w:i w:val="0"/>
          <w:sz w:val="24"/>
        </w:rPr>
        <w:t>Headset-first AR has struggled on Indian shop floors because of cost, comfort over a full shift, hygiene when shared across shifts, and narrow field of view. The risk is concrete: Microsoft stopped producing HoloLens 2 in 2024, and its industrial AR applications, Dynamics 365 Guides and Remote Assist, stop being available after 31 December 2026 [8]. Plants that invested in that platform must migrate.</w:t>
      </w:r>
    </w:p>
    <w:p>
      <w:pPr>
        <w:spacing w:before="160" w:after="80"/>
      </w:pPr>
      <w:r>
        <w:rPr>
          <w:rFonts w:ascii="Times New Roman" w:hAnsi="Times New Roman" w:eastAsia="Times New Roman"/>
          <w:b/>
          <w:i w:val="0"/>
          <w:sz w:val="24"/>
        </w:rPr>
        <w:t>B. Opportunity for an India-Specific Assembly Assistant</w:t>
      </w:r>
    </w:p>
    <w:p>
      <w:pPr>
        <w:spacing w:after="120" w:before="0" w:line="360" w:lineRule="auto"/>
        <w:jc w:val="both"/>
      </w:pPr>
      <w:r>
        <w:rPr>
          <w:rFonts w:ascii="Times New Roman" w:hAnsi="Times New Roman" w:eastAsia="Times New Roman"/>
          <w:b w:val="0"/>
          <w:i w:val="0"/>
          <w:sz w:val="24"/>
        </w:rPr>
        <w:t>These constraints create a large opportunity for an affordable, headset-free, check-every-step assistant tuned to Indian conditions. The underlying demand is substantial:</w:t>
      </w:r>
    </w:p>
    <w:p>
      <w:pPr>
        <w:pStyle w:val="ListBullet"/>
        <w:spacing w:after="80" w:line="360" w:lineRule="auto"/>
        <w:jc w:val="both"/>
      </w:pPr>
      <w:r>
        <w:rPr>
          <w:rFonts w:ascii="Times New Roman" w:hAnsi="Times New Roman" w:eastAsia="Times New Roman"/>
          <w:b/>
          <w:i w:val="0"/>
          <w:sz w:val="24"/>
        </w:rPr>
        <w:t xml:space="preserve">Large, growing base: </w:t>
      </w:r>
      <w:r>
        <w:rPr>
          <w:rFonts w:ascii="Times New Roman" w:hAnsi="Times New Roman" w:eastAsia="Times New Roman"/>
          <w:b w:val="0"/>
          <w:i w:val="0"/>
          <w:sz w:val="24"/>
        </w:rPr>
        <w:t>Indian auto-component turnover reached ₹6.73 lakh crore (about US$80.2 billion) in FY25, up 9.6 percent, with a 14 percent five-year CAGR (ACMA) [6].</w:t>
      </w:r>
    </w:p>
    <w:p>
      <w:pPr>
        <w:pStyle w:val="ListBullet"/>
        <w:spacing w:after="80" w:line="360" w:lineRule="auto"/>
        <w:jc w:val="both"/>
      </w:pPr>
      <w:r>
        <w:rPr>
          <w:rFonts w:ascii="Times New Roman" w:hAnsi="Times New Roman" w:eastAsia="Times New Roman"/>
          <w:b/>
          <w:i w:val="0"/>
          <w:sz w:val="24"/>
        </w:rPr>
        <w:t xml:space="preserve">Electronics scale-up: </w:t>
      </w:r>
      <w:r>
        <w:rPr>
          <w:rFonts w:ascii="Times New Roman" w:hAnsi="Times New Roman" w:eastAsia="Times New Roman"/>
          <w:b w:val="0"/>
          <w:i w:val="0"/>
          <w:sz w:val="24"/>
        </w:rPr>
        <w:t>Indian electronics production was about ₹11.3 lakh crore in FY25, with mobile phones alone about ₹5.45 lakh crore (Economic Survey, as reported) [7].</w:t>
      </w:r>
    </w:p>
    <w:p>
      <w:pPr>
        <w:pStyle w:val="ListBullet"/>
        <w:spacing w:after="80" w:line="360" w:lineRule="auto"/>
        <w:jc w:val="both"/>
      </w:pPr>
      <w:r>
        <w:rPr>
          <w:rFonts w:ascii="Times New Roman" w:hAnsi="Times New Roman" w:eastAsia="Times New Roman"/>
          <w:b/>
          <w:i w:val="0"/>
          <w:sz w:val="24"/>
        </w:rPr>
        <w:t xml:space="preserve">Proven effect: </w:t>
      </w:r>
      <w:r>
        <w:rPr>
          <w:rFonts w:ascii="Times New Roman" w:hAnsi="Times New Roman" w:eastAsia="Times New Roman"/>
          <w:b w:val="0"/>
          <w:i w:val="0"/>
          <w:sz w:val="24"/>
        </w:rPr>
        <w:t>AR guidance cut assembly errors by 82 percent in a controlled study [9].</w:t>
      </w:r>
    </w:p>
    <w:p>
      <w:pPr>
        <w:pStyle w:val="ListBullet"/>
        <w:spacing w:after="80" w:line="360" w:lineRule="auto"/>
        <w:jc w:val="both"/>
      </w:pPr>
      <w:r>
        <w:rPr>
          <w:rFonts w:ascii="Times New Roman" w:hAnsi="Times New Roman" w:eastAsia="Times New Roman"/>
          <w:b/>
          <w:i w:val="0"/>
          <w:sz w:val="24"/>
        </w:rPr>
        <w:t xml:space="preserve">A platform gap to fill: </w:t>
      </w:r>
      <w:r>
        <w:rPr>
          <w:rFonts w:ascii="Times New Roman" w:hAnsi="Times New Roman" w:eastAsia="Times New Roman"/>
          <w:b w:val="0"/>
          <w:i w:val="0"/>
          <w:sz w:val="24"/>
        </w:rPr>
        <w:t>The Dynamics 365 Guides retirement leaves customers looking for a replacement [8].</w:t>
      </w:r>
    </w:p>
    <w:p>
      <w:pPr>
        <w:spacing w:after="120" w:before="0" w:line="360" w:lineRule="auto"/>
        <w:jc w:val="both"/>
      </w:pPr>
      <w:r>
        <w:rPr>
          <w:rFonts w:ascii="Times New Roman" w:hAnsi="Times New Roman" w:eastAsia="Times New Roman"/>
          <w:b w:val="0"/>
          <w:i w:val="0"/>
          <w:sz w:val="24"/>
        </w:rPr>
        <w:t>The opportunity is strongly aligned with Make in India, the push toward Industry 4.0, and the Startup India Seed Fund Scheme, which offers up to ₹20 lakh for proof-of-concept and prototype development through approved incubators [12].</w:t>
      </w:r>
    </w:p>
    <w:p>
      <w:r>
        <w:br w:type="page"/>
      </w:r>
    </w:p>
    <w:p>
      <w:pPr>
        <w:spacing w:before="360" w:after="240"/>
        <w:jc w:val="center"/>
      </w:pPr>
      <w:r>
        <w:rPr>
          <w:rFonts w:ascii="Times New Roman" w:hAnsi="Times New Roman" w:eastAsia="Times New Roman"/>
          <w:b/>
          <w:i w:val="0"/>
          <w:sz w:val="32"/>
        </w:rPr>
        <w:t>Chapter 3</w:t>
      </w:r>
    </w:p>
    <w:p>
      <w:pPr>
        <w:spacing w:after="360"/>
        <w:jc w:val="center"/>
      </w:pPr>
      <w:r>
        <w:rPr>
          <w:rFonts w:ascii="Times New Roman" w:hAnsi="Times New Roman" w:eastAsia="Times New Roman"/>
          <w:b/>
          <w:i w:val="0"/>
          <w:sz w:val="32"/>
        </w:rPr>
        <w:t>Patent Portfolio Overview</w:t>
      </w:r>
    </w:p>
    <w:p>
      <w:pPr>
        <w:spacing w:after="120" w:before="0" w:line="360" w:lineRule="auto"/>
        <w:jc w:val="both"/>
      </w:pPr>
      <w:r>
        <w:rPr>
          <w:rFonts w:ascii="Times New Roman" w:hAnsi="Times New Roman" w:eastAsia="Times New Roman"/>
          <w:b w:val="0"/>
          <w:i w:val="0"/>
          <w:sz w:val="24"/>
        </w:rPr>
        <w:t>The proposed approach is patent-informed. The design draws on the technical disclosures of five real patents to shape its architecture, while taking care to avoid infringement through amended mechanisms, different control logic and India-specific design choices, confirmed by a professional freedom-to-operate (FTO) review before any build or sale.</w:t>
      </w:r>
    </w:p>
    <w:p>
      <w:pPr>
        <w:spacing w:after="120" w:before="0" w:line="360" w:lineRule="auto"/>
        <w:jc w:val="both"/>
      </w:pPr>
      <w:r>
        <w:rPr>
          <w:rFonts w:ascii="Times New Roman" w:hAnsi="Times New Roman" w:eastAsia="Times New Roman"/>
          <w:b w:val="0"/>
          <w:i w:val="0"/>
          <w:sz w:val="24"/>
        </w:rPr>
        <w:t>A note on kind codes, because it matters for this report's rigor. In the United States, a code ending in B1 or B2 means a granted patent; A1 means a published application that is not yet granted. The legal status of each record below (in force, lapsed or expired) was not verified on an official register for this report and is marked accordingly; these should be confirmed on the USPTO Patent Center, Espacenet and the Indian Patent Office InPASS search before the final submission.</w:t>
      </w:r>
    </w:p>
    <w:p>
      <w:pPr>
        <w:spacing w:before="160" w:after="80"/>
      </w:pPr>
      <w:r>
        <w:rPr>
          <w:rFonts w:ascii="Times New Roman" w:hAnsi="Times New Roman" w:eastAsia="Times New Roman"/>
          <w:b/>
          <w:i w:val="0"/>
          <w:sz w:val="24"/>
        </w:rPr>
        <w:t>1) Patent 1 – Light Guided Assembly System [1]:</w:t>
      </w:r>
    </w:p>
    <w:p>
      <w:pPr>
        <w:spacing w:after="80" w:line="360" w:lineRule="auto"/>
        <w:jc w:val="both"/>
      </w:pPr>
      <w:r>
        <w:rPr>
          <w:rFonts w:ascii="Times New Roman" w:hAnsi="Times New Roman" w:eastAsia="Times New Roman"/>
          <w:b/>
          <w:i w:val="0"/>
          <w:sz w:val="24"/>
        </w:rPr>
        <w:t xml:space="preserve">Record: </w:t>
      </w:r>
      <w:r>
        <w:rPr>
          <w:rFonts w:ascii="Times New Roman" w:hAnsi="Times New Roman" w:eastAsia="Times New Roman"/>
          <w:b w:val="0"/>
          <w:i w:val="0"/>
          <w:sz w:val="24"/>
        </w:rPr>
        <w:t>US 7,515,981 B2 (granted). Inventors: Paul Ryznar and James Ryznar. Owner: LightGuide, Inc. (formerly OPS Solutions LLC). Priority 2005; US term of about 20 years from filing points to roughly 2026, so it is near expiry if maintenance fees were paid; the later family members US 9,658,614 B2 and US 10,528,036, and EP 2673592 B2, run later. Status not officially verified.</w:t>
      </w:r>
    </w:p>
    <w:p>
      <w:pPr>
        <w:spacing w:after="120" w:before="0" w:line="360" w:lineRule="auto"/>
        <w:jc w:val="both"/>
      </w:pPr>
      <w:r>
        <w:rPr>
          <w:rFonts w:ascii="Times New Roman" w:hAnsi="Times New Roman" w:eastAsia="Times New Roman"/>
          <w:b w:val="0"/>
          <w:i w:val="0"/>
          <w:sz w:val="24"/>
        </w:rPr>
        <w:t xml:space="preserve">This patent projects visual indicators (arrows, highlighted bins, locations, text) directly onto the work area and steps the operator through the assembly in order. </w:t>
      </w:r>
    </w:p>
    <w:p>
      <w:pPr>
        <w:spacing w:after="160" w:line="360" w:lineRule="auto"/>
        <w:jc w:val="both"/>
      </w:pPr>
      <w:r>
        <w:rPr>
          <w:rFonts w:ascii="Times New Roman" w:hAnsi="Times New Roman" w:eastAsia="Times New Roman"/>
          <w:b w:val="0"/>
          <w:i w:val="0"/>
          <w:sz w:val="24"/>
        </w:rPr>
        <w:t>Contribution to the proposed system: it is the headset-free, station-mounted form of AR that suits a fixed overhead camera plus projector or screen. It is the primary prior art any projected-AR product must be compared against. Expiry of the 2005 patent does not make the idea free to use, because the later family patents remain in force and have been litigated.</w:t>
      </w:r>
    </w:p>
    <w:p>
      <w:pPr>
        <w:spacing w:before="160" w:after="80"/>
      </w:pPr>
      <w:r>
        <w:rPr>
          <w:rFonts w:ascii="Times New Roman" w:hAnsi="Times New Roman" w:eastAsia="Times New Roman"/>
          <w:b/>
          <w:i w:val="0"/>
          <w:sz w:val="24"/>
        </w:rPr>
        <w:t>2) Patent 2 – AR Assembly Assistance and Monitoring [2]:</w:t>
      </w:r>
    </w:p>
    <w:p>
      <w:pPr>
        <w:spacing w:after="80" w:line="360" w:lineRule="auto"/>
        <w:jc w:val="both"/>
      </w:pPr>
      <w:r>
        <w:rPr>
          <w:rFonts w:ascii="Times New Roman" w:hAnsi="Times New Roman" w:eastAsia="Times New Roman"/>
          <w:b/>
          <w:i w:val="0"/>
          <w:sz w:val="24"/>
        </w:rPr>
        <w:t xml:space="preserve">Record: </w:t>
      </w:r>
      <w:r>
        <w:rPr>
          <w:rFonts w:ascii="Times New Roman" w:hAnsi="Times New Roman" w:eastAsia="Times New Roman"/>
          <w:b w:val="0"/>
          <w:i w:val="0"/>
          <w:sz w:val="24"/>
        </w:rPr>
        <w:t>US 10,366,521 B1 (granted). Inventors: Jason L. Peacock, Joshua J. Watson, Scott M. Wilcox. Owner: Amazon Technologies, Inc. Filed about 2017; expected term to about 2037 if fees are paid. Status not officially verified.</w:t>
      </w:r>
    </w:p>
    <w:p>
      <w:pPr>
        <w:spacing w:after="120" w:before="0" w:line="360" w:lineRule="auto"/>
        <w:jc w:val="both"/>
      </w:pPr>
      <w:r>
        <w:rPr>
          <w:rFonts w:ascii="Times New Roman" w:hAnsi="Times New Roman" w:eastAsia="Times New Roman"/>
          <w:b w:val="0"/>
          <w:i w:val="0"/>
          <w:sz w:val="24"/>
        </w:rPr>
        <w:t xml:space="preserve">Workers wear AR glasses that show the information for the current step. Camera image data is used to verify the assembly step, and the disclosure also shows safe walking paths and restricted areas in the glasses. </w:t>
      </w:r>
    </w:p>
    <w:p>
      <w:pPr>
        <w:spacing w:after="160" w:line="360" w:lineRule="auto"/>
        <w:jc w:val="both"/>
      </w:pPr>
      <w:r>
        <w:rPr>
          <w:rFonts w:ascii="Times New Roman" w:hAnsi="Times New Roman" w:eastAsia="Times New Roman"/>
          <w:b w:val="0"/>
          <w:i w:val="0"/>
          <w:sz w:val="24"/>
        </w:rPr>
        <w:t>Contribution: it demonstrates that guidance and camera-based verification belong together, and adds safety-zone overlays that later connect naturally to cobot cells. It is important prior art showing the general idea of AR guidance plus verification is already known, so novelty must lie in how verification is done, not that it is done.</w:t>
      </w:r>
    </w:p>
    <w:p>
      <w:pPr>
        <w:spacing w:before="160" w:after="80"/>
      </w:pPr>
      <w:r>
        <w:rPr>
          <w:rFonts w:ascii="Times New Roman" w:hAnsi="Times New Roman" w:eastAsia="Times New Roman"/>
          <w:b/>
          <w:i w:val="0"/>
          <w:sz w:val="24"/>
        </w:rPr>
        <w:t>3) Patent 3 – Assembly Step Recognition Using AR [3]:</w:t>
      </w:r>
    </w:p>
    <w:p>
      <w:pPr>
        <w:spacing w:after="80" w:line="360" w:lineRule="auto"/>
        <w:jc w:val="both"/>
      </w:pPr>
      <w:r>
        <w:rPr>
          <w:rFonts w:ascii="Times New Roman" w:hAnsi="Times New Roman" w:eastAsia="Times New Roman"/>
          <w:b/>
          <w:i w:val="0"/>
          <w:sz w:val="24"/>
        </w:rPr>
        <w:t xml:space="preserve">Record: </w:t>
      </w:r>
      <w:r>
        <w:rPr>
          <w:rFonts w:ascii="Times New Roman" w:hAnsi="Times New Roman" w:eastAsia="Times New Roman"/>
          <w:b w:val="0"/>
          <w:i w:val="0"/>
          <w:sz w:val="24"/>
        </w:rPr>
        <w:t>US 11,715,300 B1 (granted). Inventors: Yuliang Guo, Xinyu Huang, Liu Ren (assignee probably Robert Bosch GmbH; confirm on the front page). Filed 2022; expected term to about 2042. Status not officially verified.</w:t>
      </w:r>
    </w:p>
    <w:p>
      <w:pPr>
        <w:spacing w:after="120" w:before="0" w:line="360" w:lineRule="auto"/>
        <w:jc w:val="both"/>
      </w:pPr>
      <w:r>
        <w:rPr>
          <w:rFonts w:ascii="Times New Roman" w:hAnsi="Times New Roman" w:eastAsia="Times New Roman"/>
          <w:b w:val="0"/>
          <w:i w:val="0"/>
          <w:sz w:val="24"/>
        </w:rPr>
        <w:t xml:space="preserve">A first machine-learning model, trained on data generated from 2D images and matching 3D CAD models, turns a camera image into feature vectors; these are matched to feature-vector templates to identify the base and incoming components and the current step; a second model verifies that decision; and an AR position indicator shows where the part goes. </w:t>
      </w:r>
    </w:p>
    <w:p>
      <w:pPr>
        <w:spacing w:after="160" w:line="360" w:lineRule="auto"/>
        <w:jc w:val="both"/>
      </w:pPr>
      <w:r>
        <w:rPr>
          <w:rFonts w:ascii="Times New Roman" w:hAnsi="Times New Roman" w:eastAsia="Times New Roman"/>
          <w:b w:val="0"/>
          <w:i w:val="0"/>
          <w:sz w:val="24"/>
        </w:rPr>
        <w:t>Contribution: this is almost exactly the AI object-recognition core of the proposed system, and therefore its single biggest FTO risk, especially for any sale into the United States. The proposed system must use a different recognition method (for example hand-action recognition or depth-based state comparison) or secure a licence, confirmed by counsel.</w:t>
      </w:r>
    </w:p>
    <w:p>
      <w:pPr>
        <w:spacing w:before="160" w:after="80"/>
      </w:pPr>
      <w:r>
        <w:rPr>
          <w:rFonts w:ascii="Times New Roman" w:hAnsi="Times New Roman" w:eastAsia="Times New Roman"/>
          <w:b/>
          <w:i w:val="0"/>
          <w:sz w:val="24"/>
        </w:rPr>
        <w:t>4) Patent 4 – Virtual Reality Training Simulator [4]:</w:t>
      </w:r>
    </w:p>
    <w:p>
      <w:pPr>
        <w:spacing w:after="80" w:line="360" w:lineRule="auto"/>
        <w:jc w:val="both"/>
      </w:pPr>
      <w:r>
        <w:rPr>
          <w:rFonts w:ascii="Times New Roman" w:hAnsi="Times New Roman" w:eastAsia="Times New Roman"/>
          <w:b/>
          <w:i w:val="0"/>
          <w:sz w:val="24"/>
        </w:rPr>
        <w:t xml:space="preserve">Record: </w:t>
      </w:r>
      <w:r>
        <w:rPr>
          <w:rFonts w:ascii="Times New Roman" w:hAnsi="Times New Roman" w:eastAsia="Times New Roman"/>
          <w:b w:val="0"/>
          <w:i w:val="0"/>
          <w:sz w:val="24"/>
        </w:rPr>
        <w:t>US 12,592,164 B2 (granted). Owner: Permco, Inc. (inventors to be taken from the front page). Filed 2022; granted 2026; expected term to about 2042. Status not officially verified.</w:t>
      </w:r>
    </w:p>
    <w:p>
      <w:pPr>
        <w:spacing w:after="120" w:before="0" w:line="360" w:lineRule="auto"/>
        <w:jc w:val="both"/>
      </w:pPr>
      <w:r>
        <w:rPr>
          <w:rFonts w:ascii="Times New Roman" w:hAnsi="Times New Roman" w:eastAsia="Times New Roman"/>
          <w:b w:val="0"/>
          <w:i w:val="0"/>
          <w:sz w:val="24"/>
        </w:rPr>
        <w:t xml:space="preserve">A VR headset shows a virtual workbench, tools and components; the system shows an ordered list of steps and highlights the tool and location for each; one embodiment uses a haptic glove to teach workers to feel surface defects such as burrs. </w:t>
      </w:r>
    </w:p>
    <w:p>
      <w:pPr>
        <w:spacing w:after="160" w:line="360" w:lineRule="auto"/>
        <w:jc w:val="both"/>
      </w:pPr>
      <w:r>
        <w:rPr>
          <w:rFonts w:ascii="Times New Roman" w:hAnsi="Times New Roman" w:eastAsia="Times New Roman"/>
          <w:b w:val="0"/>
          <w:i w:val="0"/>
          <w:sz w:val="24"/>
        </w:rPr>
        <w:t>Contribution: it matches the VR-training half of the proposed system and shows that ordered-step VR assembly training was patented in the US as recently as 2026. The design reuses one process recipe for both VR pre-training and floor guidance, so content is authored once.</w:t>
      </w:r>
    </w:p>
    <w:p>
      <w:pPr>
        <w:spacing w:before="160" w:after="80"/>
      </w:pPr>
      <w:r>
        <w:rPr>
          <w:rFonts w:ascii="Times New Roman" w:hAnsi="Times New Roman" w:eastAsia="Times New Roman"/>
          <w:b/>
          <w:i w:val="0"/>
          <w:sz w:val="24"/>
        </w:rPr>
        <w:t>5) Patent 5 – VR/AR Interaction with Collaborative Robots [5]:</w:t>
      </w:r>
    </w:p>
    <w:p>
      <w:pPr>
        <w:spacing w:after="80" w:line="360" w:lineRule="auto"/>
        <w:jc w:val="both"/>
      </w:pPr>
      <w:r>
        <w:rPr>
          <w:rFonts w:ascii="Times New Roman" w:hAnsi="Times New Roman" w:eastAsia="Times New Roman"/>
          <w:b/>
          <w:i w:val="0"/>
          <w:sz w:val="24"/>
        </w:rPr>
        <w:t xml:space="preserve">Record: </w:t>
      </w:r>
      <w:r>
        <w:rPr>
          <w:rFonts w:ascii="Times New Roman" w:hAnsi="Times New Roman" w:eastAsia="Times New Roman"/>
          <w:b w:val="0"/>
          <w:i w:val="0"/>
          <w:sz w:val="24"/>
        </w:rPr>
        <w:t>US 11,529,737 B2 (granted). Inventor: Kristen M. Stone. Owner: Raytheon Company. European family member EP 4096874. Priority 2020; granted 2022; expected US term to about 2040. Status not officially verified.</w:t>
      </w:r>
    </w:p>
    <w:p>
      <w:pPr>
        <w:spacing w:after="120" w:before="0" w:line="360" w:lineRule="auto"/>
        <w:jc w:val="both"/>
      </w:pPr>
      <w:r>
        <w:rPr>
          <w:rFonts w:ascii="Times New Roman" w:hAnsi="Times New Roman" w:eastAsia="Times New Roman"/>
          <w:b w:val="0"/>
          <w:i w:val="0"/>
          <w:sz w:val="24"/>
        </w:rPr>
        <w:t xml:space="preserve">A wearable AR/VR headset shows the cobot's planned movement path over the real or virtual cell before it moves, and a VR training simulation feeds information to the robot workstation to help program the path. </w:t>
      </w:r>
    </w:p>
    <w:p>
      <w:pPr>
        <w:spacing w:after="160" w:line="360" w:lineRule="auto"/>
        <w:jc w:val="both"/>
      </w:pPr>
      <w:r>
        <w:rPr>
          <w:rFonts w:ascii="Times New Roman" w:hAnsi="Times New Roman" w:eastAsia="Times New Roman"/>
          <w:b w:val="0"/>
          <w:i w:val="0"/>
          <w:sz w:val="24"/>
        </w:rPr>
        <w:t>Contribution: it covers exactly the future human-cobot extension of the proposed system. Any robot-intent overlay or hand-over feature must be checked against its claims and its European family. Note that such an overlay is an information aid, not a safety function; safety remains with certified robot safety systems under ISO 10218 and ISO/TS 15066.</w:t>
      </w:r>
    </w:p>
    <w:p>
      <w:r>
        <w:br w:type="page"/>
      </w:r>
    </w:p>
    <w:p>
      <w:pPr>
        <w:spacing w:before="360" w:after="240"/>
        <w:jc w:val="center"/>
      </w:pPr>
      <w:r>
        <w:rPr>
          <w:rFonts w:ascii="Times New Roman" w:hAnsi="Times New Roman" w:eastAsia="Times New Roman"/>
          <w:b/>
          <w:i w:val="0"/>
          <w:sz w:val="32"/>
        </w:rPr>
        <w:t>Chapter 4</w:t>
      </w:r>
    </w:p>
    <w:p>
      <w:pPr>
        <w:spacing w:after="360"/>
        <w:jc w:val="center"/>
      </w:pPr>
      <w:r>
        <w:rPr>
          <w:rFonts w:ascii="Times New Roman" w:hAnsi="Times New Roman" w:eastAsia="Times New Roman"/>
          <w:b/>
          <w:i w:val="0"/>
          <w:sz w:val="32"/>
        </w:rPr>
        <w:t>Unique Value Proposition (UVP)</w:t>
      </w:r>
    </w:p>
    <w:p>
      <w:pPr>
        <w:spacing w:after="120" w:before="0" w:line="360" w:lineRule="auto"/>
        <w:jc w:val="both"/>
      </w:pPr>
      <w:r>
        <w:rPr>
          <w:rFonts w:ascii="Times New Roman" w:hAnsi="Times New Roman" w:eastAsia="Times New Roman"/>
          <w:b w:val="0"/>
          <w:i w:val="0"/>
          <w:sz w:val="24"/>
        </w:rPr>
        <w:t>StepSure offers a differentiated solution for Indian manual assembly across five parameters. The working name should be cleared on the Indian trademark registry before use.</w:t>
      </w:r>
    </w:p>
    <w:p>
      <w:pPr>
        <w:spacing w:before="160" w:after="80"/>
      </w:pPr>
      <w:r>
        <w:rPr>
          <w:rFonts w:ascii="Times New Roman" w:hAnsi="Times New Roman" w:eastAsia="Times New Roman"/>
          <w:b/>
          <w:i w:val="0"/>
          <w:sz w:val="24"/>
        </w:rPr>
        <w:t>1) Checked steps, not just shown steps:</w:t>
      </w:r>
    </w:p>
    <w:p>
      <w:pPr>
        <w:spacing w:after="120" w:before="0" w:line="360" w:lineRule="auto"/>
        <w:jc w:val="both"/>
      </w:pPr>
      <w:r>
        <w:rPr>
          <w:rFonts w:ascii="Times New Roman" w:hAnsi="Times New Roman" w:eastAsia="Times New Roman"/>
          <w:b w:val="0"/>
          <w:i w:val="0"/>
          <w:sz w:val="24"/>
        </w:rPr>
        <w:t>Unlike display-only guidance, every step is verified by a camera and connected tools (part present and correctly placed, fastener count, hand path to the correct bin, torque-tool OK signal) before the next step unlocks. This is the core value and the main point of difference from projection-only and PDF-on-screen systems.</w:t>
      </w:r>
    </w:p>
    <w:p>
      <w:pPr>
        <w:spacing w:before="160" w:after="80"/>
      </w:pPr>
      <w:r>
        <w:rPr>
          <w:rFonts w:ascii="Times New Roman" w:hAnsi="Times New Roman" w:eastAsia="Times New Roman"/>
          <w:b/>
          <w:i w:val="0"/>
          <w:sz w:val="24"/>
        </w:rPr>
        <w:t>2) Headset-free on the line:</w:t>
      </w:r>
    </w:p>
    <w:p>
      <w:pPr>
        <w:spacing w:after="120" w:before="0" w:line="360" w:lineRule="auto"/>
        <w:jc w:val="both"/>
      </w:pPr>
      <w:r>
        <w:rPr>
          <w:rFonts w:ascii="Times New Roman" w:hAnsi="Times New Roman" w:eastAsia="Times New Roman"/>
          <w:b w:val="0"/>
          <w:i w:val="0"/>
          <w:sz w:val="24"/>
        </w:rPr>
        <w:t>The default is a fixed overhead camera with a projector or screen, so there is no headset fatigue, the station is shared across all shifts, it works with gloves, and there is no dependence on a single headset vendor, an important lesson from the HoloLens and Dynamics 365 Guides exit. VR is used for training only, where a headset makes sense.</w:t>
      </w:r>
    </w:p>
    <w:p>
      <w:pPr>
        <w:spacing w:before="160" w:after="80"/>
      </w:pPr>
      <w:r>
        <w:rPr>
          <w:rFonts w:ascii="Times New Roman" w:hAnsi="Times New Roman" w:eastAsia="Times New Roman"/>
          <w:b/>
          <w:i w:val="0"/>
          <w:sz w:val="24"/>
        </w:rPr>
        <w:t>3) One recipe, three outputs:</w:t>
      </w:r>
    </w:p>
    <w:p>
      <w:pPr>
        <w:spacing w:after="120" w:before="0" w:line="360" w:lineRule="auto"/>
        <w:jc w:val="both"/>
      </w:pPr>
      <w:r>
        <w:rPr>
          <w:rFonts w:ascii="Times New Roman" w:hAnsi="Times New Roman" w:eastAsia="Times New Roman"/>
          <w:b w:val="0"/>
          <w:i w:val="0"/>
          <w:sz w:val="24"/>
        </w:rPr>
        <w:t>A single digital process recipe (steps, parts, tools, checks, CAD references) drives projected or screen guidance, computer-vision checking, and automatically generated VR training content. Later it also drives cobot hand-over steps. Customers author the process once instead of paying three times for the same knowledge.</w:t>
      </w:r>
    </w:p>
    <w:p>
      <w:pPr>
        <w:spacing w:before="160" w:after="80"/>
      </w:pPr>
      <w:r>
        <w:rPr>
          <w:rFonts w:ascii="Times New Roman" w:hAnsi="Times New Roman" w:eastAsia="Times New Roman"/>
          <w:b/>
          <w:i w:val="0"/>
          <w:sz w:val="24"/>
        </w:rPr>
        <w:t>4) Built for Indian conditions:</w:t>
      </w:r>
    </w:p>
    <w:p>
      <w:pPr>
        <w:spacing w:after="120" w:before="0" w:line="360" w:lineRule="auto"/>
        <w:jc w:val="both"/>
      </w:pPr>
      <w:r>
        <w:rPr>
          <w:rFonts w:ascii="Times New Roman" w:hAnsi="Times New Roman" w:eastAsia="Times New Roman"/>
          <w:b w:val="0"/>
          <w:i w:val="0"/>
          <w:sz w:val="24"/>
        </w:rPr>
        <w:t>Icon-first user interface with Hindi, Tamil, Marathi and Kannada voice and text for low-literacy and multilingual shop floors; pricing per station in INR; hardware sold close to cost; and on-site support in the main auto clusters (Pune, Chennai-Hosur, NCR, Bengaluru, Aurangabad).</w:t>
      </w:r>
    </w:p>
    <w:p>
      <w:pPr>
        <w:spacing w:before="160" w:after="80"/>
      </w:pPr>
      <w:r>
        <w:rPr>
          <w:rFonts w:ascii="Times New Roman" w:hAnsi="Times New Roman" w:eastAsia="Times New Roman"/>
          <w:b/>
          <w:i w:val="0"/>
          <w:sz w:val="24"/>
        </w:rPr>
        <w:t>5) Cobot-ready:</w:t>
      </w:r>
    </w:p>
    <w:p>
      <w:pPr>
        <w:spacing w:after="120" w:before="0" w:line="360" w:lineRule="auto"/>
        <w:jc w:val="both"/>
      </w:pPr>
      <w:r>
        <w:rPr>
          <w:rFonts w:ascii="Times New Roman" w:hAnsi="Times New Roman" w:eastAsia="Times New Roman"/>
          <w:b w:val="0"/>
          <w:i w:val="0"/>
          <w:sz w:val="24"/>
        </w:rPr>
        <w:t>The same recipe and the safety-zone concept extend to a future Cobot Bridge that shows a robot's next move on the station display and runs guided hand-over steps, positioning the product for the shift toward human-cobot collaboration without forcing it on day one.</w:t>
      </w:r>
    </w:p>
    <w:p>
      <w:pPr>
        <w:spacing w:after="120" w:before="0" w:line="360" w:lineRule="auto"/>
        <w:jc w:val="both"/>
      </w:pPr>
      <w:r>
        <w:rPr>
          <w:rFonts w:ascii="Times New Roman" w:hAnsi="Times New Roman" w:eastAsia="Times New Roman"/>
          <w:b/>
          <w:i w:val="0"/>
          <w:sz w:val="24"/>
        </w:rPr>
        <w:t>In one line: every step checked, every new worker productive in days, without headsets, at an Indian price.</w:t>
      </w:r>
    </w:p>
    <w:p>
      <w:r>
        <w:br w:type="page"/>
      </w:r>
    </w:p>
    <w:p>
      <w:pPr>
        <w:spacing w:before="360" w:after="240"/>
        <w:jc w:val="center"/>
      </w:pPr>
      <w:r>
        <w:rPr>
          <w:rFonts w:ascii="Times New Roman" w:hAnsi="Times New Roman" w:eastAsia="Times New Roman"/>
          <w:b/>
          <w:i w:val="0"/>
          <w:sz w:val="32"/>
        </w:rPr>
        <w:t>Chapter 5</w:t>
      </w:r>
    </w:p>
    <w:p>
      <w:pPr>
        <w:spacing w:after="360"/>
        <w:jc w:val="center"/>
      </w:pPr>
      <w:r>
        <w:rPr>
          <w:rFonts w:ascii="Times New Roman" w:hAnsi="Times New Roman" w:eastAsia="Times New Roman"/>
          <w:b/>
          <w:i w:val="0"/>
          <w:sz w:val="32"/>
        </w:rPr>
        <w:t>Market Analysis</w:t>
      </w:r>
    </w:p>
    <w:p>
      <w:pPr>
        <w:spacing w:before="160" w:after="80"/>
      </w:pPr>
      <w:r>
        <w:rPr>
          <w:rFonts w:ascii="Times New Roman" w:hAnsi="Times New Roman" w:eastAsia="Times New Roman"/>
          <w:b/>
          <w:i w:val="0"/>
          <w:sz w:val="24"/>
        </w:rPr>
        <w:t>1) Market Overview:</w:t>
      </w:r>
    </w:p>
    <w:p>
      <w:pPr>
        <w:spacing w:after="120" w:before="0" w:line="360" w:lineRule="auto"/>
        <w:jc w:val="both"/>
      </w:pPr>
      <w:r>
        <w:rPr>
          <w:rFonts w:ascii="Times New Roman" w:hAnsi="Times New Roman" w:eastAsia="Times New Roman"/>
          <w:b w:val="0"/>
          <w:i w:val="0"/>
          <w:sz w:val="24"/>
        </w:rPr>
        <w:t>Indian auto-component turnover was ₹6.73 lakh crore (about US$80.2 billion) in FY25, growing at a 14 percent five-year CAGR [6], and electronics production was about ₹11.3 lakh crore in FY25 [7]. Both sectors employ large and growing manual-assembly workforces, which is the base StepSure serves. The served market for a first product is narrower: an estimated 400 named accounts in four clusters that match the ideal customer profile.</w:t>
      </w:r>
    </w:p>
    <w:p>
      <w:pPr>
        <w:spacing w:before="160" w:after="80"/>
      </w:pPr>
      <w:r>
        <w:rPr>
          <w:rFonts w:ascii="Times New Roman" w:hAnsi="Times New Roman" w:eastAsia="Times New Roman"/>
          <w:b/>
          <w:i w:val="0"/>
          <w:sz w:val="24"/>
        </w:rPr>
        <w:t>2) Adoption Gap:</w:t>
      </w:r>
    </w:p>
    <w:p>
      <w:pPr>
        <w:spacing w:after="120" w:before="0" w:line="360" w:lineRule="auto"/>
        <w:jc w:val="both"/>
      </w:pPr>
      <w:r>
        <w:rPr>
          <w:rFonts w:ascii="Times New Roman" w:hAnsi="Times New Roman" w:eastAsia="Times New Roman"/>
          <w:b w:val="0"/>
          <w:i w:val="0"/>
          <w:sz w:val="24"/>
        </w:rPr>
        <w:t>Digital work-instruction and verification adoption on Indian manual lines is low, and much of what exists is either expensive imported AR or training-only VR. The gap is not AR for assembly, which already exists, but an affordable, headset-free, check-every-step system reusing one recipe for training, guidance and future cobot work.</w:t>
      </w:r>
    </w:p>
    <w:p>
      <w:pPr>
        <w:spacing w:before="160" w:after="80"/>
      </w:pPr>
      <w:r>
        <w:rPr>
          <w:rFonts w:ascii="Times New Roman" w:hAnsi="Times New Roman" w:eastAsia="Times New Roman"/>
          <w:b/>
          <w:i w:val="0"/>
          <w:sz w:val="24"/>
        </w:rPr>
        <w:t>3) Competitive Landscape:</w:t>
      </w:r>
    </w:p>
    <w:p>
      <w:pPr>
        <w:spacing w:after="120" w:before="0" w:line="360" w:lineRule="auto"/>
        <w:jc w:val="both"/>
      </w:pPr>
      <w:r>
        <w:rPr>
          <w:rFonts w:ascii="Times New Roman" w:hAnsi="Times New Roman" w:eastAsia="Times New Roman"/>
          <w:b w:val="0"/>
          <w:i w:val="0"/>
          <w:sz w:val="24"/>
        </w:rPr>
        <w:t>The market includes several alternatives, each with a different focus:</w:t>
      </w:r>
    </w:p>
    <w:p>
      <w:pPr>
        <w:pStyle w:val="ListBullet"/>
        <w:spacing w:after="80" w:line="360" w:lineRule="auto"/>
        <w:jc w:val="both"/>
      </w:pPr>
      <w:r>
        <w:rPr>
          <w:rFonts w:ascii="Times New Roman" w:hAnsi="Times New Roman" w:eastAsia="Times New Roman"/>
          <w:b/>
          <w:i w:val="0"/>
          <w:sz w:val="24"/>
        </w:rPr>
        <w:t xml:space="preserve">Paper / PDF SOPs plus buddy training (status quo): </w:t>
      </w:r>
      <w:r>
        <w:rPr>
          <w:rFonts w:ascii="Times New Roman" w:hAnsi="Times New Roman" w:eastAsia="Times New Roman"/>
          <w:b w:val="0"/>
          <w:i w:val="0"/>
          <w:sz w:val="24"/>
        </w:rPr>
        <w:t>free and familiar, but no checking, no data, slow onboarding.</w:t>
      </w:r>
    </w:p>
    <w:p>
      <w:pPr>
        <w:pStyle w:val="ListBullet"/>
        <w:spacing w:after="80" w:line="360" w:lineRule="auto"/>
        <w:jc w:val="both"/>
      </w:pPr>
      <w:r>
        <w:rPr>
          <w:rFonts w:ascii="Times New Roman" w:hAnsi="Times New Roman" w:eastAsia="Times New Roman"/>
          <w:b/>
          <w:i w:val="0"/>
          <w:sz w:val="24"/>
        </w:rPr>
        <w:t xml:space="preserve">LightGuide (US): </w:t>
      </w:r>
      <w:r>
        <w:rPr>
          <w:rFonts w:ascii="Times New Roman" w:hAnsi="Times New Roman" w:eastAsia="Times New Roman"/>
          <w:b w:val="0"/>
          <w:i w:val="0"/>
          <w:sz w:val="24"/>
        </w:rPr>
        <w:t>mature projected-AR guidance with a patent portfolio; India pricing and support unverified.</w:t>
      </w:r>
    </w:p>
    <w:p>
      <w:pPr>
        <w:pStyle w:val="ListBullet"/>
        <w:spacing w:after="80" w:line="360" w:lineRule="auto"/>
        <w:jc w:val="both"/>
      </w:pPr>
      <w:r>
        <w:rPr>
          <w:rFonts w:ascii="Times New Roman" w:hAnsi="Times New Roman" w:eastAsia="Times New Roman"/>
          <w:b/>
          <w:i w:val="0"/>
          <w:sz w:val="24"/>
        </w:rPr>
        <w:t xml:space="preserve">Retrocausal (US): </w:t>
      </w:r>
      <w:r>
        <w:rPr>
          <w:rFonts w:ascii="Times New Roman" w:hAnsi="Times New Roman" w:eastAsia="Times New Roman"/>
          <w:b w:val="0"/>
          <w:i w:val="0"/>
          <w:sz w:val="24"/>
        </w:rPr>
        <w:t>strong AI action-recognition assembly copilot; guidance UX and VR not core; India presence unknown.</w:t>
      </w:r>
    </w:p>
    <w:p>
      <w:pPr>
        <w:pStyle w:val="ListBullet"/>
        <w:spacing w:after="80" w:line="360" w:lineRule="auto"/>
        <w:jc w:val="both"/>
      </w:pPr>
      <w:r>
        <w:rPr>
          <w:rFonts w:ascii="Times New Roman" w:hAnsi="Times New Roman" w:eastAsia="Times New Roman"/>
          <w:b/>
          <w:i w:val="0"/>
          <w:sz w:val="24"/>
        </w:rPr>
        <w:t xml:space="preserve">PTC Vuforia (Expert Capture, Studio): </w:t>
      </w:r>
      <w:r>
        <w:rPr>
          <w:rFonts w:ascii="Times New Roman" w:hAnsi="Times New Roman" w:eastAsia="Times New Roman"/>
          <w:b w:val="0"/>
          <w:i w:val="0"/>
          <w:sz w:val="24"/>
        </w:rPr>
        <w:t>large enterprise AR authoring ecosystem; priced per user by quote.</w:t>
      </w:r>
    </w:p>
    <w:p>
      <w:pPr>
        <w:pStyle w:val="ListBullet"/>
        <w:spacing w:after="80" w:line="360" w:lineRule="auto"/>
        <w:jc w:val="both"/>
      </w:pPr>
      <w:r>
        <w:rPr>
          <w:rFonts w:ascii="Times New Roman" w:hAnsi="Times New Roman" w:eastAsia="Times New Roman"/>
          <w:b/>
          <w:i w:val="0"/>
          <w:sz w:val="24"/>
        </w:rPr>
        <w:t xml:space="preserve">Microsoft Dynamics 365 Guides: </w:t>
      </w:r>
      <w:r>
        <w:rPr>
          <w:rFonts w:ascii="Times New Roman" w:hAnsi="Times New Roman" w:eastAsia="Times New Roman"/>
          <w:b w:val="0"/>
          <w:i w:val="0"/>
          <w:sz w:val="24"/>
        </w:rPr>
        <w:t>the former market reference, ending 31 December 2026, which is a migration opportunity [8].</w:t>
      </w:r>
    </w:p>
    <w:p>
      <w:pPr>
        <w:pStyle w:val="ListBullet"/>
        <w:spacing w:after="80" w:line="360" w:lineRule="auto"/>
        <w:jc w:val="both"/>
      </w:pPr>
      <w:r>
        <w:rPr>
          <w:rFonts w:ascii="Times New Roman" w:hAnsi="Times New Roman" w:eastAsia="Times New Roman"/>
          <w:b/>
          <w:i w:val="0"/>
          <w:sz w:val="24"/>
        </w:rPr>
        <w:t xml:space="preserve">AutoVRse (Bengaluru): </w:t>
      </w:r>
      <w:r>
        <w:rPr>
          <w:rFonts w:ascii="Times New Roman" w:hAnsi="Times New Roman" w:eastAsia="Times New Roman"/>
          <w:b w:val="0"/>
          <w:i w:val="0"/>
          <w:sz w:val="24"/>
        </w:rPr>
        <w:t>Indian industrial VR training with 100+ enterprise clients (self-reported); training-centric, not live line checking [13].</w:t>
      </w:r>
    </w:p>
    <w:p>
      <w:pPr>
        <w:pStyle w:val="ListBullet"/>
        <w:spacing w:after="80" w:line="360" w:lineRule="auto"/>
        <w:jc w:val="both"/>
      </w:pPr>
      <w:r>
        <w:rPr>
          <w:rFonts w:ascii="Times New Roman" w:hAnsi="Times New Roman" w:eastAsia="Times New Roman"/>
          <w:b/>
          <w:i w:val="0"/>
          <w:sz w:val="24"/>
        </w:rPr>
        <w:t xml:space="preserve">In-house machine vision (point inspection): </w:t>
      </w:r>
      <w:r>
        <w:rPr>
          <w:rFonts w:ascii="Times New Roman" w:hAnsi="Times New Roman" w:eastAsia="Times New Roman"/>
          <w:b w:val="0"/>
          <w:i w:val="0"/>
          <w:sz w:val="24"/>
        </w:rPr>
        <w:t>accurate for fixed checks, but checks the product, not the step sequence, and gives no guidance or training.</w:t>
      </w:r>
    </w:p>
    <w:p>
      <w:pPr>
        <w:spacing w:after="120" w:before="0" w:line="360" w:lineRule="auto"/>
        <w:jc w:val="both"/>
      </w:pPr>
      <w:r>
        <w:rPr>
          <w:rFonts w:ascii="Times New Roman" w:hAnsi="Times New Roman" w:eastAsia="Times New Roman"/>
          <w:b w:val="0"/>
          <w:i w:val="0"/>
          <w:sz w:val="24"/>
        </w:rPr>
        <w:t>StepSure occupies a position none of these fully covers: verified step-by-step guidance plus VR training from one recipe, headset-free, priced in INR.</w:t>
      </w:r>
    </w:p>
    <w:p>
      <w:pPr>
        <w:spacing w:before="160" w:after="80"/>
      </w:pPr>
      <w:r>
        <w:rPr>
          <w:rFonts w:ascii="Times New Roman" w:hAnsi="Times New Roman" w:eastAsia="Times New Roman"/>
          <w:b/>
          <w:i w:val="0"/>
          <w:sz w:val="24"/>
        </w:rPr>
        <w:t>4) Customer Segments:</w:t>
      </w:r>
    </w:p>
    <w:p>
      <w:pPr>
        <w:pStyle w:val="ListBullet"/>
        <w:spacing w:after="80" w:line="360" w:lineRule="auto"/>
        <w:jc w:val="both"/>
      </w:pPr>
      <w:r>
        <w:rPr>
          <w:rFonts w:ascii="Times New Roman" w:hAnsi="Times New Roman" w:eastAsia="Times New Roman"/>
          <w:b w:val="0"/>
          <w:i w:val="0"/>
          <w:sz w:val="24"/>
        </w:rPr>
        <w:t>Tier-1 and Tier-2 auto-component suppliers (harness, switches, lamps, brake and steering sub-assemblies) – the pilot segment.</w:t>
      </w:r>
    </w:p>
    <w:p>
      <w:pPr>
        <w:pStyle w:val="ListBullet"/>
        <w:spacing w:after="80" w:line="360" w:lineRule="auto"/>
        <w:jc w:val="both"/>
      </w:pPr>
      <w:r>
        <w:rPr>
          <w:rFonts w:ascii="Times New Roman" w:hAnsi="Times New Roman" w:eastAsia="Times New Roman"/>
          <w:b w:val="0"/>
          <w:i w:val="0"/>
          <w:sz w:val="24"/>
        </w:rPr>
        <w:t>Electronics and EMS and electrical (box build, meters, switchgear, EV chargers, BMS packs).</w:t>
      </w:r>
    </w:p>
    <w:p>
      <w:pPr>
        <w:pStyle w:val="ListBullet"/>
        <w:spacing w:after="80" w:line="360" w:lineRule="auto"/>
        <w:jc w:val="both"/>
      </w:pPr>
      <w:r>
        <w:rPr>
          <w:rFonts w:ascii="Times New Roman" w:hAnsi="Times New Roman" w:eastAsia="Times New Roman"/>
          <w:b w:val="0"/>
          <w:i w:val="0"/>
          <w:sz w:val="24"/>
        </w:rPr>
        <w:t>OEM plants (two- and four-wheeler, commercial vehicles, tractors) for scale and traceability.</w:t>
      </w:r>
    </w:p>
    <w:p>
      <w:pPr>
        <w:pStyle w:val="ListBullet"/>
        <w:spacing w:after="80" w:line="360" w:lineRule="auto"/>
        <w:jc w:val="both"/>
      </w:pPr>
      <w:r>
        <w:rPr>
          <w:rFonts w:ascii="Times New Roman" w:hAnsi="Times New Roman" w:eastAsia="Times New Roman"/>
          <w:b w:val="0"/>
          <w:i w:val="0"/>
          <w:sz w:val="24"/>
        </w:rPr>
        <w:t>Industrial training centres (ITIs, NSDC partners, university labs) for VR training seats.</w:t>
      </w:r>
    </w:p>
    <w:p>
      <w:r>
        <w:br w:type="page"/>
      </w:r>
    </w:p>
    <w:p>
      <w:pPr>
        <w:spacing w:before="360" w:after="240"/>
        <w:jc w:val="center"/>
      </w:pPr>
      <w:r>
        <w:rPr>
          <w:rFonts w:ascii="Times New Roman" w:hAnsi="Times New Roman" w:eastAsia="Times New Roman"/>
          <w:b/>
          <w:i w:val="0"/>
          <w:sz w:val="32"/>
        </w:rPr>
        <w:t>Chapter 6</w:t>
      </w:r>
    </w:p>
    <w:p>
      <w:pPr>
        <w:spacing w:after="360"/>
        <w:jc w:val="center"/>
      </w:pPr>
      <w:r>
        <w:rPr>
          <w:rFonts w:ascii="Times New Roman" w:hAnsi="Times New Roman" w:eastAsia="Times New Roman"/>
          <w:b/>
          <w:i w:val="0"/>
          <w:sz w:val="32"/>
        </w:rPr>
        <w:t>Business Model</w:t>
      </w:r>
    </w:p>
    <w:p>
      <w:pPr>
        <w:spacing w:after="120" w:before="0" w:line="360" w:lineRule="auto"/>
        <w:jc w:val="both"/>
      </w:pPr>
      <w:r>
        <w:rPr>
          <w:rFonts w:ascii="Times New Roman" w:hAnsi="Times New Roman" w:eastAsia="Times New Roman"/>
          <w:b w:val="0"/>
          <w:i w:val="0"/>
          <w:sz w:val="24"/>
        </w:rPr>
        <w:t>The revenue model is a hybrid designed to lower customer CapEx and build recurring revenue. All prices below are planning assumptions that must be validated with pilot data.</w:t>
      </w:r>
    </w:p>
    <w:p>
      <w:pPr>
        <w:spacing w:before="160" w:after="80"/>
      </w:pPr>
      <w:r>
        <w:rPr>
          <w:rFonts w:ascii="Times New Roman" w:hAnsi="Times New Roman" w:eastAsia="Times New Roman"/>
          <w:b/>
          <w:i w:val="0"/>
          <w:sz w:val="24"/>
        </w:rPr>
        <w:t>1) Per-station software subscription (main stream):</w:t>
      </w:r>
    </w:p>
    <w:p>
      <w:pPr>
        <w:spacing w:after="120" w:before="0" w:line="360" w:lineRule="auto"/>
        <w:jc w:val="both"/>
      </w:pPr>
      <w:r>
        <w:rPr>
          <w:rFonts w:ascii="Times New Roman" w:hAnsi="Times New Roman" w:eastAsia="Times New Roman"/>
          <w:b w:val="0"/>
          <w:i w:val="0"/>
          <w:sz w:val="24"/>
        </w:rPr>
        <w:t>The core recurring revenue is a per-station subscription of about ₹20,000 per station per month (₹2.4 lakh per station per year), billed annually. One prevented defect escape or a few days of faster onboarding per month should justify it.</w:t>
      </w:r>
    </w:p>
    <w:p>
      <w:pPr>
        <w:spacing w:before="160" w:after="80"/>
      </w:pPr>
      <w:r>
        <w:rPr>
          <w:rFonts w:ascii="Times New Roman" w:hAnsi="Times New Roman" w:eastAsia="Times New Roman"/>
          <w:b/>
          <w:i w:val="0"/>
          <w:sz w:val="24"/>
        </w:rPr>
        <w:t>2) Hardware kit near cost:</w:t>
      </w:r>
    </w:p>
    <w:p>
      <w:pPr>
        <w:spacing w:after="120" w:before="0" w:line="360" w:lineRule="auto"/>
        <w:jc w:val="both"/>
      </w:pPr>
      <w:r>
        <w:rPr>
          <w:rFonts w:ascii="Times New Roman" w:hAnsi="Times New Roman" w:eastAsia="Times New Roman"/>
          <w:b w:val="0"/>
          <w:i w:val="0"/>
          <w:sz w:val="24"/>
        </w:rPr>
        <w:t>Each station kit (camera, edge AI computer, display or projector, mount and I/O) is sold at about ₹1.6 lakh, a modest margin over an estimated ₹1.35 lakh landed cost. Hardware is priced close to cost to reduce the buying barrier.</w:t>
      </w:r>
    </w:p>
    <w:p>
      <w:pPr>
        <w:spacing w:before="160" w:after="80"/>
      </w:pPr>
      <w:r>
        <w:rPr>
          <w:rFonts w:ascii="Times New Roman" w:hAnsi="Times New Roman" w:eastAsia="Times New Roman"/>
          <w:b/>
          <w:i w:val="0"/>
          <w:sz w:val="24"/>
        </w:rPr>
        <w:t>3) Onboarding and recipe set-up:</w:t>
      </w:r>
    </w:p>
    <w:p>
      <w:pPr>
        <w:spacing w:after="120" w:before="0" w:line="360" w:lineRule="auto"/>
        <w:jc w:val="both"/>
      </w:pPr>
      <w:r>
        <w:rPr>
          <w:rFonts w:ascii="Times New Roman" w:hAnsi="Times New Roman" w:eastAsia="Times New Roman"/>
          <w:b w:val="0"/>
          <w:i w:val="0"/>
          <w:sz w:val="24"/>
        </w:rPr>
        <w:t>A one-time fee of about ₹3 lakh per customer for the first product family covers process digitisation, recipe authoring, and WMS/ERP or MES integration.</w:t>
      </w:r>
    </w:p>
    <w:p>
      <w:pPr>
        <w:spacing w:before="160" w:after="80"/>
      </w:pPr>
      <w:r>
        <w:rPr>
          <w:rFonts w:ascii="Times New Roman" w:hAnsi="Times New Roman" w:eastAsia="Times New Roman"/>
          <w:b/>
          <w:i w:val="0"/>
          <w:sz w:val="24"/>
        </w:rPr>
        <w:t>4) VR training licence:</w:t>
      </w:r>
    </w:p>
    <w:p>
      <w:pPr>
        <w:spacing w:after="120" w:before="0" w:line="360" w:lineRule="auto"/>
        <w:jc w:val="both"/>
      </w:pPr>
      <w:r>
        <w:rPr>
          <w:rFonts w:ascii="Times New Roman" w:hAnsi="Times New Roman" w:eastAsia="Times New Roman"/>
          <w:b w:val="0"/>
          <w:i w:val="0"/>
          <w:sz w:val="24"/>
        </w:rPr>
        <w:t>For ITIs and training departments, about ₹30,000 per headset per year, with headsets supplied at cost. One headset serves many trainees.</w:t>
      </w:r>
    </w:p>
    <w:p>
      <w:pPr>
        <w:spacing w:before="160" w:after="80"/>
      </w:pPr>
      <w:r>
        <w:rPr>
          <w:rFonts w:ascii="Times New Roman" w:hAnsi="Times New Roman" w:eastAsia="Times New Roman"/>
          <w:b/>
          <w:i w:val="0"/>
          <w:sz w:val="24"/>
        </w:rPr>
        <w:t>5) Cobot Bridge add-on (future):</w:t>
      </w:r>
    </w:p>
    <w:p>
      <w:pPr>
        <w:spacing w:after="120" w:before="0" w:line="360" w:lineRule="auto"/>
        <w:jc w:val="both"/>
      </w:pPr>
      <w:r>
        <w:rPr>
          <w:rFonts w:ascii="Times New Roman" w:hAnsi="Times New Roman" w:eastAsia="Times New Roman"/>
          <w:b w:val="0"/>
          <w:i w:val="0"/>
          <w:sz w:val="24"/>
        </w:rPr>
        <w:t>A later add-on of about ₹5,000 per station per month for robot-intent display and guided hand-over, once FTO is cleared.</w:t>
      </w:r>
    </w:p>
    <w:p>
      <w:pPr>
        <w:spacing w:after="120" w:before="0" w:line="360" w:lineRule="auto"/>
        <w:jc w:val="both"/>
      </w:pPr>
      <w:r>
        <w:rPr>
          <w:rFonts w:ascii="Times New Roman" w:hAnsi="Times New Roman" w:eastAsia="Times New Roman"/>
          <w:b w:val="0"/>
          <w:i w:val="0"/>
          <w:sz w:val="24"/>
        </w:rPr>
        <w:t>A paid pilot (about ₹7 lakh for two stations over twelve weeks) is the entry point; it screens out non-serious prospects and funds a reference case study. Goods and services tax (GST) on software and services is generally 18 percent; confirm rates with a chartered accountant.</w:t>
      </w:r>
    </w:p>
    <w:p>
      <w:r>
        <w:br w:type="page"/>
      </w:r>
    </w:p>
    <w:p>
      <w:pPr>
        <w:spacing w:before="360" w:after="240"/>
        <w:jc w:val="center"/>
      </w:pPr>
      <w:r>
        <w:rPr>
          <w:rFonts w:ascii="Times New Roman" w:hAnsi="Times New Roman" w:eastAsia="Times New Roman"/>
          <w:b/>
          <w:i w:val="0"/>
          <w:sz w:val="32"/>
        </w:rPr>
        <w:t>Chapter 7</w:t>
      </w:r>
    </w:p>
    <w:p>
      <w:pPr>
        <w:spacing w:after="360"/>
        <w:jc w:val="center"/>
      </w:pPr>
      <w:r>
        <w:rPr>
          <w:rFonts w:ascii="Times New Roman" w:hAnsi="Times New Roman" w:eastAsia="Times New Roman"/>
          <w:b/>
          <w:i w:val="0"/>
          <w:sz w:val="32"/>
        </w:rPr>
        <w:t>IP and Commercialization Strategy</w:t>
      </w:r>
    </w:p>
    <w:p>
      <w:pPr>
        <w:spacing w:after="120" w:before="0" w:line="360" w:lineRule="auto"/>
        <w:jc w:val="both"/>
      </w:pPr>
      <w:r>
        <w:rPr>
          <w:rFonts w:ascii="Times New Roman" w:hAnsi="Times New Roman" w:eastAsia="Times New Roman"/>
          <w:b w:val="0"/>
          <w:i w:val="0"/>
          <w:sz w:val="24"/>
        </w:rPr>
        <w:t>The strategy leverages existing patented concepts while building defendable, India-specific IP, and it rests on a correct reading of what patents actually protect.</w:t>
      </w:r>
    </w:p>
    <w:p>
      <w:pPr>
        <w:spacing w:before="160" w:after="80"/>
      </w:pPr>
      <w:r>
        <w:rPr>
          <w:rFonts w:ascii="Times New Roman" w:hAnsi="Times New Roman" w:eastAsia="Times New Roman"/>
          <w:b/>
          <w:i w:val="0"/>
          <w:sz w:val="24"/>
        </w:rPr>
        <w:t>1) Disclosure versus claims, and non-infringement:</w:t>
      </w:r>
    </w:p>
    <w:p>
      <w:pPr>
        <w:spacing w:after="120" w:before="0" w:line="360" w:lineRule="auto"/>
        <w:jc w:val="both"/>
      </w:pPr>
      <w:r>
        <w:rPr>
          <w:rFonts w:ascii="Times New Roman" w:hAnsi="Times New Roman" w:eastAsia="Times New Roman"/>
          <w:b w:val="0"/>
          <w:i w:val="0"/>
          <w:sz w:val="24"/>
        </w:rPr>
        <w:t>A patent's disclosure (its description and drawings) is public and may be learned from and cited; its granted claims alone define what the owner can stop others from doing, and infringement requires every element of at least one claim. Patents are also territorial: a US patent is enforceable only in the US and does not stop anyone in India unless an Indian family member exists. The proposed non-infringement measures therefore include proprietary mechanical and mounting designs, a different computer-vision recognition method from the template matching in [3], and India-specific gripper and lighting design. None of this can be assumed safe without a professional FTO opinion, which must be obtained before any build or sale, starting with an Indian InPASS search and then the US and EU if exporting.</w:t>
      </w:r>
    </w:p>
    <w:p>
      <w:pPr>
        <w:spacing w:before="160" w:after="80"/>
      </w:pPr>
      <w:r>
        <w:rPr>
          <w:rFonts w:ascii="Times New Roman" w:hAnsi="Times New Roman" w:eastAsia="Times New Roman"/>
          <w:b/>
          <w:i w:val="0"/>
          <w:sz w:val="24"/>
        </w:rPr>
        <w:t>2) Patentability of the firm's own IP in India:</w:t>
      </w:r>
    </w:p>
    <w:p>
      <w:pPr>
        <w:spacing w:after="120" w:before="0" w:line="360" w:lineRule="auto"/>
        <w:jc w:val="both"/>
      </w:pPr>
      <w:r>
        <w:rPr>
          <w:rFonts w:ascii="Times New Roman" w:hAnsi="Times New Roman" w:eastAsia="Times New Roman"/>
          <w:b w:val="0"/>
          <w:i w:val="0"/>
          <w:sz w:val="24"/>
        </w:rPr>
        <w:t>Section 3(k) of the Patents Act excludes a computer programme per se, but the 2025 Computer-Related Inventions guidelines and Delhi High Court case law allow inventions that show a technical effect. Any StepSure filing should be drafted around a technical effect, such as improved detection accuracy under occlusion or the control of tools and robots, rather than a better information display alone.</w:t>
      </w:r>
    </w:p>
    <w:p>
      <w:pPr>
        <w:spacing w:before="160" w:after="80"/>
      </w:pPr>
      <w:r>
        <w:rPr>
          <w:rFonts w:ascii="Times New Roman" w:hAnsi="Times New Roman" w:eastAsia="Times New Roman"/>
          <w:b/>
          <w:i w:val="0"/>
          <w:sz w:val="24"/>
        </w:rPr>
        <w:t>3) Technology transfer and alliances:</w:t>
      </w:r>
    </w:p>
    <w:p>
      <w:pPr>
        <w:pStyle w:val="ListBullet"/>
        <w:spacing w:after="80" w:line="360" w:lineRule="auto"/>
        <w:jc w:val="both"/>
      </w:pPr>
      <w:r>
        <w:rPr>
          <w:rFonts w:ascii="Times New Roman" w:hAnsi="Times New Roman" w:eastAsia="Times New Roman"/>
          <w:b/>
          <w:i w:val="0"/>
          <w:sz w:val="24"/>
        </w:rPr>
        <w:t xml:space="preserve">OEM integrators and automation vendors: </w:t>
      </w:r>
      <w:r>
        <w:rPr>
          <w:rFonts w:ascii="Times New Roman" w:hAnsi="Times New Roman" w:eastAsia="Times New Roman"/>
          <w:b w:val="0"/>
          <w:i w:val="0"/>
          <w:sz w:val="24"/>
        </w:rPr>
        <w:t>bundle StepSure with existing lines (conveyors, torque tools, MES).</w:t>
      </w:r>
    </w:p>
    <w:p>
      <w:pPr>
        <w:pStyle w:val="ListBullet"/>
        <w:spacing w:after="80" w:line="360" w:lineRule="auto"/>
        <w:jc w:val="both"/>
      </w:pPr>
      <w:r>
        <w:rPr>
          <w:rFonts w:ascii="Times New Roman" w:hAnsi="Times New Roman" w:eastAsia="Times New Roman"/>
          <w:b/>
          <w:i w:val="0"/>
          <w:sz w:val="24"/>
        </w:rPr>
        <w:t xml:space="preserve">Industry bodies and Industry 4.0 centres: </w:t>
      </w:r>
      <w:r>
        <w:rPr>
          <w:rFonts w:ascii="Times New Roman" w:hAnsi="Times New Roman" w:eastAsia="Times New Roman"/>
          <w:b w:val="0"/>
          <w:i w:val="0"/>
          <w:sz w:val="24"/>
        </w:rPr>
        <w:t>ACMA, CII, IMTMA, and SAMARTH Udyog Bharat 4.0 centres for demos and MSME reach (advisory, not funding).</w:t>
      </w:r>
    </w:p>
    <w:p>
      <w:pPr>
        <w:pStyle w:val="ListBullet"/>
        <w:spacing w:after="80" w:line="360" w:lineRule="auto"/>
        <w:jc w:val="both"/>
      </w:pPr>
      <w:r>
        <w:rPr>
          <w:rFonts w:ascii="Times New Roman" w:hAnsi="Times New Roman" w:eastAsia="Times New Roman"/>
          <w:b/>
          <w:i w:val="0"/>
          <w:sz w:val="24"/>
        </w:rPr>
        <w:t xml:space="preserve">Government schemes: </w:t>
      </w:r>
      <w:r>
        <w:rPr>
          <w:rFonts w:ascii="Times New Roman" w:hAnsi="Times New Roman" w:eastAsia="Times New Roman"/>
          <w:b w:val="0"/>
          <w:i w:val="0"/>
          <w:sz w:val="24"/>
        </w:rPr>
        <w:t>Startup India Seed Fund Scheme for proof-of-concept and prototype support [12].</w:t>
      </w:r>
    </w:p>
    <w:p>
      <w:pPr>
        <w:spacing w:before="160" w:after="80"/>
      </w:pPr>
      <w:r>
        <w:rPr>
          <w:rFonts w:ascii="Times New Roman" w:hAnsi="Times New Roman" w:eastAsia="Times New Roman"/>
          <w:b/>
          <w:i w:val="0"/>
          <w:sz w:val="24"/>
        </w:rPr>
        <w:t>4) Future indigenous patent filings:</w:t>
      </w:r>
    </w:p>
    <w:p>
      <w:pPr>
        <w:pStyle w:val="ListBullet"/>
        <w:spacing w:after="80" w:line="360" w:lineRule="auto"/>
        <w:jc w:val="both"/>
      </w:pPr>
      <w:r>
        <w:rPr>
          <w:rFonts w:ascii="Times New Roman" w:hAnsi="Times New Roman" w:eastAsia="Times New Roman"/>
          <w:b w:val="0"/>
          <w:i w:val="0"/>
          <w:sz w:val="24"/>
        </w:rPr>
        <w:t>A depth-plus-action verification method robust to hands blocking the view.</w:t>
      </w:r>
    </w:p>
    <w:p>
      <w:pPr>
        <w:pStyle w:val="ListBullet"/>
        <w:spacing w:after="80" w:line="360" w:lineRule="auto"/>
        <w:jc w:val="both"/>
      </w:pPr>
      <w:r>
        <w:rPr>
          <w:rFonts w:ascii="Times New Roman" w:hAnsi="Times New Roman" w:eastAsia="Times New Roman"/>
          <w:b w:val="0"/>
          <w:i w:val="0"/>
          <w:sz w:val="24"/>
        </w:rPr>
        <w:t>India-specific multilingual SKU and label recognition using computer vision.</w:t>
      </w:r>
    </w:p>
    <w:p>
      <w:pPr>
        <w:pStyle w:val="ListBullet"/>
        <w:spacing w:after="80" w:line="360" w:lineRule="auto"/>
        <w:jc w:val="both"/>
      </w:pPr>
      <w:r>
        <w:rPr>
          <w:rFonts w:ascii="Times New Roman" w:hAnsi="Times New Roman" w:eastAsia="Times New Roman"/>
          <w:b w:val="0"/>
          <w:i w:val="0"/>
          <w:sz w:val="24"/>
        </w:rPr>
        <w:t>A headset-free robot-intent overlay for cobot hand-over at a manual station.</w:t>
      </w:r>
    </w:p>
    <w:p>
      <w:r>
        <w:br w:type="page"/>
      </w:r>
    </w:p>
    <w:p>
      <w:pPr>
        <w:spacing w:before="360" w:after="240"/>
        <w:jc w:val="center"/>
      </w:pPr>
      <w:r>
        <w:rPr>
          <w:rFonts w:ascii="Times New Roman" w:hAnsi="Times New Roman" w:eastAsia="Times New Roman"/>
          <w:b/>
          <w:i w:val="0"/>
          <w:sz w:val="32"/>
        </w:rPr>
        <w:t>Chapter 8</w:t>
      </w:r>
    </w:p>
    <w:p>
      <w:pPr>
        <w:spacing w:after="360"/>
        <w:jc w:val="center"/>
      </w:pPr>
      <w:r>
        <w:rPr>
          <w:rFonts w:ascii="Times New Roman" w:hAnsi="Times New Roman" w:eastAsia="Times New Roman"/>
          <w:b/>
          <w:i w:val="0"/>
          <w:sz w:val="32"/>
        </w:rPr>
        <w:t>Financial Projections</w:t>
      </w:r>
    </w:p>
    <w:p>
      <w:pPr>
        <w:spacing w:after="120" w:before="0" w:line="360" w:lineRule="auto"/>
        <w:jc w:val="both"/>
      </w:pPr>
      <w:r>
        <w:rPr>
          <w:rFonts w:ascii="Times New Roman" w:hAnsi="Times New Roman" w:eastAsia="Times New Roman"/>
          <w:b w:val="0"/>
          <w:i w:val="0"/>
          <w:sz w:val="24"/>
        </w:rPr>
        <w:t>The financial model focuses on scaling the high-margin per-station subscription. Every figure is a clearly labelled assumption, not a forecast, and can be reproduced from the accompanying model script. A standard customer is assumed to run five stations.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eastAsia="Times New Roman"/>
                <w:b/>
                <w:i w:val="0"/>
                <w:sz w:val="22"/>
              </w:rPr>
              <w:t>Metric</w:t>
            </w:r>
          </w:p>
        </w:tc>
        <w:tc>
          <w:tcPr>
            <w:tcW w:type="dxa" w:w="2268"/>
          </w:tcPr>
          <w:p>
            <w:r>
              <w:rPr>
                <w:rFonts w:ascii="Times New Roman" w:hAnsi="Times New Roman" w:eastAsia="Times New Roman"/>
                <w:b/>
                <w:i w:val="0"/>
                <w:sz w:val="22"/>
              </w:rPr>
              <w:t>Year 1 (Development &amp; Pilot)</w:t>
            </w:r>
          </w:p>
        </w:tc>
        <w:tc>
          <w:tcPr>
            <w:tcW w:type="dxa" w:w="2268"/>
          </w:tcPr>
          <w:p>
            <w:r>
              <w:rPr>
                <w:rFonts w:ascii="Times New Roman" w:hAnsi="Times New Roman" w:eastAsia="Times New Roman"/>
                <w:b/>
                <w:i w:val="0"/>
                <w:sz w:val="22"/>
              </w:rPr>
              <w:t>Year 2 (Early Scale-Up)</w:t>
            </w:r>
          </w:p>
        </w:tc>
        <w:tc>
          <w:tcPr>
            <w:tcW w:type="dxa" w:w="2268"/>
          </w:tcPr>
          <w:p>
            <w:r>
              <w:rPr>
                <w:rFonts w:ascii="Times New Roman" w:hAnsi="Times New Roman" w:eastAsia="Times New Roman"/>
                <w:b/>
                <w:i w:val="0"/>
                <w:sz w:val="22"/>
              </w:rPr>
              <w:t>Year 3 (Expansion &amp; Break-Even)</w:t>
            </w:r>
          </w:p>
        </w:tc>
      </w:tr>
      <w:tr>
        <w:tc>
          <w:tcPr>
            <w:tcW w:type="dxa" w:w="2268"/>
          </w:tcPr>
          <w:p>
            <w:r/>
            <w:r>
              <w:rPr>
                <w:rFonts w:ascii="Times New Roman" w:hAnsi="Times New Roman" w:eastAsia="Times New Roman"/>
                <w:b/>
                <w:i w:val="0"/>
                <w:sz w:val="22"/>
              </w:rPr>
              <w:t>Projected revenue</w:t>
            </w:r>
          </w:p>
        </w:tc>
        <w:tc>
          <w:tcPr>
            <w:tcW w:type="dxa" w:w="2268"/>
          </w:tcPr>
          <w:p>
            <w:r/>
            <w:r>
              <w:rPr>
                <w:rFonts w:ascii="Times New Roman" w:hAnsi="Times New Roman" w:eastAsia="Times New Roman"/>
                <w:b w:val="0"/>
                <w:i w:val="0"/>
                <w:sz w:val="22"/>
              </w:rPr>
              <w:t>₹0.2–0.3 Cr (2 paid pilots)</w:t>
            </w:r>
          </w:p>
        </w:tc>
        <w:tc>
          <w:tcPr>
            <w:tcW w:type="dxa" w:w="2268"/>
          </w:tcPr>
          <w:p>
            <w:r/>
            <w:r>
              <w:rPr>
                <w:rFonts w:ascii="Times New Roman" w:hAnsi="Times New Roman" w:eastAsia="Times New Roman"/>
                <w:b w:val="0"/>
                <w:i w:val="0"/>
                <w:sz w:val="22"/>
              </w:rPr>
              <w:t>₹1.2–1.5 Cr (3–5 customers)</w:t>
            </w:r>
          </w:p>
        </w:tc>
        <w:tc>
          <w:tcPr>
            <w:tcW w:type="dxa" w:w="2268"/>
          </w:tcPr>
          <w:p>
            <w:r/>
            <w:r>
              <w:rPr>
                <w:rFonts w:ascii="Times New Roman" w:hAnsi="Times New Roman" w:eastAsia="Times New Roman"/>
                <w:b w:val="0"/>
                <w:i w:val="0"/>
                <w:sz w:val="22"/>
              </w:rPr>
              <w:t>₹3–4 Cr (10–15 customers)</w:t>
            </w:r>
          </w:p>
        </w:tc>
      </w:tr>
      <w:tr>
        <w:tc>
          <w:tcPr>
            <w:tcW w:type="dxa" w:w="2268"/>
          </w:tcPr>
          <w:p>
            <w:r/>
            <w:r>
              <w:rPr>
                <w:rFonts w:ascii="Times New Roman" w:hAnsi="Times New Roman" w:eastAsia="Times New Roman"/>
                <w:b/>
                <w:i w:val="0"/>
                <w:sz w:val="22"/>
              </w:rPr>
              <w:t>Gross margin</w:t>
            </w:r>
          </w:p>
        </w:tc>
        <w:tc>
          <w:tcPr>
            <w:tcW w:type="dxa" w:w="2268"/>
          </w:tcPr>
          <w:p>
            <w:r/>
            <w:r>
              <w:rPr>
                <w:rFonts w:ascii="Times New Roman" w:hAnsi="Times New Roman" w:eastAsia="Times New Roman"/>
                <w:b w:val="0"/>
                <w:i w:val="0"/>
                <w:sz w:val="22"/>
              </w:rPr>
              <w:t>~45% (incl. hardware)</w:t>
            </w:r>
          </w:p>
        </w:tc>
        <w:tc>
          <w:tcPr>
            <w:tcW w:type="dxa" w:w="2268"/>
          </w:tcPr>
          <w:p>
            <w:r/>
            <w:r>
              <w:rPr>
                <w:rFonts w:ascii="Times New Roman" w:hAnsi="Times New Roman" w:eastAsia="Times New Roman"/>
                <w:b w:val="0"/>
                <w:i w:val="0"/>
                <w:sz w:val="22"/>
              </w:rPr>
              <w:t>~65% (subscription-led)</w:t>
            </w:r>
          </w:p>
        </w:tc>
        <w:tc>
          <w:tcPr>
            <w:tcW w:type="dxa" w:w="2268"/>
          </w:tcPr>
          <w:p>
            <w:r/>
            <w:r>
              <w:rPr>
                <w:rFonts w:ascii="Times New Roman" w:hAnsi="Times New Roman" w:eastAsia="Times New Roman"/>
                <w:b w:val="0"/>
                <w:i w:val="0"/>
                <w:sz w:val="22"/>
              </w:rPr>
              <w:t>~70%</w:t>
            </w:r>
          </w:p>
        </w:tc>
      </w:tr>
      <w:tr>
        <w:tc>
          <w:tcPr>
            <w:tcW w:type="dxa" w:w="2268"/>
          </w:tcPr>
          <w:p>
            <w:r/>
            <w:r>
              <w:rPr>
                <w:rFonts w:ascii="Times New Roman" w:hAnsi="Times New Roman" w:eastAsia="Times New Roman"/>
                <w:b/>
                <w:i w:val="0"/>
                <w:sz w:val="22"/>
              </w:rPr>
              <w:t>Key driver</w:t>
            </w:r>
          </w:p>
        </w:tc>
        <w:tc>
          <w:tcPr>
            <w:tcW w:type="dxa" w:w="2268"/>
          </w:tcPr>
          <w:p>
            <w:r/>
            <w:r>
              <w:rPr>
                <w:rFonts w:ascii="Times New Roman" w:hAnsi="Times New Roman" w:eastAsia="Times New Roman"/>
                <w:b w:val="0"/>
                <w:i w:val="0"/>
                <w:sz w:val="22"/>
              </w:rPr>
              <w:t>Paid pilots, validation</w:t>
            </w:r>
          </w:p>
        </w:tc>
        <w:tc>
          <w:tcPr>
            <w:tcW w:type="dxa" w:w="2268"/>
          </w:tcPr>
          <w:p>
            <w:r/>
            <w:r>
              <w:rPr>
                <w:rFonts w:ascii="Times New Roman" w:hAnsi="Times New Roman" w:eastAsia="Times New Roman"/>
                <w:b w:val="0"/>
                <w:i w:val="0"/>
                <w:sz w:val="22"/>
              </w:rPr>
              <w:t>Tier-1/2 adoption, referrals</w:t>
            </w:r>
          </w:p>
        </w:tc>
        <w:tc>
          <w:tcPr>
            <w:tcW w:type="dxa" w:w="2268"/>
          </w:tcPr>
          <w:p>
            <w:r/>
            <w:r>
              <w:rPr>
                <w:rFonts w:ascii="Times New Roman" w:hAnsi="Times New Roman" w:eastAsia="Times New Roman"/>
                <w:b w:val="0"/>
                <w:i w:val="0"/>
                <w:sz w:val="22"/>
              </w:rPr>
              <w:t>Multi-plant expansion</w:t>
            </w:r>
          </w:p>
        </w:tc>
      </w:tr>
      <w:tr>
        <w:tc>
          <w:tcPr>
            <w:tcW w:type="dxa" w:w="2268"/>
          </w:tcPr>
          <w:p>
            <w:r/>
            <w:r>
              <w:rPr>
                <w:rFonts w:ascii="Times New Roman" w:hAnsi="Times New Roman" w:eastAsia="Times New Roman"/>
                <w:b/>
                <w:i w:val="0"/>
                <w:sz w:val="22"/>
              </w:rPr>
              <w:t>Break-even</w:t>
            </w:r>
          </w:p>
        </w:tc>
        <w:tc>
          <w:tcPr>
            <w:tcW w:type="dxa" w:w="2268"/>
          </w:tcPr>
          <w:p>
            <w:r/>
            <w:r>
              <w:rPr>
                <w:rFonts w:ascii="Times New Roman" w:hAnsi="Times New Roman" w:eastAsia="Times New Roman"/>
                <w:b w:val="0"/>
                <w:i w:val="0"/>
                <w:sz w:val="22"/>
              </w:rPr>
              <w:t>N/A</w:t>
            </w:r>
          </w:p>
        </w:tc>
        <w:tc>
          <w:tcPr>
            <w:tcW w:type="dxa" w:w="2268"/>
          </w:tcPr>
          <w:p>
            <w:r/>
            <w:r>
              <w:rPr>
                <w:rFonts w:ascii="Times New Roman" w:hAnsi="Times New Roman" w:eastAsia="Times New Roman"/>
                <w:b w:val="0"/>
                <w:i w:val="0"/>
                <w:sz w:val="22"/>
              </w:rPr>
              <w:t>N/A</w:t>
            </w:r>
          </w:p>
        </w:tc>
        <w:tc>
          <w:tcPr>
            <w:tcW w:type="dxa" w:w="2268"/>
          </w:tcPr>
          <w:p>
            <w:r/>
            <w:r>
              <w:rPr>
                <w:rFonts w:ascii="Times New Roman" w:hAnsi="Times New Roman" w:eastAsia="Times New Roman"/>
                <w:b w:val="0"/>
                <w:i w:val="0"/>
                <w:sz w:val="22"/>
              </w:rPr>
              <w:t>~12–13 customers (≈62 stations)</w:t>
            </w:r>
          </w:p>
        </w:tc>
      </w:tr>
    </w:tbl>
    <w:p>
      <w:pPr>
        <w:spacing w:after="120" w:before="0" w:line="360" w:lineRule="auto"/>
        <w:jc w:val="both"/>
      </w:pPr>
    </w:p>
    <w:p>
      <w:pPr>
        <w:spacing w:after="80" w:before="0" w:line="360" w:lineRule="auto"/>
        <w:jc w:val="both"/>
      </w:pPr>
      <w:r>
        <w:rPr>
          <w:rFonts w:ascii="Times New Roman" w:hAnsi="Times New Roman" w:eastAsia="Times New Roman"/>
          <w:b/>
          <w:i w:val="0"/>
          <w:sz w:val="24"/>
        </w:rPr>
        <w:t>Basis and assumptions (all in INR):</w:t>
      </w:r>
    </w:p>
    <w:p>
      <w:pPr>
        <w:pStyle w:val="ListBullet"/>
        <w:spacing w:after="80" w:line="360" w:lineRule="auto"/>
        <w:jc w:val="both"/>
      </w:pPr>
      <w:r>
        <w:rPr>
          <w:rFonts w:ascii="Times New Roman" w:hAnsi="Times New Roman" w:eastAsia="Times New Roman"/>
          <w:b w:val="0"/>
          <w:i w:val="0"/>
          <w:sz w:val="24"/>
        </w:rPr>
        <w:t>Subscription ₹20,000/station/month; a 5-station customer is ₹12 lakh of annual recurring revenue (ARR) and about ₹23 lakh in the first year including kit and onboarding.</w:t>
      </w:r>
    </w:p>
    <w:p>
      <w:pPr>
        <w:pStyle w:val="ListBullet"/>
        <w:spacing w:after="80" w:line="360" w:lineRule="auto"/>
        <w:jc w:val="both"/>
      </w:pPr>
      <w:r>
        <w:rPr>
          <w:rFonts w:ascii="Times New Roman" w:hAnsi="Times New Roman" w:eastAsia="Times New Roman"/>
          <w:b w:val="0"/>
          <w:i w:val="0"/>
          <w:sz w:val="24"/>
        </w:rPr>
        <w:t>Year-1 spend is about ₹1.33 crore (team, capex, marketing, legal/IP, 10% contingency); with about ₹20 lakh of pilot revenue, the year-1 funding need is about ₹1.1 crore.</w:t>
      </w:r>
    </w:p>
    <w:p>
      <w:pPr>
        <w:pStyle w:val="ListBullet"/>
        <w:spacing w:after="80" w:line="360" w:lineRule="auto"/>
        <w:jc w:val="both"/>
      </w:pPr>
      <w:r>
        <w:rPr>
          <w:rFonts w:ascii="Times New Roman" w:hAnsi="Times New Roman" w:eastAsia="Times New Roman"/>
          <w:b w:val="0"/>
          <w:i w:val="0"/>
          <w:sz w:val="24"/>
        </w:rPr>
        <w:t>Steady-state fixed cost about ₹1.2 crore per year (9–10 people); recurring gross profit per 5-station customer about ₹9.6 lakh; break-even ≈ 1.2 Cr ÷ 9.6 L ≈ 12.5 customers.</w:t>
      </w:r>
    </w:p>
    <w:p>
      <w:pPr>
        <w:pStyle w:val="ListBullet"/>
        <w:spacing w:after="80" w:line="360" w:lineRule="auto"/>
        <w:jc w:val="both"/>
      </w:pPr>
      <w:r>
        <w:rPr>
          <w:rFonts w:ascii="Times New Roman" w:hAnsi="Times New Roman" w:eastAsia="Times New Roman"/>
          <w:b w:val="0"/>
          <w:i w:val="0"/>
          <w:sz w:val="24"/>
        </w:rPr>
        <w:t>Sensitivity: if subscription falls to ₹15,000/station/month, break-even rises to about 17 customers; if the average customer runs 10 stations, it falls to about 6–7. Stations per customer is the most important variable.</w:t>
      </w:r>
    </w:p>
    <w:p>
      <w:pPr>
        <w:spacing w:after="120" w:before="0" w:line="360" w:lineRule="auto"/>
        <w:jc w:val="both"/>
      </w:pPr>
      <w:r>
        <w:rPr>
          <w:rFonts w:ascii="Times New Roman" w:hAnsi="Times New Roman" w:eastAsia="Times New Roman"/>
          <w:b w:val="0"/>
          <w:i w:val="0"/>
          <w:sz w:val="24"/>
        </w:rPr>
        <w:t>Salary basis: computer-vision engineers in India average about ₹7–7.9 lakh per year [14] and Unity developers about ₹4.6 lakh [15]; the model budgets above median to hire people who can ship. The uncomfortable truth is that the business is not profitable in year one in any scenario; break-even arrives in year three in the base case.</w:t>
      </w:r>
    </w:p>
    <w:p>
      <w:r>
        <w:br w:type="page"/>
      </w:r>
    </w:p>
    <w:p>
      <w:pPr>
        <w:spacing w:before="360" w:after="240"/>
        <w:jc w:val="center"/>
      </w:pPr>
      <w:r>
        <w:rPr>
          <w:rFonts w:ascii="Times New Roman" w:hAnsi="Times New Roman" w:eastAsia="Times New Roman"/>
          <w:b/>
          <w:i w:val="0"/>
          <w:sz w:val="32"/>
        </w:rPr>
        <w:t>Chapter 9</w:t>
      </w:r>
    </w:p>
    <w:p>
      <w:pPr>
        <w:spacing w:after="360"/>
        <w:jc w:val="center"/>
      </w:pPr>
      <w:r>
        <w:rPr>
          <w:rFonts w:ascii="Times New Roman" w:hAnsi="Times New Roman" w:eastAsia="Times New Roman"/>
          <w:b/>
          <w:i w:val="0"/>
          <w:sz w:val="32"/>
        </w:rPr>
        <w:t>Implementation Roadmap</w:t>
      </w:r>
    </w:p>
    <w:p>
      <w:pPr>
        <w:spacing w:before="160" w:after="80"/>
      </w:pPr>
      <w:r>
        <w:rPr>
          <w:rFonts w:ascii="Times New Roman" w:hAnsi="Times New Roman" w:eastAsia="Times New Roman"/>
          <w:b/>
          <w:i w:val="0"/>
          <w:sz w:val="24"/>
        </w:rPr>
        <w:t>1) Phase 1 – Prototype Development (0–6 months):</w:t>
      </w:r>
    </w:p>
    <w:p>
      <w:pPr>
        <w:pStyle w:val="ListBullet"/>
        <w:spacing w:after="80" w:line="360" w:lineRule="auto"/>
        <w:jc w:val="both"/>
      </w:pPr>
      <w:r>
        <w:rPr>
          <w:rFonts w:ascii="Times New Roman" w:hAnsi="Times New Roman" w:eastAsia="Times New Roman"/>
          <w:b w:val="0"/>
          <w:i w:val="0"/>
          <w:sz w:val="24"/>
        </w:rPr>
        <w:t>Build one station: guidance plus three check types (part present, fastener count, bin pick) on a real sub-assembly.</w:t>
      </w:r>
    </w:p>
    <w:p>
      <w:pPr>
        <w:pStyle w:val="ListBullet"/>
        <w:spacing w:after="80" w:line="360" w:lineRule="auto"/>
        <w:jc w:val="both"/>
      </w:pPr>
      <w:r>
        <w:rPr>
          <w:rFonts w:ascii="Times New Roman" w:hAnsi="Times New Roman" w:eastAsia="Times New Roman"/>
          <w:b w:val="0"/>
          <w:i w:val="0"/>
          <w:sz w:val="24"/>
        </w:rPr>
        <w:t>Target ≥ 95 percent check accuracy and ≤ 300 ms per check.</w:t>
      </w:r>
    </w:p>
    <w:p>
      <w:pPr>
        <w:pStyle w:val="ListBullet"/>
        <w:spacing w:after="80" w:line="360" w:lineRule="auto"/>
        <w:jc w:val="both"/>
      </w:pPr>
      <w:r>
        <w:rPr>
          <w:rFonts w:ascii="Times New Roman" w:hAnsi="Times New Roman" w:eastAsia="Times New Roman"/>
          <w:b w:val="0"/>
          <w:i w:val="0"/>
          <w:sz w:val="24"/>
        </w:rPr>
        <w:t>Author the VR trainer from the same recipe; secure Startup India seed funding or an incubator.</w:t>
      </w:r>
    </w:p>
    <w:p>
      <w:pPr>
        <w:spacing w:before="160" w:after="80"/>
      </w:pPr>
      <w:r>
        <w:rPr>
          <w:rFonts w:ascii="Times New Roman" w:hAnsi="Times New Roman" w:eastAsia="Times New Roman"/>
          <w:b/>
          <w:i w:val="0"/>
          <w:sz w:val="24"/>
        </w:rPr>
        <w:t>2) Phase 2 – Paid Pilot (6–12 months):</w:t>
      </w:r>
    </w:p>
    <w:p>
      <w:pPr>
        <w:pStyle w:val="ListBullet"/>
        <w:spacing w:after="80" w:line="360" w:lineRule="auto"/>
        <w:jc w:val="both"/>
      </w:pPr>
      <w:r>
        <w:rPr>
          <w:rFonts w:ascii="Times New Roman" w:hAnsi="Times New Roman" w:eastAsia="Times New Roman"/>
          <w:b w:val="0"/>
          <w:i w:val="0"/>
          <w:sz w:val="24"/>
        </w:rPr>
        <w:t>Install two stations at one pilot plant on a real product family, after measuring a 4-week baseline.</w:t>
      </w:r>
    </w:p>
    <w:p>
      <w:pPr>
        <w:pStyle w:val="ListBullet"/>
        <w:spacing w:after="80" w:line="360" w:lineRule="auto"/>
        <w:jc w:val="both"/>
      </w:pPr>
      <w:r>
        <w:rPr>
          <w:rFonts w:ascii="Times New Roman" w:hAnsi="Times New Roman" w:eastAsia="Times New Roman"/>
          <w:b w:val="0"/>
          <w:i w:val="0"/>
          <w:sz w:val="24"/>
        </w:rPr>
        <w:t>Gather data on error reduction, onboarding time, cycle-time overhead and uptime against agreed KPIs.</w:t>
      </w:r>
    </w:p>
    <w:p>
      <w:pPr>
        <w:pStyle w:val="ListBullet"/>
        <w:spacing w:after="80" w:line="360" w:lineRule="auto"/>
        <w:jc w:val="both"/>
      </w:pPr>
      <w:r>
        <w:rPr>
          <w:rFonts w:ascii="Times New Roman" w:hAnsi="Times New Roman" w:eastAsia="Times New Roman"/>
          <w:b w:val="0"/>
          <w:i w:val="0"/>
          <w:sz w:val="24"/>
        </w:rPr>
        <w:t>Convert the pilot to an annual contract and publish a case study with permission.</w:t>
      </w:r>
    </w:p>
    <w:p>
      <w:pPr>
        <w:spacing w:before="160" w:after="80"/>
      </w:pPr>
      <w:r>
        <w:rPr>
          <w:rFonts w:ascii="Times New Roman" w:hAnsi="Times New Roman" w:eastAsia="Times New Roman"/>
          <w:b/>
          <w:i w:val="0"/>
          <w:sz w:val="24"/>
        </w:rPr>
        <w:t>3) Phase 3 – Product and Scale-Up (12–24 months):</w:t>
      </w:r>
    </w:p>
    <w:p>
      <w:pPr>
        <w:pStyle w:val="ListBullet"/>
        <w:spacing w:after="80" w:line="360" w:lineRule="auto"/>
        <w:jc w:val="both"/>
      </w:pPr>
      <w:r>
        <w:rPr>
          <w:rFonts w:ascii="Times New Roman" w:hAnsi="Times New Roman" w:eastAsia="Times New Roman"/>
          <w:b w:val="0"/>
          <w:i w:val="0"/>
          <w:sz w:val="24"/>
        </w:rPr>
        <w:t>Release v1.0 with self-service Recipe Studio, dashboard and MES export, plus multilingual voice.</w:t>
      </w:r>
    </w:p>
    <w:p>
      <w:pPr>
        <w:pStyle w:val="ListBullet"/>
        <w:spacing w:after="80" w:line="360" w:lineRule="auto"/>
        <w:jc w:val="both"/>
      </w:pPr>
      <w:r>
        <w:rPr>
          <w:rFonts w:ascii="Times New Roman" w:hAnsi="Times New Roman" w:eastAsia="Times New Roman"/>
          <w:b w:val="0"/>
          <w:i w:val="0"/>
          <w:sz w:val="24"/>
        </w:rPr>
        <w:t>Add torque-tool and scanner integrations; win the second and third customers; build an integrator channel.</w:t>
      </w:r>
    </w:p>
    <w:p>
      <w:pPr>
        <w:spacing w:before="160" w:after="80"/>
      </w:pPr>
      <w:r>
        <w:rPr>
          <w:rFonts w:ascii="Times New Roman" w:hAnsi="Times New Roman" w:eastAsia="Times New Roman"/>
          <w:b/>
          <w:i w:val="0"/>
          <w:sz w:val="24"/>
        </w:rPr>
        <w:t>4) Phase 4 – Cobot Bridge and Expansion (24–36 months):</w:t>
      </w:r>
    </w:p>
    <w:p>
      <w:pPr>
        <w:pStyle w:val="ListBullet"/>
        <w:spacing w:after="80" w:line="360" w:lineRule="auto"/>
        <w:jc w:val="both"/>
      </w:pPr>
      <w:r>
        <w:rPr>
          <w:rFonts w:ascii="Times New Roman" w:hAnsi="Times New Roman" w:eastAsia="Times New Roman"/>
          <w:b w:val="0"/>
          <w:i w:val="0"/>
          <w:sz w:val="24"/>
        </w:rPr>
        <w:t>Ship the Cobot Bridge (robot-intent overlay and hand-over) with one cobot brand, after FTO clearance.</w:t>
      </w:r>
    </w:p>
    <w:p>
      <w:pPr>
        <w:pStyle w:val="ListBullet"/>
        <w:spacing w:after="80" w:line="360" w:lineRule="auto"/>
        <w:jc w:val="both"/>
      </w:pPr>
      <w:r>
        <w:rPr>
          <w:rFonts w:ascii="Times New Roman" w:hAnsi="Times New Roman" w:eastAsia="Times New Roman"/>
          <w:b w:val="0"/>
          <w:i w:val="0"/>
          <w:sz w:val="24"/>
        </w:rPr>
        <w:t>Reach the break-even customer count; begin indigenous Indian patent filings; explore Southeast Asia and the Middle East.</w:t>
      </w:r>
    </w:p>
    <w:p>
      <w:r>
        <w:br w:type="page"/>
      </w:r>
    </w:p>
    <w:p>
      <w:pPr>
        <w:spacing w:before="360" w:after="240"/>
        <w:jc w:val="center"/>
      </w:pPr>
      <w:r>
        <w:rPr>
          <w:rFonts w:ascii="Times New Roman" w:hAnsi="Times New Roman" w:eastAsia="Times New Roman"/>
          <w:b/>
          <w:i w:val="0"/>
          <w:sz w:val="32"/>
        </w:rPr>
        <w:t>Chapter 10</w:t>
      </w:r>
    </w:p>
    <w:p>
      <w:pPr>
        <w:spacing w:after="360"/>
        <w:jc w:val="center"/>
      </w:pPr>
      <w:r>
        <w:rPr>
          <w:rFonts w:ascii="Times New Roman" w:hAnsi="Times New Roman" w:eastAsia="Times New Roman"/>
          <w:b/>
          <w:i w:val="0"/>
          <w:sz w:val="32"/>
        </w:rPr>
        <w:t>Conclusion</w:t>
      </w:r>
    </w:p>
    <w:p>
      <w:pPr>
        <w:spacing w:after="120" w:before="0" w:line="360" w:lineRule="auto"/>
        <w:jc w:val="both"/>
      </w:pPr>
      <w:r>
        <w:rPr>
          <w:rFonts w:ascii="Times New Roman" w:hAnsi="Times New Roman" w:eastAsia="Times New Roman"/>
          <w:b w:val="0"/>
          <w:i w:val="0"/>
          <w:sz w:val="24"/>
        </w:rPr>
        <w:t>AR/VR and AI-guided manual assembly is a real, patented and actively enforced field, spanning projected guidance, AR glasses with verification, machine-learning step recognition, VR assembly training and AR cobot interaction, from a 2005 priority to a 2026 grant. The market gap is not AR for assembly, which already exists, but an affordable, headset-free, check-every-step system for Indian suppliers that reuses one process recipe for training, guidance and future cobot work. StepSure is a realistic way to test that gap: one paid pilot, per-station pricing, India first. The two decisive unknowns are the customers' willingness to pay and real-line computer-vision accuracy, both testable within six months for under ₹50 lakh. Before any build or sale, a professional freedom-to-operate opinion is necessary, at minimum on the step-recognition patent family [3] and the LightGuide continuation family, including a check for Indian family members. Handled with that discipline, the concept can improve the quality and competitiveness of Indian manual assembly while contributing to the nation's Industry 4.0 goals.</w:t>
      </w:r>
    </w:p>
    <w:p>
      <w:r>
        <w:br w:type="page"/>
      </w:r>
    </w:p>
    <w:p>
      <w:pPr>
        <w:spacing w:after="240" w:before="240" w:line="360" w:lineRule="auto"/>
        <w:jc w:val="left"/>
      </w:pPr>
      <w:r>
        <w:rPr>
          <w:rFonts w:ascii="Times New Roman" w:hAnsi="Times New Roman" w:eastAsia="Times New Roman"/>
          <w:b/>
          <w:i w:val="0"/>
          <w:sz w:val="32"/>
        </w:rPr>
        <w:t>References</w:t>
      </w:r>
    </w:p>
    <w:p>
      <w:pPr>
        <w:spacing w:after="120" w:line="360" w:lineRule="auto"/>
      </w:pPr>
      <w:r>
        <w:rPr>
          <w:rFonts w:ascii="Times New Roman" w:hAnsi="Times New Roman" w:eastAsia="Times New Roman"/>
          <w:b w:val="0"/>
          <w:i w:val="0"/>
          <w:sz w:val="22"/>
        </w:rPr>
        <w:t>[1] US Patent 7,515,981 B2, “Light guided assembly system,” granted 2009. https://patents.google.com/patent/US7515981B2/en</w:t>
      </w:r>
    </w:p>
    <w:p>
      <w:pPr>
        <w:spacing w:after="120" w:line="360" w:lineRule="auto"/>
      </w:pPr>
      <w:r>
        <w:rPr>
          <w:rFonts w:ascii="Times New Roman" w:hAnsi="Times New Roman" w:eastAsia="Times New Roman"/>
          <w:b w:val="0"/>
          <w:i w:val="0"/>
          <w:sz w:val="22"/>
        </w:rPr>
        <w:t>[2] US Patent 10,366,521 B1, “Augmented reality assembly assistance and monitoring,” Amazon Technologies Inc., 2019. https://patents.google.com/patent/US10366521B1/en</w:t>
      </w:r>
    </w:p>
    <w:p>
      <w:pPr>
        <w:spacing w:after="120" w:line="360" w:lineRule="auto"/>
      </w:pPr>
      <w:r>
        <w:rPr>
          <w:rFonts w:ascii="Times New Roman" w:hAnsi="Times New Roman" w:eastAsia="Times New Roman"/>
          <w:b w:val="0"/>
          <w:i w:val="0"/>
          <w:sz w:val="22"/>
        </w:rPr>
        <w:t>[3] US Patent 11,715,300 B1, “Systems and methods for providing product assembly step recognition using augmented reality,” 2023. https://patents.google.com/patent/US11715300B1/en</w:t>
      </w:r>
    </w:p>
    <w:p>
      <w:pPr>
        <w:spacing w:after="120" w:line="360" w:lineRule="auto"/>
      </w:pPr>
      <w:r>
        <w:rPr>
          <w:rFonts w:ascii="Times New Roman" w:hAnsi="Times New Roman" w:eastAsia="Times New Roman"/>
          <w:b w:val="0"/>
          <w:i w:val="0"/>
          <w:sz w:val="22"/>
        </w:rPr>
        <w:t>[4] US Patent 12,592,164 B2, “Virtual reality training simulator,” Permco Inc., 2026. https://image-ppubs.uspto.gov/dirsearch-public/print/downloadPdf/12592164</w:t>
      </w:r>
    </w:p>
    <w:p>
      <w:pPr>
        <w:spacing w:after="120" w:line="360" w:lineRule="auto"/>
      </w:pPr>
      <w:r>
        <w:rPr>
          <w:rFonts w:ascii="Times New Roman" w:hAnsi="Times New Roman" w:eastAsia="Times New Roman"/>
          <w:b w:val="0"/>
          <w:i w:val="0"/>
          <w:sz w:val="22"/>
        </w:rPr>
        <w:t>[5] US Patent 11,529,737 B2, “System and method for using virtual/augmented reality for interaction with collaborative robots in manufacturing or industrial environment,” Raytheon Co., 2022. https://patents.google.com/patent/US11529737</w:t>
      </w:r>
    </w:p>
    <w:p>
      <w:pPr>
        <w:spacing w:after="120" w:line="360" w:lineRule="auto"/>
      </w:pPr>
      <w:r>
        <w:rPr>
          <w:rFonts w:ascii="Times New Roman" w:hAnsi="Times New Roman" w:eastAsia="Times New Roman"/>
          <w:b w:val="0"/>
          <w:i w:val="0"/>
          <w:sz w:val="22"/>
        </w:rPr>
        <w:t>[6] ACMA, “Industry Performance Review FY2024-25,” 2025. https://acma.in/uploads/press-release/Press%20Release%20FY25.pdf</w:t>
      </w:r>
    </w:p>
    <w:p>
      <w:pPr>
        <w:spacing w:after="120" w:line="360" w:lineRule="auto"/>
      </w:pPr>
      <w:r>
        <w:rPr>
          <w:rFonts w:ascii="Times New Roman" w:hAnsi="Times New Roman" w:eastAsia="Times New Roman"/>
          <w:b w:val="0"/>
          <w:i w:val="0"/>
          <w:sz w:val="22"/>
        </w:rPr>
        <w:t>[7] Government of India, Economic Survey (electronics production FY25), as reported, 2025.</w:t>
      </w:r>
    </w:p>
    <w:p>
      <w:pPr>
        <w:spacing w:after="120" w:line="360" w:lineRule="auto"/>
      </w:pPr>
      <w:r>
        <w:rPr>
          <w:rFonts w:ascii="Times New Roman" w:hAnsi="Times New Roman" w:eastAsia="Times New Roman"/>
          <w:b w:val="0"/>
          <w:i w:val="0"/>
          <w:sz w:val="22"/>
        </w:rPr>
        <w:t>[8] Microsoft, “Dynamics 365 Guides and Remote Assist retirement (after 31 December 2026),” Microsoft Learn, 2025. https://learn.microsoft.com/en-us/dynamics365/mixed-reality/guides/admin-apps-solution-compatibility</w:t>
      </w:r>
    </w:p>
    <w:p>
      <w:pPr>
        <w:spacing w:after="120" w:line="360" w:lineRule="auto"/>
      </w:pPr>
      <w:r>
        <w:rPr>
          <w:rFonts w:ascii="Times New Roman" w:hAnsi="Times New Roman" w:eastAsia="Times New Roman"/>
          <w:b w:val="0"/>
          <w:i w:val="0"/>
          <w:sz w:val="22"/>
        </w:rPr>
        <w:t>[9] A. Tang, C. Owen, F. Biocca, W. Mou, “Comparative effectiveness of augmented reality in object assembly,” Proc. CHI 2003, pp. 73-80.</w:t>
      </w:r>
    </w:p>
    <w:p>
      <w:pPr>
        <w:spacing w:after="120" w:line="360" w:lineRule="auto"/>
      </w:pPr>
      <w:r>
        <w:rPr>
          <w:rFonts w:ascii="Times New Roman" w:hAnsi="Times New Roman" w:eastAsia="Times New Roman"/>
          <w:b w:val="0"/>
          <w:i w:val="0"/>
          <w:sz w:val="22"/>
        </w:rPr>
        <w:t>[10] ManpowerGroup, “2025 Global Talent Shortage Survey (India),” 2025.</w:t>
      </w:r>
    </w:p>
    <w:p>
      <w:pPr>
        <w:spacing w:after="120" w:line="360" w:lineRule="auto"/>
      </w:pPr>
      <w:r>
        <w:rPr>
          <w:rFonts w:ascii="Times New Roman" w:hAnsi="Times New Roman" w:eastAsia="Times New Roman"/>
          <w:b w:val="0"/>
          <w:i w:val="0"/>
          <w:sz w:val="22"/>
        </w:rPr>
        <w:t>[11] Autocar Professional, “India’s auto component industry runs into a deeper talent problem,” 2025.</w:t>
      </w:r>
    </w:p>
    <w:p>
      <w:pPr>
        <w:spacing w:after="120" w:line="360" w:lineRule="auto"/>
      </w:pPr>
      <w:r>
        <w:rPr>
          <w:rFonts w:ascii="Times New Roman" w:hAnsi="Times New Roman" w:eastAsia="Times New Roman"/>
          <w:b w:val="0"/>
          <w:i w:val="0"/>
          <w:sz w:val="22"/>
        </w:rPr>
        <w:t>[12] Government of India, DPIIT, “Startup India Seed Fund Scheme (SISFS),” 2021. https://www.indiascienceandtechnology.gov.in/funding-opportunities/startups/startup-india-seed-fund-scheme-sisfs</w:t>
      </w:r>
    </w:p>
    <w:p>
      <w:pPr>
        <w:spacing w:after="120" w:line="360" w:lineRule="auto"/>
      </w:pPr>
      <w:r>
        <w:rPr>
          <w:rFonts w:ascii="Times New Roman" w:hAnsi="Times New Roman" w:eastAsia="Times New Roman"/>
          <w:b w:val="0"/>
          <w:i w:val="0"/>
          <w:sz w:val="22"/>
        </w:rPr>
        <w:t>[13] AutoVRse, company and client information, 2025. https://evreporter.com/autovrse-raises-2-4-million-to-expand-ai-and-vr-training-for-automotive-manufacturing/</w:t>
      </w:r>
    </w:p>
    <w:p>
      <w:pPr>
        <w:spacing w:after="120" w:line="360" w:lineRule="auto"/>
      </w:pPr>
      <w:r>
        <w:rPr>
          <w:rFonts w:ascii="Times New Roman" w:hAnsi="Times New Roman" w:eastAsia="Times New Roman"/>
          <w:b w:val="0"/>
          <w:i w:val="0"/>
          <w:sz w:val="22"/>
        </w:rPr>
        <w:t>[14] AmbitionBox / Payscale, “Computer Vision Engineer salary, India,” 2025-26.</w:t>
      </w:r>
    </w:p>
    <w:p>
      <w:pPr>
        <w:spacing w:after="120" w:line="360" w:lineRule="auto"/>
      </w:pPr>
      <w:r>
        <w:rPr>
          <w:rFonts w:ascii="Times New Roman" w:hAnsi="Times New Roman" w:eastAsia="Times New Roman"/>
          <w:b w:val="0"/>
          <w:i w:val="0"/>
          <w:sz w:val="22"/>
        </w:rPr>
        <w:t>[15] Glassdoor, “Unity Developer salary, India,” 2026.</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