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546E0943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997F91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May 4,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AC0E4E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AC0E4E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spellStart"/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proofErr w:type="spellEnd"/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2A4B566C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/ Ecohydrology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6E684143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79FA6D12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Understanding the continuous phenological development at daily time step with a Bayesian hierarchical space-time </w:t>
            </w:r>
            <w:proofErr w:type="gramStart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model:</w:t>
            </w:r>
            <w:proofErr w:type="gramEnd"/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 xml:space="preserve">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 w:rsidR="001E378E"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B4A9C9B" w14:textId="77777777" w:rsidTr="00C538D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807E26" w14:textId="5B530FC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4593FA" w14:textId="18928E8C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 w:rsidR="007C596A"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 w:rsidR="00DD6D07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lastRenderedPageBreak/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8A58A5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(x4)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3E247FA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(x4)</w:t>
            </w:r>
          </w:p>
          <w:p w14:paraId="7F843659" w14:textId="07710155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997F91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3660997B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C/C++/C#, R, Python, 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483FE127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Hierarchical Modeling, Bayesian Statistics, Markov Chain Monte Carlo (MCMC), Machine Learning,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br/>
              <w:t>GIS, Geospatial Analysis, Remote Sensing, Data Elevation Model (DEM) Processing, Image Processing, Optimization, Numerical Methods, Finite Difference Methods, Finite Element Methods, Finite Volume Methods</w:t>
            </w:r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6BE24" w14:textId="77777777" w:rsidR="00AC0E4E" w:rsidRDefault="00AC0E4E" w:rsidP="009B528A">
      <w:r>
        <w:separator/>
      </w:r>
    </w:p>
  </w:endnote>
  <w:endnote w:type="continuationSeparator" w:id="0">
    <w:p w14:paraId="518064E0" w14:textId="77777777" w:rsidR="00AC0E4E" w:rsidRDefault="00AC0E4E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4EDD8" w14:textId="77777777" w:rsidR="00F404D4" w:rsidRDefault="00F404D4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F404D4" w:rsidRDefault="00F404D4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D3F9" w14:textId="77777777" w:rsidR="00F404D4" w:rsidRPr="000A6134" w:rsidRDefault="00F404D4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F404D4" w:rsidRPr="000A6134" w:rsidRDefault="00F404D4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EC99F" w14:textId="77777777" w:rsidR="00AC0E4E" w:rsidRDefault="00AC0E4E" w:rsidP="009B528A">
      <w:r>
        <w:separator/>
      </w:r>
    </w:p>
  </w:footnote>
  <w:footnote w:type="continuationSeparator" w:id="0">
    <w:p w14:paraId="4FEC6D79" w14:textId="77777777" w:rsidR="00AC0E4E" w:rsidRDefault="00AC0E4E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4E3DE5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C4E0F"/>
    <w:rsid w:val="007C596A"/>
    <w:rsid w:val="007C5DA7"/>
    <w:rsid w:val="007D4097"/>
    <w:rsid w:val="007D54E8"/>
    <w:rsid w:val="007D6C25"/>
    <w:rsid w:val="007E5BEB"/>
    <w:rsid w:val="007F0CE7"/>
    <w:rsid w:val="007F338F"/>
    <w:rsid w:val="007F63E4"/>
    <w:rsid w:val="00800ABB"/>
    <w:rsid w:val="0080146D"/>
    <w:rsid w:val="00801660"/>
    <w:rsid w:val="00803A6E"/>
    <w:rsid w:val="0080438B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F15AF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E0069F"/>
    <w:rsid w:val="00E016E2"/>
    <w:rsid w:val="00E02E96"/>
    <w:rsid w:val="00E13A59"/>
    <w:rsid w:val="00E17525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6001"/>
    <w:rsid w:val="00F51DFE"/>
    <w:rsid w:val="00F62607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4765</Words>
  <Characters>27167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208</cp:revision>
  <cp:lastPrinted>2020-04-05T18:42:00Z</cp:lastPrinted>
  <dcterms:created xsi:type="dcterms:W3CDTF">2019-09-16T04:09:00Z</dcterms:created>
  <dcterms:modified xsi:type="dcterms:W3CDTF">2020-05-04T17:26:00Z</dcterms:modified>
</cp:coreProperties>
</file>