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6121"/>
        <w:gridCol w:w="263"/>
        <w:gridCol w:w="2546"/>
        <w:gridCol w:w="1142"/>
      </w:tblGrid>
      <w:tr w:rsidR="000A358F" w:rsidRPr="000A358F" w14:paraId="5D7BFB49" w14:textId="77777777" w:rsidTr="00020EB8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8F04E2">
        <w:trPr>
          <w:trHeight w:val="450"/>
        </w:trPr>
        <w:tc>
          <w:tcPr>
            <w:tcW w:w="6930" w:type="dxa"/>
            <w:gridSpan w:val="2"/>
          </w:tcPr>
          <w:p w14:paraId="75473940" w14:textId="77777777" w:rsidR="00447C72" w:rsidRPr="008F04E2" w:rsidRDefault="00447C72" w:rsidP="00447C72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>bijan.s.nasr@gmail.com</w:t>
            </w:r>
          </w:p>
          <w:p w14:paraId="69B5E82C" w14:textId="216BFC44" w:rsidR="003A6D0C" w:rsidRPr="008F04E2" w:rsidRDefault="008F04E2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</w:rPr>
              <w:t>Portfolio</w:t>
            </w: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: </w:t>
            </w:r>
            <w:hyperlink r:id="rId7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https://bnasr.github.io</w:t>
              </w:r>
            </w:hyperlink>
            <w:r w:rsidR="004E088B"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</w:t>
            </w:r>
          </w:p>
          <w:p w14:paraId="5FF7C8D6" w14:textId="77777777" w:rsidR="009E1E66" w:rsidRDefault="003A6D0C" w:rsidP="009E1E66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</w:rPr>
              <w:t>GitHub</w:t>
            </w: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: </w:t>
            </w:r>
            <w:hyperlink r:id="rId8" w:history="1">
              <w:r w:rsidR="00851D94"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http://github.com/bnas</w:t>
              </w:r>
              <w:r w:rsidR="00851D94"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</w:rPr>
                <w:t>r</w:t>
              </w:r>
              <w:r w:rsidR="001270C4"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</w:rPr>
                <w:tab/>
              </w:r>
            </w:hyperlink>
          </w:p>
          <w:p w14:paraId="3FE0A890" w14:textId="77777777" w:rsidR="008F04E2" w:rsidRPr="008F04E2" w:rsidRDefault="008F04E2" w:rsidP="008F04E2">
            <w:pPr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</w:pPr>
            <w:r w:rsidRPr="008F04E2">
              <w:rPr>
                <w:rStyle w:val="Hyperlink"/>
                <w:rFonts w:cstheme="minorHAnsi"/>
                <w:b/>
                <w:bCs/>
                <w:color w:val="767171" w:themeColor="background2" w:themeShade="80"/>
                <w:sz w:val="16"/>
                <w:szCs w:val="16"/>
                <w:u w:val="none"/>
              </w:rPr>
              <w:t>LinkedIn</w:t>
            </w:r>
            <w:r w:rsidRPr="008F04E2"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  <w:t xml:space="preserve">: </w:t>
            </w:r>
            <w:hyperlink r:id="rId9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https://www.linkedin.com/in/bijan-seyednasrollah-70067743/</w:t>
              </w:r>
            </w:hyperlink>
          </w:p>
          <w:p w14:paraId="78640F02" w14:textId="28AF6897" w:rsidR="008F04E2" w:rsidRPr="008F04E2" w:rsidRDefault="008F04E2" w:rsidP="008F04E2">
            <w:pPr>
              <w:rPr>
                <w:rFonts w:cstheme="minorHAnsi"/>
                <w:color w:val="767171" w:themeColor="background2" w:themeShade="80"/>
                <w:sz w:val="16"/>
                <w:szCs w:val="16"/>
                <w:u w:val="single"/>
              </w:rPr>
            </w:pPr>
            <w:r w:rsidRPr="008F04E2">
              <w:rPr>
                <w:rStyle w:val="Hyperlink"/>
                <w:rFonts w:cstheme="minorHAnsi"/>
                <w:b/>
                <w:bCs/>
                <w:color w:val="767171" w:themeColor="background2" w:themeShade="80"/>
                <w:sz w:val="16"/>
                <w:szCs w:val="16"/>
                <w:u w:val="none"/>
              </w:rPr>
              <w:t>Google Scholar</w:t>
            </w:r>
            <w:r w:rsidRPr="008F04E2"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  <w:t xml:space="preserve">: </w:t>
            </w:r>
            <w:hyperlink r:id="rId10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https://scholar.google.com/citations?user=re2zPdEAAAAJ&amp;hl=en</w:t>
              </w:r>
            </w:hyperlink>
          </w:p>
        </w:tc>
        <w:tc>
          <w:tcPr>
            <w:tcW w:w="263" w:type="dxa"/>
          </w:tcPr>
          <w:p w14:paraId="31A0CAB8" w14:textId="77777777" w:rsidR="003A6D0C" w:rsidRPr="008F04E2" w:rsidRDefault="003A6D0C" w:rsidP="001270C4">
            <w:pPr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</w:p>
        </w:tc>
        <w:tc>
          <w:tcPr>
            <w:tcW w:w="3688" w:type="dxa"/>
            <w:gridSpan w:val="2"/>
          </w:tcPr>
          <w:p w14:paraId="1BF8F852" w14:textId="77777777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 xml:space="preserve">4343 E </w:t>
            </w:r>
            <w:proofErr w:type="spellStart"/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Soliere</w:t>
            </w:r>
            <w:proofErr w:type="spellEnd"/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Flagstaff, AZ 86004</w:t>
            </w:r>
          </w:p>
          <w:p w14:paraId="008DCC97" w14:textId="7799145F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20EB8">
        <w:trPr>
          <w:trHeight w:val="237"/>
        </w:trPr>
        <w:tc>
          <w:tcPr>
            <w:tcW w:w="10881" w:type="dxa"/>
            <w:gridSpan w:val="5"/>
            <w:vAlign w:val="center"/>
          </w:tcPr>
          <w:p w14:paraId="7C4D763E" w14:textId="77777777" w:rsidR="008F04E2" w:rsidRDefault="008F04E2" w:rsidP="001270C4">
            <w:pPr>
              <w:jc w:val="center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  <w:p w14:paraId="6B753D7E" w14:textId="5235FD91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020EB8">
        <w:trPr>
          <w:trHeight w:val="2314"/>
        </w:trPr>
        <w:tc>
          <w:tcPr>
            <w:tcW w:w="809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057864A0" w14:textId="66FA5198" w:rsidR="001270C4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>with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of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  <w:r w:rsidR="001846B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BC9EF44" w14:textId="786CC6C6" w:rsidR="00854CC9" w:rsidRDefault="00854CC9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Certified TensorFlow Developer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(CNN, RNN, NLP)</w:t>
            </w:r>
          </w:p>
          <w:p w14:paraId="63C2953C" w14:textId="77777777" w:rsidR="00447F72" w:rsidRPr="000A358F" w:rsidRDefault="00447F72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R, Python, C/C+, Fortran, Shiny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 on Unix-based Systems</w:t>
            </w:r>
          </w:p>
          <w:p w14:paraId="589801EF" w14:textId="77777777" w:rsidR="00447F72" w:rsidRPr="000A358F" w:rsidRDefault="00447F72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Deep Learning, 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Computer Vision, Bayesian Statistics and IoT</w:t>
            </w:r>
          </w:p>
          <w:p w14:paraId="32B0E716" w14:textId="6A51F9E6" w:rsidR="00854CC9" w:rsidRDefault="00854CC9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Many Open-source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Packages, Downloaded 4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,000+ Times</w:t>
            </w:r>
          </w:p>
          <w:p w14:paraId="136B7E6C" w14:textId="31389C58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022E0178" w14:textId="67E54E3F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020EB8" w:rsidRPr="000A358F" w14:paraId="0982BDFE" w14:textId="77777777" w:rsidTr="00020EB8">
        <w:trPr>
          <w:trHeight w:val="467"/>
        </w:trPr>
        <w:tc>
          <w:tcPr>
            <w:tcW w:w="809" w:type="dxa"/>
            <w:vMerge w:val="restart"/>
            <w:textDirection w:val="btLr"/>
          </w:tcPr>
          <w:p w14:paraId="0AA75543" w14:textId="288308C0" w:rsidR="00020EB8" w:rsidRPr="00AD51B4" w:rsidRDefault="00020EB8" w:rsidP="00020EB8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507EA449" w14:textId="6388298A" w:rsidR="00020EB8" w:rsidRPr="000A358F" w:rsidRDefault="00FC28F4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Harvard University</w:t>
            </w:r>
            <w:r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Postdoc in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020EB8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Environmental Data Science</w:t>
            </w:r>
            <w:r w:rsidR="00020EB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F12140">
              <w:rPr>
                <w:rFonts w:cstheme="minorHAnsi"/>
                <w:color w:val="767171" w:themeColor="background2" w:themeShade="80"/>
                <w:sz w:val="18"/>
                <w:szCs w:val="18"/>
              </w:rPr>
              <w:t>Cambridge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4828FC">
              <w:rPr>
                <w:rFonts w:cstheme="minorHAnsi"/>
                <w:color w:val="767171" w:themeColor="background2" w:themeShade="80"/>
                <w:sz w:val="18"/>
                <w:szCs w:val="18"/>
              </w:rPr>
              <w:t>MA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USA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25716029" w14:textId="77777777" w:rsidR="00020EB8" w:rsidRPr="000A358F" w:rsidRDefault="00020EB8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43A47FC0" w14:textId="77777777" w:rsidTr="00020EB8">
        <w:trPr>
          <w:trHeight w:val="467"/>
        </w:trPr>
        <w:tc>
          <w:tcPr>
            <w:tcW w:w="809" w:type="dxa"/>
            <w:vMerge/>
            <w:textDirection w:val="btLr"/>
          </w:tcPr>
          <w:p w14:paraId="40CB7DE3" w14:textId="5BD3851B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59A937CB" w14:textId="2C4F43D0" w:rsidR="00020EB8" w:rsidRPr="000A358F" w:rsidRDefault="00FC28F4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Duke University</w:t>
            </w:r>
            <w:r w:rsidRP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 w:rsidRP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Ph.D.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020EB8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Quantitative Environmental Science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,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Durham, NC, USA</w:t>
            </w:r>
          </w:p>
        </w:tc>
        <w:tc>
          <w:tcPr>
            <w:tcW w:w="1142" w:type="dxa"/>
            <w:vAlign w:val="center"/>
          </w:tcPr>
          <w:p w14:paraId="4BCE47C7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2508FEF8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18C5B62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3E9C1FE" w14:textId="6E7C6138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Sharif University of Technology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MSc. in 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Mechanical Engineering (Computational Methods)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</w:t>
            </w:r>
          </w:p>
        </w:tc>
        <w:tc>
          <w:tcPr>
            <w:tcW w:w="1142" w:type="dxa"/>
            <w:vAlign w:val="center"/>
          </w:tcPr>
          <w:p w14:paraId="69C42695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20EB8" w:rsidRPr="000A358F" w14:paraId="3E2C72ED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652A259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1CF10639" w14:textId="41AB94E8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University of Semnan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BSc. in 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Mechanical Engineering (Numerical Modeling),</w:t>
            </w:r>
            <w:r w:rsid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</w:t>
            </w:r>
          </w:p>
        </w:tc>
        <w:tc>
          <w:tcPr>
            <w:tcW w:w="1142" w:type="dxa"/>
            <w:vAlign w:val="center"/>
          </w:tcPr>
          <w:p w14:paraId="65886F8D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E464DE" w:rsidRPr="000A358F" w14:paraId="38DBBC27" w14:textId="77777777" w:rsidTr="009E1E66">
        <w:trPr>
          <w:trHeight w:val="503"/>
        </w:trPr>
        <w:tc>
          <w:tcPr>
            <w:tcW w:w="809" w:type="dxa"/>
            <w:vMerge w:val="restart"/>
            <w:textDirection w:val="btLr"/>
          </w:tcPr>
          <w:p w14:paraId="16A161C6" w14:textId="28C35001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CERTIFICATES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AF01ED6" w14:textId="05E193F8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DeepLearning.AI TensorFlow Developer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DL,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455FF5A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10E940A8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4185ACB" w14:textId="664EA969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="000D452A" w:rsidRP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IBM Data Science</w:t>
            </w:r>
            <w:r w:rsid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 Capstone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DB2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602BEB7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558666C3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33C9CF8C" w14:textId="19B9356C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on Data Science in 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B965A9" w:rsidRPr="000A358F" w14:paraId="28D6C1D9" w14:textId="77777777" w:rsidTr="005136AB">
        <w:trPr>
          <w:cantSplit/>
          <w:trHeight w:val="1503"/>
        </w:trPr>
        <w:tc>
          <w:tcPr>
            <w:tcW w:w="809" w:type="dxa"/>
            <w:textDirection w:val="btLr"/>
          </w:tcPr>
          <w:p w14:paraId="4B9AE7BE" w14:textId="77777777" w:rsidR="00B965A9" w:rsidRPr="00AD51B4" w:rsidRDefault="00B965A9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75B754C8" w14:textId="66BD367D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B965A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Languages: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R, Python, </w:t>
            </w:r>
            <w:r w:rsidR="0028611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SQL,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C/C++/C#, Markdown, MATLAB, Python, Mathematica, Java, VBA, Fortran, Shell, HTML/CSS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 BUGS/JAGS</w:t>
            </w:r>
          </w:p>
          <w:p w14:paraId="153C82B5" w14:textId="589CFB55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B965A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Paradigms: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Programming, High Performance Computing (HPC), Multithreaded Programming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Geospatial Analysis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(GIS)</w:t>
            </w:r>
          </w:p>
          <w:p w14:paraId="381C24F4" w14:textId="7074A34C" w:rsidR="00B965A9" w:rsidRPr="000A358F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Machine Learning, Deep Learning, Natural Language Processing, Sequence Modeling,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Bayesian Statistics</w:t>
            </w:r>
          </w:p>
          <w:p w14:paraId="47808763" w14:textId="3E742C90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Libraries: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ggplot2, </w:t>
            </w:r>
            <w:proofErr w:type="spellStart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plotly</w:t>
            </w:r>
            <w:proofErr w:type="spell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Shiny, NumPy, SciPy, Pandas, Scikit-learn, Matplotlib, TensorFlow, </w:t>
            </w:r>
            <w:proofErr w:type="spellStart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</w:tr>
      <w:tr w:rsidR="00E5595E" w:rsidRPr="000A358F" w14:paraId="61416486" w14:textId="77777777" w:rsidTr="008F04E2">
        <w:trPr>
          <w:cantSplit/>
          <w:trHeight w:val="1214"/>
        </w:trPr>
        <w:tc>
          <w:tcPr>
            <w:tcW w:w="809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203CE305" w14:textId="4D1399ED" w:rsidR="00E5595E" w:rsidRPr="00D12A3E" w:rsidRDefault="00E33B32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Lead </w:t>
            </w:r>
            <w:r w:rsidR="00E5595E"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Scientist</w:t>
            </w:r>
            <w:r w:rsid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0671C8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PhenoCam 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3EA12E40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</w:t>
            </w:r>
            <w:r w:rsidR="0045406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the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 pipeline for translating raw data to curated, quality checked, and processed final products</w:t>
            </w:r>
          </w:p>
          <w:p w14:paraId="190B5633" w14:textId="057A53E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ML/DL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models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R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&amp;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Python to extract insight from</w:t>
            </w:r>
            <w:r w:rsidR="003531B3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structured and unstructured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</w:t>
            </w:r>
          </w:p>
          <w:p w14:paraId="35D33D24" w14:textId="0E09DB58" w:rsidR="00E5595E" w:rsidRPr="00447F72" w:rsidRDefault="00E5595E" w:rsidP="00447F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web-based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apps, and open-source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applications for interactive image processing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8F04E2">
        <w:trPr>
          <w:cantSplit/>
          <w:trHeight w:val="1163"/>
        </w:trPr>
        <w:tc>
          <w:tcPr>
            <w:tcW w:w="809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66FEA1C" w14:textId="707CFE25" w:rsidR="00E5595E" w:rsidRPr="00D12A3E" w:rsidRDefault="00E5595E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Environmental </w:t>
            </w:r>
            <w:r w:rsidR="00C727C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Data </w:t>
            </w: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Scientist</w:t>
            </w:r>
            <w:r w:rsidR="00D12A3E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</w:t>
            </w:r>
          </w:p>
          <w:p w14:paraId="3E751C53" w14:textId="720B37A5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Designed and developed hierarchical models to study climate change impacts across the US using satellite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</w:t>
            </w:r>
          </w:p>
          <w:p w14:paraId="2DCC6236" w14:textId="29D053CC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real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-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time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drought monitoring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interface:</w:t>
            </w:r>
            <w:r w:rsidR="00816529">
              <w:t xml:space="preserve"> </w:t>
            </w:r>
            <w:hyperlink r:id="rId11" w:history="1">
              <w:r w:rsidR="00816529" w:rsidRPr="009B0654">
                <w:rPr>
                  <w:rStyle w:val="Hyperlink"/>
                  <w:rFonts w:cstheme="minorHAnsi"/>
                  <w:sz w:val="18"/>
                  <w:szCs w:val="18"/>
                </w:rPr>
                <w:t>https://bnasr.github.io/droughteye</w:t>
              </w:r>
            </w:hyperlink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42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8F04E2">
        <w:trPr>
          <w:cantSplit/>
          <w:trHeight w:val="891"/>
        </w:trPr>
        <w:tc>
          <w:tcPr>
            <w:tcW w:w="809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855B3C7" w14:textId="1054668A" w:rsidR="00E5595E" w:rsidRPr="000A358F" w:rsidRDefault="00C727C6" w:rsidP="004F3156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Engineer</w:t>
            </w:r>
            <w:r w:rsidR="004F315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Iran</w:t>
            </w:r>
          </w:p>
          <w:p w14:paraId="42BDF2EB" w14:textId="77799F9D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Led the backend 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development team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(C/C++/C# and Fortran) for Par</w:t>
            </w:r>
          </w:p>
          <w:p w14:paraId="3F822D85" w14:textId="635F85D0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Managed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development and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R&amp;D projects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for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the oil and gas industry</w:t>
            </w:r>
          </w:p>
          <w:p w14:paraId="6F4F5D93" w14:textId="7A37CC9D" w:rsidR="00E5595E" w:rsidRPr="00447F72" w:rsidRDefault="00E5595E" w:rsidP="00447F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of multiphase flow in porous media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and the 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Energy Performance and Assessment Tools</w:t>
            </w:r>
          </w:p>
        </w:tc>
        <w:tc>
          <w:tcPr>
            <w:tcW w:w="1142" w:type="dxa"/>
            <w:vAlign w:val="center"/>
          </w:tcPr>
          <w:p w14:paraId="52C5C7FD" w14:textId="042C938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</w:t>
            </w:r>
            <w:r w:rsidR="00447F7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4</w:t>
            </w: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-2011</w:t>
            </w:r>
          </w:p>
        </w:tc>
      </w:tr>
      <w:tr w:rsidR="005136AB" w:rsidRPr="000A358F" w14:paraId="468D7EA1" w14:textId="77777777" w:rsidTr="005136AB">
        <w:trPr>
          <w:cantSplit/>
          <w:trHeight w:val="993"/>
        </w:trPr>
        <w:tc>
          <w:tcPr>
            <w:tcW w:w="809" w:type="dxa"/>
            <w:vMerge/>
            <w:textDirection w:val="btLr"/>
          </w:tcPr>
          <w:p w14:paraId="36C82052" w14:textId="77777777" w:rsidR="005136AB" w:rsidRPr="00AD51B4" w:rsidRDefault="005136AB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3B0E4F9E" w14:textId="77777777" w:rsidR="005136AB" w:rsidRDefault="005136AB" w:rsidP="00D12A3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Design Engineer,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2F113EE2" w14:textId="77777777" w:rsidR="005136AB" w:rsidRDefault="005136AB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368CC414" w14:textId="43A63FD0" w:rsidR="005136AB" w:rsidRPr="005136AB" w:rsidRDefault="005136AB" w:rsidP="00A81B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142" w:type="dxa"/>
            <w:vAlign w:val="center"/>
          </w:tcPr>
          <w:p w14:paraId="514B0862" w14:textId="6C6A7C92" w:rsidR="005136AB" w:rsidRPr="00E5595E" w:rsidRDefault="005136AB" w:rsidP="00415498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9E1E66">
        <w:trPr>
          <w:cantSplit/>
          <w:trHeight w:val="355"/>
        </w:trPr>
        <w:tc>
          <w:tcPr>
            <w:tcW w:w="809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AWARDS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9E1E66">
        <w:trPr>
          <w:cantSplit/>
          <w:trHeight w:val="355"/>
        </w:trPr>
        <w:tc>
          <w:tcPr>
            <w:tcW w:w="809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42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9E1E66">
        <w:trPr>
          <w:cantSplit/>
          <w:trHeight w:val="432"/>
        </w:trPr>
        <w:tc>
          <w:tcPr>
            <w:tcW w:w="809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42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9E1E66">
        <w:trPr>
          <w:cantSplit/>
          <w:trHeight w:val="265"/>
        </w:trPr>
        <w:tc>
          <w:tcPr>
            <w:tcW w:w="809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42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C00D38">
        <w:trPr>
          <w:cantSplit/>
          <w:trHeight w:val="441"/>
        </w:trPr>
        <w:tc>
          <w:tcPr>
            <w:tcW w:w="809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42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C00D38" w:rsidRPr="000A358F" w14:paraId="508DF894" w14:textId="77777777" w:rsidTr="00C00D38">
        <w:trPr>
          <w:cantSplit/>
          <w:trHeight w:val="346"/>
        </w:trPr>
        <w:tc>
          <w:tcPr>
            <w:tcW w:w="809" w:type="dxa"/>
            <w:vMerge w:val="restart"/>
            <w:textDirection w:val="btLr"/>
          </w:tcPr>
          <w:p w14:paraId="3E349D4A" w14:textId="1F9037C1" w:rsidR="00C00D38" w:rsidRPr="00AD51B4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LED WORKSHOPS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382EB6A" w14:textId="0C7F60AC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Fusion: Combining Image and Timeseries Data, (Boulder, CO, 2019)</w:t>
            </w:r>
          </w:p>
        </w:tc>
      </w:tr>
      <w:tr w:rsidR="00C00D38" w:rsidRPr="000A358F" w14:paraId="501A4EA8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4DE08EB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508DD30" w14:textId="198983B3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Beyond Data: Navigating NEON Data, (Louisville, KY, 2019)</w:t>
            </w:r>
          </w:p>
        </w:tc>
      </w:tr>
      <w:tr w:rsidR="00C00D38" w:rsidRPr="000A358F" w14:paraId="4BB1D9C7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1C48632B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20111DD3" w14:textId="7C7DB7F7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New Advances in Modeling: Introduction to PhenoCam Data Products and Software Tools</w:t>
            </w:r>
            <w:r w:rsidR="002F77F0"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(Flagstaff, AZ, 2019)</w:t>
            </w:r>
          </w:p>
        </w:tc>
      </w:tr>
      <w:tr w:rsidR="00C00D38" w:rsidRPr="000A358F" w14:paraId="30ADA799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0FC94FE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74EC84C0" w14:textId="263CECF1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Time-series analysis from image datasets: Introduction to PhenoCam Data Products and Software Tools (Washington, DC, 2018)</w:t>
            </w:r>
          </w:p>
        </w:tc>
      </w:tr>
      <w:tr w:rsidR="00C00D38" w:rsidRPr="000A358F" w14:paraId="65476ED9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1103628A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49E80653" w14:textId="26326EDC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Time-series analysis from image datasets: Introduction to PhenoCam Data Products and Software Tools (Flagstaff, AZ, 2018)</w:t>
            </w:r>
          </w:p>
        </w:tc>
      </w:tr>
      <w:tr w:rsidR="00C00D38" w:rsidRPr="000A358F" w14:paraId="624CCAD3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0746CBA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0D7BD2A5" w14:textId="6DF68B1B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Source Control and Reproducible Science (Flagstaff, AZ, 2018)</w:t>
            </w:r>
          </w:p>
        </w:tc>
      </w:tr>
      <w:tr w:rsidR="00C00D38" w:rsidRPr="000A358F" w14:paraId="57987B5C" w14:textId="77777777" w:rsidTr="00D9037D">
        <w:trPr>
          <w:cantSplit/>
          <w:trHeight w:val="342"/>
        </w:trPr>
        <w:tc>
          <w:tcPr>
            <w:tcW w:w="809" w:type="dxa"/>
            <w:vMerge/>
            <w:textDirection w:val="btLr"/>
          </w:tcPr>
          <w:p w14:paraId="370DDF8D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2A45ECC1" w14:textId="1E52F6F3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Visual Basic Programming for Engineering (RIPI, 2010-2011)</w:t>
            </w:r>
          </w:p>
        </w:tc>
      </w:tr>
      <w:tr w:rsidR="006D4DCF" w:rsidRPr="000A358F" w14:paraId="6C42D4BA" w14:textId="77777777" w:rsidTr="00D9037D">
        <w:trPr>
          <w:cantSplit/>
          <w:trHeight w:val="3930"/>
        </w:trPr>
        <w:tc>
          <w:tcPr>
            <w:tcW w:w="809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619E6E73" w:rsidR="00A50E8B" w:rsidRPr="00A50E8B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>
              <w:t xml:space="preserve"> </w:t>
            </w:r>
            <w:hyperlink r:id="rId12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https://doi.org/10.1029/2020GL087626</w:t>
              </w:r>
            </w:hyperlink>
          </w:p>
          <w:p w14:paraId="5FA35545" w14:textId="70B818DB" w:rsidR="006D4DCF" w:rsidRPr="00A50E8B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,</w:t>
            </w:r>
            <w:r w:rsidR="00A31A3A" w:rsidRPr="00A31A3A">
              <w:t xml:space="preserve"> </w:t>
            </w:r>
            <w:hyperlink r:id="rId13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https://doi.org/10.1029/2019GL086788</w:t>
              </w:r>
            </w:hyperlink>
          </w:p>
          <w:p w14:paraId="180B1E45" w14:textId="793526BC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“Tracking vegetation phenology across diverse biomes using PhenoCam imagery: The PhenoCam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</w:t>
            </w:r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a, </w:t>
            </w:r>
            <w:hyperlink r:id="rId14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https://doi.org/10.1038/s41597-019-0229-9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7DC4AE33" w14:textId="73760A23" w:rsidR="00A50E8B" w:rsidRPr="00A50E8B" w:rsidRDefault="00A50E8B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[116 co-authors]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. PhenoCam Dataset v2.0: Vegetation Phenology from Digital Camera Imagery, 2000-2018. ORNL DAAC, Oak Ridge, Tennessee, USA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>
              <w:t xml:space="preserve"> </w:t>
            </w:r>
            <w:hyperlink r:id="rId15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https://doi.org/10.3334/ORNLDAAC/1674</w:t>
              </w:r>
            </w:hyperlink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7D950D9C" w14:textId="2A4BF6A4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“Data extraction from digital repeat photography using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</w:t>
            </w:r>
            <w:r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sing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 w:rsidRPr="00A31A3A">
              <w:t xml:space="preserve"> </w:t>
            </w:r>
            <w:hyperlink r:id="rId16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https://doi.org/10.1016/j.isprsjprs.2019.04.009</w:t>
              </w:r>
            </w:hyperlink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5A3823FD" w14:textId="420657F2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A31A3A" w:rsidRPr="00A31A3A">
              <w:t xml:space="preserve"> </w:t>
            </w:r>
            <w:hyperlink r:id="rId17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https://doi.org/10.1016/j.agrformet.2019.02.016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36C986BD" w14:textId="778DD4DB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</w:t>
            </w:r>
            <w:r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nt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A31A3A" w:rsidRPr="00A31A3A">
              <w:t xml:space="preserve"> </w:t>
            </w:r>
            <w:hyperlink r:id="rId18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https://doi.org/10.1016/j.rse.2018.02.059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</w:tc>
      </w:tr>
      <w:tr w:rsidR="006D4DCF" w:rsidRPr="000A358F" w14:paraId="40B015BC" w14:textId="77777777" w:rsidTr="00D9037D">
        <w:trPr>
          <w:cantSplit/>
          <w:trHeight w:val="2679"/>
        </w:trPr>
        <w:tc>
          <w:tcPr>
            <w:tcW w:w="809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17CD7D1C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6D4DCF" w:rsidRPr="000A358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6D4DCF" w:rsidRPr="000A358F" w14:paraId="3F98730E" w14:textId="77777777" w:rsidTr="00D9037D">
        <w:trPr>
          <w:trHeight w:val="2301"/>
        </w:trPr>
        <w:tc>
          <w:tcPr>
            <w:tcW w:w="809" w:type="dxa"/>
            <w:textDirection w:val="btLr"/>
          </w:tcPr>
          <w:p w14:paraId="65973BB7" w14:textId="400DCAE4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REFREE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27B0C4D4" w:rsidR="006D4DCF" w:rsidRPr="00A50E8B" w:rsidRDefault="00413FA8" w:rsidP="00D9037D">
            <w:pPr>
              <w:spacing w:line="276" w:lineRule="auto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="00A50E8B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for the following journals:</w:t>
            </w:r>
          </w:p>
          <w:p w14:paraId="75DAD875" w14:textId="127C27C1" w:rsidR="006D4DCF" w:rsidRPr="000A358F" w:rsidRDefault="006D4DCF" w:rsidP="00D9037D">
            <w:pPr>
              <w:spacing w:line="276" w:lineRule="auto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42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E33B32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19"/>
      <w:footerReference w:type="default" r:id="rId20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43010" w14:textId="77777777" w:rsidR="00523074" w:rsidRDefault="00523074" w:rsidP="005E0BA9">
      <w:r>
        <w:separator/>
      </w:r>
    </w:p>
  </w:endnote>
  <w:endnote w:type="continuationSeparator" w:id="0">
    <w:p w14:paraId="419EEAD3" w14:textId="77777777" w:rsidR="00523074" w:rsidRDefault="00523074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</w:t>
    </w:r>
    <w:proofErr w:type="spellStart"/>
    <w:r w:rsidRPr="00E5595E">
      <w:rPr>
        <w:rFonts w:asciiTheme="majorHAnsi" w:hAnsiTheme="majorHAnsi" w:cstheme="majorHAnsi"/>
        <w:sz w:val="16"/>
        <w:szCs w:val="16"/>
      </w:rPr>
      <w:t>Seyednasrollah’s</w:t>
    </w:r>
    <w:proofErr w:type="spellEnd"/>
    <w:r w:rsidRPr="00E5595E">
      <w:rPr>
        <w:rFonts w:asciiTheme="majorHAnsi" w:hAnsiTheme="majorHAnsi" w:cstheme="majorHAnsi"/>
        <w:sz w:val="16"/>
        <w:szCs w:val="16"/>
      </w:rPr>
      <w:t xml:space="preserve">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F4946" w14:textId="77777777" w:rsidR="00523074" w:rsidRDefault="00523074" w:rsidP="005E0BA9">
      <w:r>
        <w:separator/>
      </w:r>
    </w:p>
  </w:footnote>
  <w:footnote w:type="continuationSeparator" w:id="0">
    <w:p w14:paraId="0E793E20" w14:textId="77777777" w:rsidR="00523074" w:rsidRDefault="00523074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0EB8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1C8"/>
    <w:rsid w:val="00067767"/>
    <w:rsid w:val="00067809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452A"/>
    <w:rsid w:val="000D5376"/>
    <w:rsid w:val="000F6CD9"/>
    <w:rsid w:val="001013CD"/>
    <w:rsid w:val="00101CE9"/>
    <w:rsid w:val="00101FAC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46B6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07CFE"/>
    <w:rsid w:val="00210FE1"/>
    <w:rsid w:val="002118C4"/>
    <w:rsid w:val="002319FA"/>
    <w:rsid w:val="00233DB3"/>
    <w:rsid w:val="00237254"/>
    <w:rsid w:val="002403B7"/>
    <w:rsid w:val="002445DE"/>
    <w:rsid w:val="00247A8E"/>
    <w:rsid w:val="00260533"/>
    <w:rsid w:val="002636E0"/>
    <w:rsid w:val="002661B1"/>
    <w:rsid w:val="00274D3B"/>
    <w:rsid w:val="00277B36"/>
    <w:rsid w:val="00280593"/>
    <w:rsid w:val="002859F0"/>
    <w:rsid w:val="00286114"/>
    <w:rsid w:val="00287F65"/>
    <w:rsid w:val="00290019"/>
    <w:rsid w:val="00295963"/>
    <w:rsid w:val="002977F3"/>
    <w:rsid w:val="002A62A4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E74BE"/>
    <w:rsid w:val="002F4368"/>
    <w:rsid w:val="002F77F0"/>
    <w:rsid w:val="00314344"/>
    <w:rsid w:val="00314950"/>
    <w:rsid w:val="00315088"/>
    <w:rsid w:val="003151D1"/>
    <w:rsid w:val="00322690"/>
    <w:rsid w:val="003246DB"/>
    <w:rsid w:val="00335D60"/>
    <w:rsid w:val="00340657"/>
    <w:rsid w:val="003411BA"/>
    <w:rsid w:val="00343355"/>
    <w:rsid w:val="00347A91"/>
    <w:rsid w:val="003531B3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7A6"/>
    <w:rsid w:val="003E69C1"/>
    <w:rsid w:val="003E73AF"/>
    <w:rsid w:val="003F4E02"/>
    <w:rsid w:val="003F5591"/>
    <w:rsid w:val="00400B62"/>
    <w:rsid w:val="00403357"/>
    <w:rsid w:val="004059A1"/>
    <w:rsid w:val="00413FA8"/>
    <w:rsid w:val="00415719"/>
    <w:rsid w:val="00415CE9"/>
    <w:rsid w:val="004167CC"/>
    <w:rsid w:val="004210CF"/>
    <w:rsid w:val="00422EFF"/>
    <w:rsid w:val="004366CB"/>
    <w:rsid w:val="00442EA3"/>
    <w:rsid w:val="00444D2E"/>
    <w:rsid w:val="00447C72"/>
    <w:rsid w:val="00447F72"/>
    <w:rsid w:val="004503E1"/>
    <w:rsid w:val="004529C1"/>
    <w:rsid w:val="0045406F"/>
    <w:rsid w:val="00454515"/>
    <w:rsid w:val="00463A4A"/>
    <w:rsid w:val="00475239"/>
    <w:rsid w:val="00477035"/>
    <w:rsid w:val="00480CA9"/>
    <w:rsid w:val="00481BEA"/>
    <w:rsid w:val="004828FC"/>
    <w:rsid w:val="004924CD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3156"/>
    <w:rsid w:val="004F5A81"/>
    <w:rsid w:val="004F7896"/>
    <w:rsid w:val="00504CBB"/>
    <w:rsid w:val="00507AFB"/>
    <w:rsid w:val="00507E07"/>
    <w:rsid w:val="00510439"/>
    <w:rsid w:val="005136AB"/>
    <w:rsid w:val="00515608"/>
    <w:rsid w:val="00515F8C"/>
    <w:rsid w:val="00517004"/>
    <w:rsid w:val="00522F57"/>
    <w:rsid w:val="00523074"/>
    <w:rsid w:val="00534606"/>
    <w:rsid w:val="00534EF4"/>
    <w:rsid w:val="00537A7E"/>
    <w:rsid w:val="0054771F"/>
    <w:rsid w:val="005501DC"/>
    <w:rsid w:val="00550845"/>
    <w:rsid w:val="0055253A"/>
    <w:rsid w:val="00553D2B"/>
    <w:rsid w:val="005574D5"/>
    <w:rsid w:val="0056346A"/>
    <w:rsid w:val="00563732"/>
    <w:rsid w:val="00566F52"/>
    <w:rsid w:val="00567902"/>
    <w:rsid w:val="005704A1"/>
    <w:rsid w:val="00573971"/>
    <w:rsid w:val="00590A91"/>
    <w:rsid w:val="005916A6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02580"/>
    <w:rsid w:val="006116A4"/>
    <w:rsid w:val="00613B05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041E"/>
    <w:rsid w:val="006D4DCF"/>
    <w:rsid w:val="006D6927"/>
    <w:rsid w:val="006E1E13"/>
    <w:rsid w:val="006E33F4"/>
    <w:rsid w:val="006E5367"/>
    <w:rsid w:val="006F4ACF"/>
    <w:rsid w:val="00701937"/>
    <w:rsid w:val="00710BC6"/>
    <w:rsid w:val="00711979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B4AC5"/>
    <w:rsid w:val="007C17A0"/>
    <w:rsid w:val="007D2EB1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16529"/>
    <w:rsid w:val="00831B63"/>
    <w:rsid w:val="00835412"/>
    <w:rsid w:val="008407EB"/>
    <w:rsid w:val="008457EB"/>
    <w:rsid w:val="00851D94"/>
    <w:rsid w:val="00854CC9"/>
    <w:rsid w:val="00860F82"/>
    <w:rsid w:val="008640EB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E7333"/>
    <w:rsid w:val="008F04E2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67FCA"/>
    <w:rsid w:val="00970EB5"/>
    <w:rsid w:val="00973358"/>
    <w:rsid w:val="009742D2"/>
    <w:rsid w:val="009753A7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1E66"/>
    <w:rsid w:val="009E4E87"/>
    <w:rsid w:val="009E70A3"/>
    <w:rsid w:val="009F644A"/>
    <w:rsid w:val="00A03542"/>
    <w:rsid w:val="00A044EF"/>
    <w:rsid w:val="00A05066"/>
    <w:rsid w:val="00A066CB"/>
    <w:rsid w:val="00A102CB"/>
    <w:rsid w:val="00A1210D"/>
    <w:rsid w:val="00A140A8"/>
    <w:rsid w:val="00A15E2A"/>
    <w:rsid w:val="00A27297"/>
    <w:rsid w:val="00A31A3A"/>
    <w:rsid w:val="00A40801"/>
    <w:rsid w:val="00A47AE6"/>
    <w:rsid w:val="00A50E8B"/>
    <w:rsid w:val="00A51975"/>
    <w:rsid w:val="00A54146"/>
    <w:rsid w:val="00A6007C"/>
    <w:rsid w:val="00A61398"/>
    <w:rsid w:val="00A61C6E"/>
    <w:rsid w:val="00A64E12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2420"/>
    <w:rsid w:val="00AD51B4"/>
    <w:rsid w:val="00AE03B8"/>
    <w:rsid w:val="00AE2E7E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0A8E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65A9"/>
    <w:rsid w:val="00B9787E"/>
    <w:rsid w:val="00BA055B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00D3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41F"/>
    <w:rsid w:val="00C537C0"/>
    <w:rsid w:val="00C61A11"/>
    <w:rsid w:val="00C63B3E"/>
    <w:rsid w:val="00C66DDB"/>
    <w:rsid w:val="00C67E97"/>
    <w:rsid w:val="00C727C6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C4E71"/>
    <w:rsid w:val="00CD7FB4"/>
    <w:rsid w:val="00D018B6"/>
    <w:rsid w:val="00D040B7"/>
    <w:rsid w:val="00D0428D"/>
    <w:rsid w:val="00D059D0"/>
    <w:rsid w:val="00D10C81"/>
    <w:rsid w:val="00D1111A"/>
    <w:rsid w:val="00D12A3E"/>
    <w:rsid w:val="00D13325"/>
    <w:rsid w:val="00D14547"/>
    <w:rsid w:val="00D21CD4"/>
    <w:rsid w:val="00D32358"/>
    <w:rsid w:val="00D32C33"/>
    <w:rsid w:val="00D34B77"/>
    <w:rsid w:val="00D45621"/>
    <w:rsid w:val="00D6104F"/>
    <w:rsid w:val="00D63E50"/>
    <w:rsid w:val="00D70C90"/>
    <w:rsid w:val="00D9037D"/>
    <w:rsid w:val="00D90F7B"/>
    <w:rsid w:val="00D961B3"/>
    <w:rsid w:val="00DA4A40"/>
    <w:rsid w:val="00DB08F8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02C2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240DA"/>
    <w:rsid w:val="00E33B32"/>
    <w:rsid w:val="00E352E2"/>
    <w:rsid w:val="00E4023D"/>
    <w:rsid w:val="00E41391"/>
    <w:rsid w:val="00E419B4"/>
    <w:rsid w:val="00E43172"/>
    <w:rsid w:val="00E464DE"/>
    <w:rsid w:val="00E510F5"/>
    <w:rsid w:val="00E52387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3579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4FE9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0AE0"/>
    <w:rsid w:val="00EF2AB8"/>
    <w:rsid w:val="00EF7986"/>
    <w:rsid w:val="00F00C2C"/>
    <w:rsid w:val="00F070A0"/>
    <w:rsid w:val="00F0749F"/>
    <w:rsid w:val="00F10E76"/>
    <w:rsid w:val="00F12140"/>
    <w:rsid w:val="00F12F36"/>
    <w:rsid w:val="00F16F37"/>
    <w:rsid w:val="00F26EA5"/>
    <w:rsid w:val="00F369FF"/>
    <w:rsid w:val="00F45250"/>
    <w:rsid w:val="00F45B09"/>
    <w:rsid w:val="00F47EA1"/>
    <w:rsid w:val="00F50099"/>
    <w:rsid w:val="00F5123F"/>
    <w:rsid w:val="00F57070"/>
    <w:rsid w:val="00F57C36"/>
    <w:rsid w:val="00F75903"/>
    <w:rsid w:val="00F8101C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C28F4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bnasr" TargetMode="External"/><Relationship Id="rId13" Type="http://schemas.openxmlformats.org/officeDocument/2006/relationships/hyperlink" Target="https://doi.org/10.1029/2019GL086788" TargetMode="External"/><Relationship Id="rId18" Type="http://schemas.openxmlformats.org/officeDocument/2006/relationships/hyperlink" Target="https://doi.org/10.1016/j.rse.2018.02.05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s://doi.org/10.1029/2020GL087626" TargetMode="External"/><Relationship Id="rId17" Type="http://schemas.openxmlformats.org/officeDocument/2006/relationships/hyperlink" Target="https://doi.org/10.1016/j.agrformet.2019.02.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isprsjprs.2019.04.009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nasr.github.io/droughtey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34/ORNLDAAC/1674" TargetMode="External"/><Relationship Id="rId10" Type="http://schemas.openxmlformats.org/officeDocument/2006/relationships/hyperlink" Target="https://scholar.google.com/citations?user=re2zPdEAAAAJ&amp;hl=e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jan-seyednasrollah-70067743/" TargetMode="External"/><Relationship Id="rId14" Type="http://schemas.openxmlformats.org/officeDocument/2006/relationships/hyperlink" Target="https://doi.org/10.1038/s41597-019-0229-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126</cp:revision>
  <cp:lastPrinted>2020-10-07T23:20:00Z</cp:lastPrinted>
  <dcterms:created xsi:type="dcterms:W3CDTF">2020-02-27T07:06:00Z</dcterms:created>
  <dcterms:modified xsi:type="dcterms:W3CDTF">2020-11-10T21:16:00Z</dcterms:modified>
</cp:coreProperties>
</file>