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94960" cy="1556238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lusive-logo-light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155623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Inter" w:hAnsi="Inter"/>
          <w:b/>
          <w:color w:val="245A9A"/>
          <w:sz w:val="22"/>
        </w:rPr>
        <w:t>DEVELOPER DESIGN SYSTEM</w:t>
      </w:r>
    </w:p>
    <w:p>
      <w:pPr>
        <w:jc w:val="center"/>
      </w:pPr>
      <w:r>
        <w:rPr>
          <w:rFonts w:ascii="Inter" w:hAnsi="Inter"/>
          <w:i/>
          <w:color w:val="40566C"/>
          <w:sz w:val="30"/>
        </w:rPr>
        <w:t>Precise analysis. Invisible by design.</w:t>
      </w:r>
    </w:p>
    <w:p>
      <w:pPr>
        <w:jc w:val="center"/>
      </w:pPr>
      <w:r>
        <w:rPr>
          <w:rFonts w:ascii="Inter" w:hAnsi="Inter"/>
          <w:color w:val="6E8193"/>
          <w:sz w:val="18"/>
        </w:rPr>
        <w:t>Version 1.0.0  •  Rust-ready visual tokens  •  July 2026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592"/>
        <w:gridCol w:w="2592"/>
        <w:gridCol w:w="2592"/>
        <w:gridCol w:w="2592"/>
      </w:tblGrid>
      <w:tr>
        <w:tc>
          <w:tcPr>
            <w:tcW w:type="dxa" w:w="2592"/>
            <w:shd w:fill="EAF4FC"/>
            <w:vAlign w:val="center"/>
            <w:tcBorders>
              <w:top w:val="single" w:sz="4" w:color="D7E1EA"/>
              <w:left w:val="single" w:sz="4" w:color="D7E1EA"/>
              <w:bottom w:val="single" w:sz="4" w:color="D7E1EA"/>
              <w:right w:val="single" w:sz="4" w:color="D7E1EA"/>
            </w:tcBorders>
          </w:tcPr>
          <w:p>
            <w:pPr>
              <w:jc w:val="center"/>
            </w:pPr>
            <w:r>
              <w:rPr>
                <w:b/>
                <w:color w:val="245A9A"/>
                <w:sz w:val="18"/>
              </w:rPr>
              <w:t>PRECISE</w:t>
              <w:br/>
            </w:r>
            <w:r>
              <w:rPr>
                <w:color w:val="40566C"/>
                <w:sz w:val="16"/>
              </w:rPr>
              <w:t>Exact geometry</w:t>
            </w:r>
          </w:p>
        </w:tc>
        <w:tc>
          <w:tcPr>
            <w:tcW w:type="dxa" w:w="2592"/>
            <w:shd w:fill="EAF4FC"/>
            <w:vAlign w:val="center"/>
            <w:tcBorders>
              <w:top w:val="single" w:sz="4" w:color="D7E1EA"/>
              <w:left w:val="single" w:sz="4" w:color="D7E1EA"/>
              <w:bottom w:val="single" w:sz="4" w:color="D7E1EA"/>
              <w:right w:val="single" w:sz="4" w:color="D7E1EA"/>
            </w:tcBorders>
          </w:tcPr>
          <w:p>
            <w:pPr>
              <w:jc w:val="center"/>
            </w:pPr>
            <w:r>
              <w:rPr>
                <w:b/>
                <w:color w:val="245A9A"/>
                <w:sz w:val="18"/>
              </w:rPr>
              <w:t>RELIABLE</w:t>
              <w:br/>
            </w:r>
            <w:r>
              <w:rPr>
                <w:color w:val="40566C"/>
                <w:sz w:val="16"/>
              </w:rPr>
              <w:t>Explicit states</w:t>
            </w:r>
          </w:p>
        </w:tc>
        <w:tc>
          <w:tcPr>
            <w:tcW w:type="dxa" w:w="2592"/>
            <w:shd w:fill="EAF4FC"/>
            <w:vAlign w:val="center"/>
            <w:tcBorders>
              <w:top w:val="single" w:sz="4" w:color="D7E1EA"/>
              <w:left w:val="single" w:sz="4" w:color="D7E1EA"/>
              <w:bottom w:val="single" w:sz="4" w:color="D7E1EA"/>
              <w:right w:val="single" w:sz="4" w:color="D7E1EA"/>
            </w:tcBorders>
          </w:tcPr>
          <w:p>
            <w:pPr>
              <w:jc w:val="center"/>
            </w:pPr>
            <w:r>
              <w:rPr>
                <w:b/>
                <w:color w:val="245A9A"/>
                <w:sz w:val="18"/>
              </w:rPr>
              <w:t>PURE</w:t>
              <w:br/>
            </w:r>
            <w:r>
              <w:rPr>
                <w:color w:val="40566C"/>
                <w:sz w:val="16"/>
              </w:rPr>
              <w:t>Minimal chrome</w:t>
            </w:r>
          </w:p>
        </w:tc>
        <w:tc>
          <w:tcPr>
            <w:tcW w:type="dxa" w:w="2592"/>
            <w:shd w:fill="EAF4FC"/>
            <w:vAlign w:val="center"/>
            <w:tcBorders>
              <w:top w:val="single" w:sz="4" w:color="D7E1EA"/>
              <w:left w:val="single" w:sz="4" w:color="D7E1EA"/>
              <w:bottom w:val="single" w:sz="4" w:color="D7E1EA"/>
              <w:right w:val="single" w:sz="4" w:color="D7E1EA"/>
            </w:tcBorders>
          </w:tcPr>
          <w:p>
            <w:pPr>
              <w:jc w:val="center"/>
            </w:pPr>
            <w:r>
              <w:rPr>
                <w:b/>
                <w:color w:val="245A9A"/>
                <w:sz w:val="18"/>
              </w:rPr>
              <w:t>INVISIBLE</w:t>
              <w:br/>
            </w:r>
            <w:r>
              <w:rPr>
                <w:color w:val="40566C"/>
                <w:sz w:val="16"/>
              </w:rPr>
              <w:t>Data first</w:t>
            </w:r>
          </w:p>
        </w:tc>
      </w:tr>
    </w:tbl>
    <w:p>
      <w:r>
        <w:br w:type="page"/>
      </w:r>
    </w:p>
    <w:p>
      <w:pPr>
        <w:pStyle w:val="Heading1"/>
      </w:pPr>
      <w:r>
        <w:t>1. Operating principle</w:t>
      </w:r>
    </w:p>
    <w:p>
      <w:pPr>
        <w:spacing w:after="160"/>
      </w:pPr>
      <w:r>
        <w:t>EluSive is a visual system for scientific chromatography software. The interface should recede so chromatograms, distinct peaks, integrations, and analytical decisions remain visually dominant.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shd w:fill="07111F"/>
          </w:tcPr>
          <w:p>
            <w:pPr>
              <w:jc w:val="center"/>
            </w:pPr>
            <w:r>
              <w:rPr>
                <w:rFonts w:ascii="Inter" w:hAnsi="Inter"/>
                <w:b/>
                <w:color w:val="FFFFFF"/>
                <w:sz w:val="26"/>
              </w:rPr>
              <w:t>INVISIBLE CHROME  •  EXPRESSIVE DATA</w:t>
            </w:r>
          </w:p>
        </w:tc>
      </w:tr>
    </w:tbl>
    <w:p>
      <w:pPr>
        <w:pStyle w:val="Heading2"/>
      </w:pPr>
      <w:r>
        <w:t>Precise</w:t>
      </w:r>
    </w:p>
    <w:p>
      <w:r>
        <w:t>Use exact alignment, consistent spacing, stable number formatting, and unambiguous selection states.</w:t>
      </w:r>
    </w:p>
    <w:p>
      <w:pPr>
        <w:pStyle w:val="Heading2"/>
      </w:pPr>
      <w:r>
        <w:t>Reliable</w:t>
      </w:r>
    </w:p>
    <w:p>
      <w:r>
        <w:t>Never hide the current method, baseline, integration boundaries, units, or unsaved state.</w:t>
      </w:r>
    </w:p>
    <w:p>
      <w:pPr>
        <w:pStyle w:val="Heading2"/>
      </w:pPr>
      <w:r>
        <w:t>Pure</w:t>
      </w:r>
    </w:p>
    <w:p>
      <w:r>
        <w:t>Prefer flat surfaces, restrained borders, and whitespace over gradients, glow, and decorative shadows.</w:t>
      </w:r>
    </w:p>
    <w:p>
      <w:pPr>
        <w:pStyle w:val="Heading2"/>
      </w:pPr>
      <w:r>
        <w:t>Invisible</w:t>
      </w:r>
    </w:p>
    <w:p>
      <w:r>
        <w:t>The application shell stays quiet. The trace and analytical annotations receive the visual emphasis.</w:t>
      </w:r>
    </w:p>
    <w:p>
      <w:pPr>
        <w:pStyle w:val="Heading2"/>
      </w:pPr>
      <w:r>
        <w:t>Logo rule</w:t>
      </w:r>
    </w:p>
    <w:p>
      <w:r>
        <w:t>The logo mark is a three-peak chromatogram on a quiet baseline. Use the full wordmark for splash screens and documents; use the mark alone for the application icon and compact navigation. Never place the logo inside the plotting area.</w:t>
      </w:r>
    </w:p>
    <w:p>
      <w:pPr>
        <w:pStyle w:val="Heading1"/>
      </w:pPr>
      <w:r>
        <w:t>2. Typography</w:t>
      </w:r>
    </w:p>
    <w:p>
      <w:r>
        <w:t>Primary UI font: Inter. Monospaced data and code font: JetBrains Mono. Both are open, highly legible, and work well in dense scientific interfaces.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74"/>
        <w:gridCol w:w="2074"/>
        <w:gridCol w:w="2074"/>
        <w:gridCol w:w="2074"/>
        <w:gridCol w:w="2074"/>
      </w:tblGrid>
      <w:tr>
        <w:trPr>
          <w:tblHeader w:val="true"/>
        </w:trPr>
        <w:tc>
          <w:tcPr>
            <w:tcW w:type="dxa" w:w="2074"/>
            <w:shd w:fill="0D1B2A"/>
          </w:tcPr>
          <w:p>
            <w:r>
              <w:rPr>
                <w:color w:val="FFFFFF"/>
              </w:rPr>
              <w:t>Role</w:t>
            </w:r>
          </w:p>
        </w:tc>
        <w:tc>
          <w:tcPr>
            <w:tcW w:type="dxa" w:w="2074"/>
            <w:shd w:fill="0D1B2A"/>
          </w:tcPr>
          <w:p>
            <w:r>
              <w:rPr>
                <w:color w:val="FFFFFF"/>
              </w:rPr>
              <w:t>Font</w:t>
            </w:r>
          </w:p>
        </w:tc>
        <w:tc>
          <w:tcPr>
            <w:tcW w:type="dxa" w:w="2074"/>
            <w:shd w:fill="0D1B2A"/>
          </w:tcPr>
          <w:p>
            <w:r>
              <w:rPr>
                <w:color w:val="FFFFFF"/>
              </w:rPr>
              <w:t>Size</w:t>
            </w:r>
          </w:p>
        </w:tc>
        <w:tc>
          <w:tcPr>
            <w:tcW w:type="dxa" w:w="2074"/>
            <w:shd w:fill="0D1B2A"/>
          </w:tcPr>
          <w:p>
            <w:r>
              <w:rPr>
                <w:color w:val="FFFFFF"/>
              </w:rPr>
              <w:t>Weight</w:t>
            </w:r>
          </w:p>
        </w:tc>
        <w:tc>
          <w:tcPr>
            <w:tcW w:type="dxa" w:w="2074"/>
            <w:shd w:fill="0D1B2A"/>
          </w:tcPr>
          <w:p>
            <w:r>
              <w:rPr>
                <w:color w:val="FFFFFF"/>
              </w:rPr>
              <w:t>Use</w:t>
            </w:r>
          </w:p>
        </w:tc>
      </w:tr>
      <w:tr>
        <w:tc>
          <w:tcPr>
            <w:tcW w:type="dxa" w:w="2074"/>
            <w:vAlign w:val="center"/>
          </w:tcPr>
          <w:p>
            <w:r>
              <w:t>Display</w:t>
            </w:r>
          </w:p>
        </w:tc>
        <w:tc>
          <w:tcPr>
            <w:tcW w:type="dxa" w:w="2074"/>
            <w:vAlign w:val="center"/>
          </w:tcPr>
          <w:p>
            <w:r>
              <w:t>Inter</w:t>
            </w:r>
          </w:p>
        </w:tc>
        <w:tc>
          <w:tcPr>
            <w:tcW w:type="dxa" w:w="2074"/>
            <w:vAlign w:val="center"/>
          </w:tcPr>
          <w:p>
            <w:r>
              <w:t>32 px</w:t>
            </w:r>
          </w:p>
        </w:tc>
        <w:tc>
          <w:tcPr>
            <w:tcW w:type="dxa" w:w="2074"/>
            <w:vAlign w:val="center"/>
          </w:tcPr>
          <w:p>
            <w:r>
              <w:t>500</w:t>
            </w:r>
          </w:p>
        </w:tc>
        <w:tc>
          <w:tcPr>
            <w:tcW w:type="dxa" w:w="2074"/>
            <w:vAlign w:val="center"/>
          </w:tcPr>
          <w:p>
            <w:r>
              <w:t>Splash and empty states</w:t>
            </w:r>
          </w:p>
        </w:tc>
      </w:tr>
      <w:tr>
        <w:tc>
          <w:tcPr>
            <w:tcW w:type="dxa" w:w="2074"/>
            <w:vAlign w:val="center"/>
          </w:tcPr>
          <w:p>
            <w:r>
              <w:t>H1</w:t>
            </w:r>
          </w:p>
        </w:tc>
        <w:tc>
          <w:tcPr>
            <w:tcW w:type="dxa" w:w="2074"/>
            <w:vAlign w:val="center"/>
          </w:tcPr>
          <w:p>
            <w:r>
              <w:t>Inter</w:t>
            </w:r>
          </w:p>
        </w:tc>
        <w:tc>
          <w:tcPr>
            <w:tcW w:type="dxa" w:w="2074"/>
            <w:vAlign w:val="center"/>
          </w:tcPr>
          <w:p>
            <w:r>
              <w:t>24 px</w:t>
            </w:r>
          </w:p>
        </w:tc>
        <w:tc>
          <w:tcPr>
            <w:tcW w:type="dxa" w:w="2074"/>
            <w:vAlign w:val="center"/>
          </w:tcPr>
          <w:p>
            <w:r>
              <w:t>600</w:t>
            </w:r>
          </w:p>
        </w:tc>
        <w:tc>
          <w:tcPr>
            <w:tcW w:type="dxa" w:w="2074"/>
            <w:vAlign w:val="center"/>
          </w:tcPr>
          <w:p>
            <w:r>
              <w:t>Workspace title</w:t>
            </w:r>
          </w:p>
        </w:tc>
      </w:tr>
      <w:tr>
        <w:tc>
          <w:tcPr>
            <w:tcW w:type="dxa" w:w="2074"/>
            <w:vAlign w:val="center"/>
          </w:tcPr>
          <w:p>
            <w:r>
              <w:t>H2</w:t>
            </w:r>
          </w:p>
        </w:tc>
        <w:tc>
          <w:tcPr>
            <w:tcW w:type="dxa" w:w="2074"/>
            <w:vAlign w:val="center"/>
          </w:tcPr>
          <w:p>
            <w:r>
              <w:t>Inter</w:t>
            </w:r>
          </w:p>
        </w:tc>
        <w:tc>
          <w:tcPr>
            <w:tcW w:type="dxa" w:w="2074"/>
            <w:vAlign w:val="center"/>
          </w:tcPr>
          <w:p>
            <w:r>
              <w:t>20 px</w:t>
            </w:r>
          </w:p>
        </w:tc>
        <w:tc>
          <w:tcPr>
            <w:tcW w:type="dxa" w:w="2074"/>
            <w:vAlign w:val="center"/>
          </w:tcPr>
          <w:p>
            <w:r>
              <w:t>600</w:t>
            </w:r>
          </w:p>
        </w:tc>
        <w:tc>
          <w:tcPr>
            <w:tcW w:type="dxa" w:w="2074"/>
            <w:vAlign w:val="center"/>
          </w:tcPr>
          <w:p>
            <w:r>
              <w:t>Major panels</w:t>
            </w:r>
          </w:p>
        </w:tc>
      </w:tr>
      <w:tr>
        <w:tc>
          <w:tcPr>
            <w:tcW w:type="dxa" w:w="2074"/>
            <w:vAlign w:val="center"/>
          </w:tcPr>
          <w:p>
            <w:r>
              <w:t>H3</w:t>
            </w:r>
          </w:p>
        </w:tc>
        <w:tc>
          <w:tcPr>
            <w:tcW w:type="dxa" w:w="2074"/>
            <w:vAlign w:val="center"/>
          </w:tcPr>
          <w:p>
            <w:r>
              <w:t>Inter</w:t>
            </w:r>
          </w:p>
        </w:tc>
        <w:tc>
          <w:tcPr>
            <w:tcW w:type="dxa" w:w="2074"/>
            <w:vAlign w:val="center"/>
          </w:tcPr>
          <w:p>
            <w:r>
              <w:t>16 px</w:t>
            </w:r>
          </w:p>
        </w:tc>
        <w:tc>
          <w:tcPr>
            <w:tcW w:type="dxa" w:w="2074"/>
            <w:vAlign w:val="center"/>
          </w:tcPr>
          <w:p>
            <w:r>
              <w:t>600</w:t>
            </w:r>
          </w:p>
        </w:tc>
        <w:tc>
          <w:tcPr>
            <w:tcW w:type="dxa" w:w="2074"/>
            <w:vAlign w:val="center"/>
          </w:tcPr>
          <w:p>
            <w:r>
              <w:t>Cards and sections</w:t>
            </w:r>
          </w:p>
        </w:tc>
      </w:tr>
      <w:tr>
        <w:tc>
          <w:tcPr>
            <w:tcW w:type="dxa" w:w="2074"/>
            <w:vAlign w:val="center"/>
          </w:tcPr>
          <w:p>
            <w:r>
              <w:t>Body</w:t>
            </w:r>
          </w:p>
        </w:tc>
        <w:tc>
          <w:tcPr>
            <w:tcW w:type="dxa" w:w="2074"/>
            <w:vAlign w:val="center"/>
          </w:tcPr>
          <w:p>
            <w:r>
              <w:t>Inter</w:t>
            </w:r>
          </w:p>
        </w:tc>
        <w:tc>
          <w:tcPr>
            <w:tcW w:type="dxa" w:w="2074"/>
            <w:vAlign w:val="center"/>
          </w:tcPr>
          <w:p>
            <w:r>
              <w:t>14 px</w:t>
            </w:r>
          </w:p>
        </w:tc>
        <w:tc>
          <w:tcPr>
            <w:tcW w:type="dxa" w:w="2074"/>
            <w:vAlign w:val="center"/>
          </w:tcPr>
          <w:p>
            <w:r>
              <w:t>400</w:t>
            </w:r>
          </w:p>
        </w:tc>
        <w:tc>
          <w:tcPr>
            <w:tcW w:type="dxa" w:w="2074"/>
            <w:vAlign w:val="center"/>
          </w:tcPr>
          <w:p>
            <w:r>
              <w:t>Controls and explanatory text</w:t>
            </w:r>
          </w:p>
        </w:tc>
      </w:tr>
      <w:tr>
        <w:tc>
          <w:tcPr>
            <w:tcW w:type="dxa" w:w="2074"/>
            <w:vAlign w:val="center"/>
          </w:tcPr>
          <w:p>
            <w:r>
              <w:t>Small</w:t>
            </w:r>
          </w:p>
        </w:tc>
        <w:tc>
          <w:tcPr>
            <w:tcW w:type="dxa" w:w="2074"/>
            <w:vAlign w:val="center"/>
          </w:tcPr>
          <w:p>
            <w:r>
              <w:t>Inter</w:t>
            </w:r>
          </w:p>
        </w:tc>
        <w:tc>
          <w:tcPr>
            <w:tcW w:type="dxa" w:w="2074"/>
            <w:vAlign w:val="center"/>
          </w:tcPr>
          <w:p>
            <w:r>
              <w:t>12 px</w:t>
            </w:r>
          </w:p>
        </w:tc>
        <w:tc>
          <w:tcPr>
            <w:tcW w:type="dxa" w:w="2074"/>
            <w:vAlign w:val="center"/>
          </w:tcPr>
          <w:p>
            <w:r>
              <w:t>400/500</w:t>
            </w:r>
          </w:p>
        </w:tc>
        <w:tc>
          <w:tcPr>
            <w:tcW w:type="dxa" w:w="2074"/>
            <w:vAlign w:val="center"/>
          </w:tcPr>
          <w:p>
            <w:r>
              <w:t>Metadata and table headers</w:t>
            </w:r>
          </w:p>
        </w:tc>
      </w:tr>
      <w:tr>
        <w:tc>
          <w:tcPr>
            <w:tcW w:type="dxa" w:w="2074"/>
            <w:vAlign w:val="center"/>
          </w:tcPr>
          <w:p>
            <w:r>
              <w:t>Micro</w:t>
            </w:r>
          </w:p>
        </w:tc>
        <w:tc>
          <w:tcPr>
            <w:tcW w:type="dxa" w:w="2074"/>
            <w:vAlign w:val="center"/>
          </w:tcPr>
          <w:p>
            <w:r>
              <w:t>Inter</w:t>
            </w:r>
          </w:p>
        </w:tc>
        <w:tc>
          <w:tcPr>
            <w:tcW w:type="dxa" w:w="2074"/>
            <w:vAlign w:val="center"/>
          </w:tcPr>
          <w:p>
            <w:r>
              <w:t>11 px</w:t>
            </w:r>
          </w:p>
        </w:tc>
        <w:tc>
          <w:tcPr>
            <w:tcW w:type="dxa" w:w="2074"/>
            <w:vAlign w:val="center"/>
          </w:tcPr>
          <w:p>
            <w:r>
              <w:t>500</w:t>
            </w:r>
          </w:p>
        </w:tc>
        <w:tc>
          <w:tcPr>
            <w:tcW w:type="dxa" w:w="2074"/>
            <w:vAlign w:val="center"/>
          </w:tcPr>
          <w:p>
            <w:r>
              <w:t>Axis labels and badges</w:t>
            </w:r>
          </w:p>
        </w:tc>
      </w:tr>
      <w:tr>
        <w:tc>
          <w:tcPr>
            <w:tcW w:type="dxa" w:w="2074"/>
            <w:vAlign w:val="center"/>
          </w:tcPr>
          <w:p>
            <w:r>
              <w:t>Code/data</w:t>
            </w:r>
          </w:p>
        </w:tc>
        <w:tc>
          <w:tcPr>
            <w:tcW w:type="dxa" w:w="2074"/>
            <w:vAlign w:val="center"/>
          </w:tcPr>
          <w:p>
            <w:r>
              <w:t>JetBrains Mono</w:t>
            </w:r>
          </w:p>
        </w:tc>
        <w:tc>
          <w:tcPr>
            <w:tcW w:type="dxa" w:w="2074"/>
            <w:vAlign w:val="center"/>
          </w:tcPr>
          <w:p>
            <w:r>
              <w:t>13 px</w:t>
            </w:r>
          </w:p>
        </w:tc>
        <w:tc>
          <w:tcPr>
            <w:tcW w:type="dxa" w:w="2074"/>
            <w:vAlign w:val="center"/>
          </w:tcPr>
          <w:p>
            <w:r>
              <w:t>400</w:t>
            </w:r>
          </w:p>
        </w:tc>
        <w:tc>
          <w:tcPr>
            <w:tcW w:type="dxa" w:w="2074"/>
            <w:vAlign w:val="center"/>
          </w:tcPr>
          <w:p>
            <w:r>
              <w:t>Paths, IDs, exact values</w:t>
            </w:r>
          </w:p>
        </w:tc>
      </w:tr>
    </w:tbl>
    <w:p>
      <w:r>
        <w:t>Fallbacks: UI — Segoe UI, Noto Sans, Arial, sans-serif. Code — Cascadia Mono, SFMono-Regular, Consolas, monospace. Use tabular numerals and right-align numeric columns.</w:t>
      </w:r>
    </w:p>
    <w:p>
      <w:pPr>
        <w:pStyle w:val="Heading1"/>
      </w:pPr>
      <w:r>
        <w:t>3. Core color tokens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92"/>
        <w:gridCol w:w="2592"/>
        <w:gridCol w:w="2592"/>
        <w:gridCol w:w="2592"/>
      </w:tblGrid>
      <w:tr>
        <w:trPr>
          <w:tblHeader w:val="true"/>
        </w:trPr>
        <w:tc>
          <w:tcPr>
            <w:tcW w:type="dxa" w:w="2592"/>
            <w:shd w:fill="0D1B2A"/>
          </w:tcPr>
          <w:p>
            <w:r>
              <w:rPr>
                <w:color w:val="FFFFFF"/>
              </w:rPr>
              <w:t>Swatch</w:t>
            </w:r>
          </w:p>
        </w:tc>
        <w:tc>
          <w:tcPr>
            <w:tcW w:type="dxa" w:w="2592"/>
            <w:shd w:fill="0D1B2A"/>
          </w:tcPr>
          <w:p>
            <w:r>
              <w:rPr>
                <w:color w:val="FFFFFF"/>
              </w:rPr>
              <w:t>Token</w:t>
            </w:r>
          </w:p>
        </w:tc>
        <w:tc>
          <w:tcPr>
            <w:tcW w:type="dxa" w:w="2592"/>
            <w:shd w:fill="0D1B2A"/>
          </w:tcPr>
          <w:p>
            <w:r>
              <w:rPr>
                <w:color w:val="FFFFFF"/>
              </w:rPr>
              <w:t>Hex</w:t>
            </w:r>
          </w:p>
        </w:tc>
        <w:tc>
          <w:tcPr>
            <w:tcW w:type="dxa" w:w="2592"/>
            <w:shd w:fill="0D1B2A"/>
          </w:tcPr>
          <w:p>
            <w:r>
              <w:rPr>
                <w:color w:val="FFFFFF"/>
              </w:rPr>
              <w:t>Primary use</w:t>
            </w:r>
          </w:p>
        </w:tc>
      </w:tr>
      <w:tr>
        <w:tc>
          <w:tcPr>
            <w:tcW w:type="dxa" w:w="2592"/>
            <w:shd w:fill="07111F"/>
          </w:tcPr>
          <w:p>
            <w:r>
              <w:rPr>
                <w:color w:val="FFFFFF"/>
              </w:rPr>
            </w:r>
          </w:p>
        </w:tc>
        <w:tc>
          <w:tcPr>
            <w:tcW w:type="dxa" w:w="2592"/>
          </w:tcPr>
          <w:p>
            <w:r>
              <w:t>INK_950</w:t>
            </w:r>
          </w:p>
        </w:tc>
        <w:tc>
          <w:tcPr>
            <w:tcW w:type="dxa" w:w="2592"/>
          </w:tcPr>
          <w:p>
            <w:r>
              <w:t>#07111F</w:t>
            </w:r>
          </w:p>
        </w:tc>
        <w:tc>
          <w:tcPr>
            <w:tcW w:type="dxa" w:w="2592"/>
          </w:tcPr>
          <w:p>
            <w:r>
              <w:t>Dark app shell</w:t>
            </w:r>
          </w:p>
        </w:tc>
      </w:tr>
      <w:tr>
        <w:tc>
          <w:tcPr>
            <w:tcW w:type="dxa" w:w="2592"/>
            <w:shd w:fill="0D1B2A"/>
          </w:tcPr>
          <w:p>
            <w:r>
              <w:rPr>
                <w:color w:val="FFFFFF"/>
              </w:rPr>
            </w:r>
          </w:p>
        </w:tc>
        <w:tc>
          <w:tcPr>
            <w:tcW w:type="dxa" w:w="2592"/>
          </w:tcPr>
          <w:p>
            <w:r>
              <w:t>INK_900</w:t>
            </w:r>
          </w:p>
        </w:tc>
        <w:tc>
          <w:tcPr>
            <w:tcW w:type="dxa" w:w="2592"/>
          </w:tcPr>
          <w:p>
            <w:r>
              <w:t>#0D1B2A</w:t>
            </w:r>
          </w:p>
        </w:tc>
        <w:tc>
          <w:tcPr>
            <w:tcW w:type="dxa" w:w="2592"/>
          </w:tcPr>
          <w:p>
            <w:r>
              <w:t>Navigation and dark panels</w:t>
            </w:r>
          </w:p>
        </w:tc>
      </w:tr>
      <w:tr>
        <w:tc>
          <w:tcPr>
            <w:tcW w:type="dxa" w:w="2592"/>
            <w:shd w:fill="14283B"/>
          </w:tcPr>
          <w:p>
            <w:r>
              <w:rPr>
                <w:color w:val="FFFFFF"/>
              </w:rPr>
            </w:r>
          </w:p>
        </w:tc>
        <w:tc>
          <w:tcPr>
            <w:tcW w:type="dxa" w:w="2592"/>
          </w:tcPr>
          <w:p>
            <w:r>
              <w:t>INK_800</w:t>
            </w:r>
          </w:p>
        </w:tc>
        <w:tc>
          <w:tcPr>
            <w:tcW w:type="dxa" w:w="2592"/>
          </w:tcPr>
          <w:p>
            <w:r>
              <w:t>#14283B</w:t>
            </w:r>
          </w:p>
        </w:tc>
        <w:tc>
          <w:tcPr>
            <w:tcW w:type="dxa" w:w="2592"/>
          </w:tcPr>
          <w:p>
            <w:r>
              <w:t>Elevated dark surfaces</w:t>
            </w:r>
          </w:p>
        </w:tc>
      </w:tr>
      <w:tr>
        <w:tc>
          <w:tcPr>
            <w:tcW w:type="dxa" w:w="2592"/>
            <w:shd w:fill="245A9A"/>
          </w:tcPr>
          <w:p>
            <w:r>
              <w:rPr>
                <w:color w:val="FFFFFF"/>
              </w:rPr>
            </w:r>
          </w:p>
        </w:tc>
        <w:tc>
          <w:tcPr>
            <w:tcW w:type="dxa" w:w="2592"/>
          </w:tcPr>
          <w:p>
            <w:r>
              <w:t>BLUE_700</w:t>
            </w:r>
          </w:p>
        </w:tc>
        <w:tc>
          <w:tcPr>
            <w:tcW w:type="dxa" w:w="2592"/>
          </w:tcPr>
          <w:p>
            <w:r>
              <w:t>#245A9A</w:t>
            </w:r>
          </w:p>
        </w:tc>
        <w:tc>
          <w:tcPr>
            <w:tcW w:type="dxa" w:w="2592"/>
          </w:tcPr>
          <w:p>
            <w:r>
              <w:t>Primary action, light mode</w:t>
            </w:r>
          </w:p>
        </w:tc>
      </w:tr>
      <w:tr>
        <w:tc>
          <w:tcPr>
            <w:tcW w:type="dxa" w:w="2592"/>
            <w:shd w:fill="3274BD"/>
          </w:tcPr>
          <w:p>
            <w:r>
              <w:rPr>
                <w:color w:val="FFFFFF"/>
              </w:rPr>
            </w:r>
          </w:p>
        </w:tc>
        <w:tc>
          <w:tcPr>
            <w:tcW w:type="dxa" w:w="2592"/>
          </w:tcPr>
          <w:p>
            <w:r>
              <w:t>BLUE_600</w:t>
            </w:r>
          </w:p>
        </w:tc>
        <w:tc>
          <w:tcPr>
            <w:tcW w:type="dxa" w:w="2592"/>
          </w:tcPr>
          <w:p>
            <w:r>
              <w:t>#3274BD</w:t>
            </w:r>
          </w:p>
        </w:tc>
        <w:tc>
          <w:tcPr>
            <w:tcW w:type="dxa" w:w="2592"/>
          </w:tcPr>
          <w:p>
            <w:r>
              <w:t>Hover and selection stroke</w:t>
            </w:r>
          </w:p>
        </w:tc>
      </w:tr>
      <w:tr>
        <w:tc>
          <w:tcPr>
            <w:tcW w:type="dxa" w:w="2592"/>
            <w:shd w:fill="4C8FD8"/>
          </w:tcPr>
          <w:p>
            <w:r/>
          </w:p>
        </w:tc>
        <w:tc>
          <w:tcPr>
            <w:tcW w:type="dxa" w:w="2592"/>
          </w:tcPr>
          <w:p>
            <w:r>
              <w:t>BLUE_500</w:t>
            </w:r>
          </w:p>
        </w:tc>
        <w:tc>
          <w:tcPr>
            <w:tcW w:type="dxa" w:w="2592"/>
          </w:tcPr>
          <w:p>
            <w:r>
              <w:t>#4C8FD8</w:t>
            </w:r>
          </w:p>
        </w:tc>
        <w:tc>
          <w:tcPr>
            <w:tcW w:type="dxa" w:w="2592"/>
          </w:tcPr>
          <w:p>
            <w:r>
              <w:t>Primary accent, dark mode</w:t>
            </w:r>
          </w:p>
        </w:tc>
      </w:tr>
      <w:tr>
        <w:tc>
          <w:tcPr>
            <w:tcW w:type="dxa" w:w="2592"/>
            <w:shd w:fill="9FC7EE"/>
          </w:tcPr>
          <w:p>
            <w:r/>
          </w:p>
        </w:tc>
        <w:tc>
          <w:tcPr>
            <w:tcW w:type="dxa" w:w="2592"/>
          </w:tcPr>
          <w:p>
            <w:r>
              <w:t>BLUE_300</w:t>
            </w:r>
          </w:p>
        </w:tc>
        <w:tc>
          <w:tcPr>
            <w:tcW w:type="dxa" w:w="2592"/>
          </w:tcPr>
          <w:p>
            <w:r>
              <w:t>#9FC7EE</w:t>
            </w:r>
          </w:p>
        </w:tc>
        <w:tc>
          <w:tcPr>
            <w:tcW w:type="dxa" w:w="2592"/>
          </w:tcPr>
          <w:p>
            <w:r>
              <w:t>Secondary text on dark</w:t>
            </w:r>
          </w:p>
        </w:tc>
      </w:tr>
      <w:tr>
        <w:tc>
          <w:tcPr>
            <w:tcW w:type="dxa" w:w="2592"/>
            <w:shd w:fill="EAF4FC"/>
          </w:tcPr>
          <w:p>
            <w:r/>
          </w:p>
        </w:tc>
        <w:tc>
          <w:tcPr>
            <w:tcW w:type="dxa" w:w="2592"/>
          </w:tcPr>
          <w:p>
            <w:r>
              <w:t>ICE_100</w:t>
            </w:r>
          </w:p>
        </w:tc>
        <w:tc>
          <w:tcPr>
            <w:tcW w:type="dxa" w:w="2592"/>
          </w:tcPr>
          <w:p>
            <w:r>
              <w:t>#EAF4FC</w:t>
            </w:r>
          </w:p>
        </w:tc>
        <w:tc>
          <w:tcPr>
            <w:tcW w:type="dxa" w:w="2592"/>
          </w:tcPr>
          <w:p>
            <w:r>
              <w:t>Selection and integration fill</w:t>
            </w:r>
          </w:p>
        </w:tc>
      </w:tr>
      <w:tr>
        <w:tc>
          <w:tcPr>
            <w:tcW w:type="dxa" w:w="2592"/>
            <w:shd w:fill="F7FAFD"/>
          </w:tcPr>
          <w:p>
            <w:r/>
          </w:p>
        </w:tc>
        <w:tc>
          <w:tcPr>
            <w:tcW w:type="dxa" w:w="2592"/>
          </w:tcPr>
          <w:p>
            <w:r>
              <w:t>MIST_50</w:t>
            </w:r>
          </w:p>
        </w:tc>
        <w:tc>
          <w:tcPr>
            <w:tcW w:type="dxa" w:w="2592"/>
          </w:tcPr>
          <w:p>
            <w:r>
              <w:t>#F7FAFD</w:t>
            </w:r>
          </w:p>
        </w:tc>
        <w:tc>
          <w:tcPr>
            <w:tcW w:type="dxa" w:w="2592"/>
          </w:tcPr>
          <w:p>
            <w:r>
              <w:t>Light app background</w:t>
            </w:r>
          </w:p>
        </w:tc>
      </w:tr>
      <w:tr>
        <w:tc>
          <w:tcPr>
            <w:tcW w:type="dxa" w:w="2592"/>
            <w:shd w:fill="FFFFFF"/>
          </w:tcPr>
          <w:p>
            <w:r/>
          </w:p>
        </w:tc>
        <w:tc>
          <w:tcPr>
            <w:tcW w:type="dxa" w:w="2592"/>
          </w:tcPr>
          <w:p>
            <w:r>
              <w:t>WHITE</w:t>
            </w:r>
          </w:p>
        </w:tc>
        <w:tc>
          <w:tcPr>
            <w:tcW w:type="dxa" w:w="2592"/>
          </w:tcPr>
          <w:p>
            <w:r>
              <w:t>#FFFFFF</w:t>
            </w:r>
          </w:p>
        </w:tc>
        <w:tc>
          <w:tcPr>
            <w:tcW w:type="dxa" w:w="2592"/>
          </w:tcPr>
          <w:p>
            <w:r>
              <w:t>Primary panel surface</w:t>
            </w:r>
          </w:p>
        </w:tc>
      </w:tr>
      <w:tr>
        <w:tc>
          <w:tcPr>
            <w:tcW w:type="dxa" w:w="2592"/>
            <w:shd w:fill="40566C"/>
          </w:tcPr>
          <w:p>
            <w:r/>
          </w:p>
        </w:tc>
        <w:tc>
          <w:tcPr>
            <w:tcW w:type="dxa" w:w="2592"/>
          </w:tcPr>
          <w:p>
            <w:r>
              <w:t>SLATE_700</w:t>
            </w:r>
          </w:p>
        </w:tc>
        <w:tc>
          <w:tcPr>
            <w:tcW w:type="dxa" w:w="2592"/>
          </w:tcPr>
          <w:p>
            <w:r>
              <w:t>#40566C</w:t>
            </w:r>
          </w:p>
        </w:tc>
        <w:tc>
          <w:tcPr>
            <w:tcW w:type="dxa" w:w="2592"/>
          </w:tcPr>
          <w:p>
            <w:r>
              <w:t>Secondary text</w:t>
            </w:r>
          </w:p>
        </w:tc>
      </w:tr>
      <w:tr>
        <w:tc>
          <w:tcPr>
            <w:tcW w:type="dxa" w:w="2592"/>
            <w:shd w:fill="6E8193"/>
          </w:tcPr>
          <w:p>
            <w:r/>
          </w:p>
        </w:tc>
        <w:tc>
          <w:tcPr>
            <w:tcW w:type="dxa" w:w="2592"/>
          </w:tcPr>
          <w:p>
            <w:r>
              <w:t>SLATE_500</w:t>
            </w:r>
          </w:p>
        </w:tc>
        <w:tc>
          <w:tcPr>
            <w:tcW w:type="dxa" w:w="2592"/>
          </w:tcPr>
          <w:p>
            <w:r>
              <w:t>#6E8193</w:t>
            </w:r>
          </w:p>
        </w:tc>
        <w:tc>
          <w:tcPr>
            <w:tcW w:type="dxa" w:w="2592"/>
          </w:tcPr>
          <w:p>
            <w:r>
              <w:t>Axes and muted labels</w:t>
            </w:r>
          </w:p>
        </w:tc>
      </w:tr>
      <w:tr>
        <w:tc>
          <w:tcPr>
            <w:tcW w:type="dxa" w:w="2592"/>
            <w:shd w:fill="D7E1EA"/>
          </w:tcPr>
          <w:p>
            <w:r/>
          </w:p>
        </w:tc>
        <w:tc>
          <w:tcPr>
            <w:tcW w:type="dxa" w:w="2592"/>
          </w:tcPr>
          <w:p>
            <w:r>
              <w:t>SLATE_200</w:t>
            </w:r>
          </w:p>
        </w:tc>
        <w:tc>
          <w:tcPr>
            <w:tcW w:type="dxa" w:w="2592"/>
          </w:tcPr>
          <w:p>
            <w:r>
              <w:t>#D7E1EA</w:t>
            </w:r>
          </w:p>
        </w:tc>
        <w:tc>
          <w:tcPr>
            <w:tcW w:type="dxa" w:w="2592"/>
          </w:tcPr>
          <w:p>
            <w:r>
              <w:t>Borders and grids</w:t>
            </w:r>
          </w:p>
        </w:tc>
      </w:tr>
      <w:tr>
        <w:tc>
          <w:tcPr>
            <w:tcW w:type="dxa" w:w="2592"/>
            <w:shd w:fill="267B70"/>
          </w:tcPr>
          <w:p>
            <w:r>
              <w:rPr>
                <w:color w:val="FFFFFF"/>
              </w:rPr>
            </w:r>
          </w:p>
        </w:tc>
        <w:tc>
          <w:tcPr>
            <w:tcW w:type="dxa" w:w="2592"/>
          </w:tcPr>
          <w:p>
            <w:r>
              <w:t>SUCCESS_600</w:t>
            </w:r>
          </w:p>
        </w:tc>
        <w:tc>
          <w:tcPr>
            <w:tcW w:type="dxa" w:w="2592"/>
          </w:tcPr>
          <w:p>
            <w:r>
              <w:t>#267B70</w:t>
            </w:r>
          </w:p>
        </w:tc>
        <w:tc>
          <w:tcPr>
            <w:tcW w:type="dxa" w:w="2592"/>
          </w:tcPr>
          <w:p>
            <w:r>
              <w:t>Validated result</w:t>
            </w:r>
          </w:p>
        </w:tc>
      </w:tr>
      <w:tr>
        <w:tc>
          <w:tcPr>
            <w:tcW w:type="dxa" w:w="2592"/>
            <w:shd w:fill="A96B19"/>
          </w:tcPr>
          <w:p>
            <w:r>
              <w:rPr>
                <w:color w:val="FFFFFF"/>
              </w:rPr>
            </w:r>
          </w:p>
        </w:tc>
        <w:tc>
          <w:tcPr>
            <w:tcW w:type="dxa" w:w="2592"/>
          </w:tcPr>
          <w:p>
            <w:r>
              <w:t>WARNING_600</w:t>
            </w:r>
          </w:p>
        </w:tc>
        <w:tc>
          <w:tcPr>
            <w:tcW w:type="dxa" w:w="2592"/>
          </w:tcPr>
          <w:p>
            <w:r>
              <w:t>#A96B19</w:t>
            </w:r>
          </w:p>
        </w:tc>
        <w:tc>
          <w:tcPr>
            <w:tcW w:type="dxa" w:w="2592"/>
          </w:tcPr>
          <w:p>
            <w:r>
              <w:t>Review required</w:t>
            </w:r>
          </w:p>
        </w:tc>
      </w:tr>
      <w:tr>
        <w:tc>
          <w:tcPr>
            <w:tcW w:type="dxa" w:w="2592"/>
            <w:shd w:fill="B44555"/>
          </w:tcPr>
          <w:p>
            <w:r>
              <w:rPr>
                <w:color w:val="FFFFFF"/>
              </w:rPr>
            </w:r>
          </w:p>
        </w:tc>
        <w:tc>
          <w:tcPr>
            <w:tcW w:type="dxa" w:w="2592"/>
          </w:tcPr>
          <w:p>
            <w:r>
              <w:t>DANGER_600</w:t>
            </w:r>
          </w:p>
        </w:tc>
        <w:tc>
          <w:tcPr>
            <w:tcW w:type="dxa" w:w="2592"/>
          </w:tcPr>
          <w:p>
            <w:r>
              <w:t>#B44555</w:t>
            </w:r>
          </w:p>
        </w:tc>
        <w:tc>
          <w:tcPr>
            <w:tcW w:type="dxa" w:w="2592"/>
          </w:tcPr>
          <w:p>
            <w:r>
              <w:t>Error or excluded region</w:t>
            </w:r>
          </w:p>
        </w:tc>
      </w:tr>
    </w:tbl>
    <w:p>
      <w:r>
        <w:t>Contrast anchors: white on INK_950 ≈ 18.9:1; INK_950 on MIST_50 ≈ 18.1:1; BLUE_700 on white ≈ 7.0:1; BLUE_600 on white ≈ 4.8:1. BLUE_500 is an accent, not body text on white.</w:t>
      </w:r>
    </w:p>
    <w:p>
      <w:pPr>
        <w:pStyle w:val="Heading1"/>
      </w:pPr>
      <w:r>
        <w:t>4. Chromatogram and peak language</w:t>
      </w:r>
    </w:p>
    <w:p>
      <w:r>
        <w:t>The plotting area is the most expressive part of EluSive. The surrounding UI remains neutral; data colors are reserved for samples, peak families, comparisons, and analytical states.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92"/>
        <w:gridCol w:w="2592"/>
        <w:gridCol w:w="2592"/>
        <w:gridCol w:w="2592"/>
      </w:tblGrid>
      <w:tr>
        <w:tc>
          <w:tcPr>
            <w:tcW w:type="dxa" w:w="2592"/>
            <w:shd w:fill="0D1B2A"/>
          </w:tcPr>
          <w:p>
            <w:r>
              <w:rPr>
                <w:color w:val="FFFFFF"/>
              </w:rPr>
              <w:t>Element</w:t>
            </w:r>
          </w:p>
        </w:tc>
        <w:tc>
          <w:tcPr>
            <w:tcW w:type="dxa" w:w="2592"/>
            <w:shd w:fill="0D1B2A"/>
          </w:tcPr>
          <w:p>
            <w:r>
              <w:rPr>
                <w:color w:val="FFFFFF"/>
              </w:rPr>
              <w:t>Token / value</w:t>
            </w:r>
          </w:p>
        </w:tc>
        <w:tc>
          <w:tcPr>
            <w:tcW w:type="dxa" w:w="2592"/>
            <w:shd w:fill="0D1B2A"/>
          </w:tcPr>
          <w:p>
            <w:r>
              <w:rPr>
                <w:color w:val="FFFFFF"/>
              </w:rPr>
              <w:t>Stroke / fill</w:t>
            </w:r>
          </w:p>
        </w:tc>
        <w:tc>
          <w:tcPr>
            <w:tcW w:type="dxa" w:w="2592"/>
            <w:shd w:fill="0D1B2A"/>
          </w:tcPr>
          <w:p>
            <w:r>
              <w:rPr>
                <w:color w:val="FFFFFF"/>
              </w:rPr>
              <w:t>Rule</w:t>
            </w:r>
          </w:p>
        </w:tc>
      </w:tr>
      <w:tr>
        <w:tc>
          <w:tcPr>
            <w:tcW w:type="dxa" w:w="2592"/>
          </w:tcPr>
          <w:p>
            <w:r>
              <w:t>Raw trace</w:t>
            </w:r>
          </w:p>
        </w:tc>
        <w:tc>
          <w:tcPr>
            <w:tcW w:type="dxa" w:w="2592"/>
          </w:tcPr>
          <w:p>
            <w:r>
              <w:t>#2F6FB3</w:t>
            </w:r>
          </w:p>
        </w:tc>
        <w:tc>
          <w:tcPr>
            <w:tcW w:type="dxa" w:w="2592"/>
          </w:tcPr>
          <w:p>
            <w:r>
              <w:t>1.5 px</w:t>
            </w:r>
          </w:p>
        </w:tc>
        <w:tc>
          <w:tcPr>
            <w:tcW w:type="dxa" w:w="2592"/>
          </w:tcPr>
          <w:p>
            <w:r>
              <w:t>Always visible</w:t>
            </w:r>
          </w:p>
        </w:tc>
      </w:tr>
      <w:tr>
        <w:tc>
          <w:tcPr>
            <w:tcW w:type="dxa" w:w="2592"/>
          </w:tcPr>
          <w:p>
            <w:r>
              <w:t>Selected trace</w:t>
            </w:r>
          </w:p>
        </w:tc>
        <w:tc>
          <w:tcPr>
            <w:tcW w:type="dxa" w:w="2592"/>
          </w:tcPr>
          <w:p>
            <w:r>
              <w:t>#2F6FB3</w:t>
            </w:r>
          </w:p>
        </w:tc>
        <w:tc>
          <w:tcPr>
            <w:tcW w:type="dxa" w:w="2592"/>
          </w:tcPr>
          <w:p>
            <w:r>
              <w:t>2.25 px</w:t>
            </w:r>
          </w:p>
        </w:tc>
        <w:tc>
          <w:tcPr>
            <w:tcW w:type="dxa" w:w="2592"/>
          </w:tcPr>
          <w:p>
            <w:r>
              <w:t>Use thickness plus selection state</w:t>
            </w:r>
          </w:p>
        </w:tc>
      </w:tr>
      <w:tr>
        <w:tc>
          <w:tcPr>
            <w:tcW w:type="dxa" w:w="2592"/>
          </w:tcPr>
          <w:p>
            <w:r>
              <w:t>Grid</w:t>
            </w:r>
          </w:p>
        </w:tc>
        <w:tc>
          <w:tcPr>
            <w:tcW w:type="dxa" w:w="2592"/>
          </w:tcPr>
          <w:p>
            <w:r>
              <w:t>SLATE_200</w:t>
            </w:r>
          </w:p>
        </w:tc>
        <w:tc>
          <w:tcPr>
            <w:tcW w:type="dxa" w:w="2592"/>
          </w:tcPr>
          <w:p>
            <w:r>
              <w:t>1 px</w:t>
            </w:r>
          </w:p>
        </w:tc>
        <w:tc>
          <w:tcPr>
            <w:tcW w:type="dxa" w:w="2592"/>
          </w:tcPr>
          <w:p>
            <w:r>
              <w:t>No minor grid unless zoomed</w:t>
            </w:r>
          </w:p>
        </w:tc>
      </w:tr>
      <w:tr>
        <w:tc>
          <w:tcPr>
            <w:tcW w:type="dxa" w:w="2592"/>
          </w:tcPr>
          <w:p>
            <w:r>
              <w:t>Baseline</w:t>
            </w:r>
          </w:p>
        </w:tc>
        <w:tc>
          <w:tcPr>
            <w:tcW w:type="dxa" w:w="2592"/>
          </w:tcPr>
          <w:p>
            <w:r>
              <w:t>SLATE_500</w:t>
            </w:r>
          </w:p>
        </w:tc>
        <w:tc>
          <w:tcPr>
            <w:tcW w:type="dxa" w:w="2592"/>
          </w:tcPr>
          <w:p>
            <w:r>
              <w:t>1 px</w:t>
            </w:r>
          </w:p>
        </w:tc>
        <w:tc>
          <w:tcPr>
            <w:tcW w:type="dxa" w:w="2592"/>
          </w:tcPr>
          <w:p>
            <w:r>
              <w:t>Dashed only if calculated</w:t>
            </w:r>
          </w:p>
        </w:tc>
      </w:tr>
      <w:tr>
        <w:tc>
          <w:tcPr>
            <w:tcW w:type="dxa" w:w="2592"/>
          </w:tcPr>
          <w:p>
            <w:r>
              <w:t>Integrated area</w:t>
            </w:r>
          </w:p>
        </w:tc>
        <w:tc>
          <w:tcPr>
            <w:tcW w:type="dxa" w:w="2592"/>
          </w:tcPr>
          <w:p>
            <w:r>
              <w:t>#9FC7EE66</w:t>
            </w:r>
          </w:p>
        </w:tc>
        <w:tc>
          <w:tcPr>
            <w:tcW w:type="dxa" w:w="2592"/>
          </w:tcPr>
          <w:p>
            <w:r>
              <w:t>Transparent fill</w:t>
            </w:r>
          </w:p>
        </w:tc>
        <w:tc>
          <w:tcPr>
            <w:tcW w:type="dxa" w:w="2592"/>
          </w:tcPr>
          <w:p>
            <w:r>
              <w:t>Never obscure raw signal</w:t>
            </w:r>
          </w:p>
        </w:tc>
      </w:tr>
      <w:tr>
        <w:tc>
          <w:tcPr>
            <w:tcW w:type="dxa" w:w="2592"/>
          </w:tcPr>
          <w:p>
            <w:r>
              <w:t>Excluded region</w:t>
            </w:r>
          </w:p>
        </w:tc>
        <w:tc>
          <w:tcPr>
            <w:tcW w:type="dxa" w:w="2592"/>
          </w:tcPr>
          <w:p>
            <w:r>
              <w:t>#B4455526</w:t>
            </w:r>
          </w:p>
        </w:tc>
        <w:tc>
          <w:tcPr>
            <w:tcW w:type="dxa" w:w="2592"/>
          </w:tcPr>
          <w:p>
            <w:r>
              <w:t>Fill + boundary</w:t>
            </w:r>
          </w:p>
        </w:tc>
        <w:tc>
          <w:tcPr>
            <w:tcW w:type="dxa" w:w="2592"/>
          </w:tcPr>
          <w:p>
            <w:r>
              <w:t>Add label or hatch</w:t>
            </w:r>
          </w:p>
        </w:tc>
      </w:tr>
    </w:tbl>
    <w:p>
      <w:pPr>
        <w:pStyle w:val="Heading2"/>
      </w:pPr>
      <w:r>
        <w:t>Categorical overlay sequence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296"/>
        <w:gridCol w:w="1296"/>
        <w:gridCol w:w="1296"/>
        <w:gridCol w:w="1296"/>
        <w:gridCol w:w="1296"/>
        <w:gridCol w:w="1296"/>
        <w:gridCol w:w="1296"/>
        <w:gridCol w:w="1296"/>
      </w:tblGrid>
      <w:tr>
        <w:tc>
          <w:tcPr>
            <w:tcW w:type="dxa" w:w="1296"/>
            <w:shd w:fill="2F6FB3"/>
          </w:tcPr>
          <w:p>
            <w:pPr>
              <w:jc w:val="center"/>
            </w:pPr>
            <w:r>
              <w:rPr>
                <w:color w:val="FFFFFF"/>
              </w:rPr>
              <w:t>1</w:t>
            </w:r>
          </w:p>
        </w:tc>
        <w:tc>
          <w:tcPr>
            <w:tcW w:type="dxa" w:w="1296"/>
            <w:shd w:fill="56A8D8"/>
          </w:tcPr>
          <w:p>
            <w:pPr>
              <w:jc w:val="center"/>
            </w:pPr>
            <w:r>
              <w:rPr>
                <w:color w:val="FFFFFF"/>
              </w:rPr>
              <w:t>2</w:t>
            </w:r>
          </w:p>
        </w:tc>
        <w:tc>
          <w:tcPr>
            <w:tcW w:type="dxa" w:w="1296"/>
            <w:shd w:fill="6B70C8"/>
          </w:tcPr>
          <w:p>
            <w:pPr>
              <w:jc w:val="center"/>
            </w:pPr>
            <w:r>
              <w:rPr>
                <w:color w:val="FFFFFF"/>
              </w:rPr>
              <w:t>3</w:t>
            </w:r>
          </w:p>
        </w:tc>
        <w:tc>
          <w:tcPr>
            <w:tcW w:type="dxa" w:w="1296"/>
            <w:shd w:fill="2E9599"/>
          </w:tcPr>
          <w:p>
            <w:pPr>
              <w:jc w:val="center"/>
            </w:pPr>
            <w:r>
              <w:rPr>
                <w:color w:val="FFFFFF"/>
              </w:rPr>
              <w:t>4</w:t>
            </w:r>
          </w:p>
        </w:tc>
        <w:tc>
          <w:tcPr>
            <w:tcW w:type="dxa" w:w="1296"/>
            <w:shd w:fill="8A6FB8"/>
          </w:tcPr>
          <w:p>
            <w:pPr>
              <w:jc w:val="center"/>
            </w:pPr>
            <w:r>
              <w:rPr>
                <w:color w:val="FFFFFF"/>
              </w:rPr>
              <w:t>5</w:t>
            </w:r>
          </w:p>
        </w:tc>
        <w:tc>
          <w:tcPr>
            <w:tcW w:type="dxa" w:w="1296"/>
            <w:shd w:fill="C4773D"/>
          </w:tcPr>
          <w:p>
            <w:pPr>
              <w:jc w:val="center"/>
            </w:pPr>
            <w:r>
              <w:rPr>
                <w:color w:val="FFFFFF"/>
              </w:rPr>
              <w:t>6</w:t>
            </w:r>
          </w:p>
        </w:tc>
        <w:tc>
          <w:tcPr>
            <w:tcW w:type="dxa" w:w="1296"/>
            <w:shd w:fill="3F8B63"/>
          </w:tcPr>
          <w:p>
            <w:pPr>
              <w:jc w:val="center"/>
            </w:pPr>
            <w:r>
              <w:rPr>
                <w:color w:val="FFFFFF"/>
              </w:rPr>
              <w:t>7</w:t>
            </w:r>
          </w:p>
        </w:tc>
        <w:tc>
          <w:tcPr>
            <w:tcW w:type="dxa" w:w="1296"/>
            <w:shd w:fill="B44D68"/>
          </w:tcPr>
          <w:p>
            <w:pPr>
              <w:jc w:val="center"/>
            </w:pPr>
            <w:r>
              <w:rPr>
                <w:color w:val="FFFFFF"/>
              </w:rPr>
              <w:t>8</w:t>
            </w:r>
          </w:p>
        </w:tc>
      </w:tr>
    </w:tbl>
    <w:p>
      <w:r>
        <w:t>Use in order. Never encode pass/fail, quality, or inclusion by hue alone: pair color with text, icon, line style, hatch, or table status. Peak labels use P1, P2, … in 11 px semibold; retention time remains a separate numeric field.</w:t>
      </w:r>
    </w:p>
    <w:p>
      <w:pPr>
        <w:pStyle w:val="Heading1"/>
      </w:pPr>
      <w:r>
        <w:t>5. Layout and component tokens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92"/>
        <w:gridCol w:w="2592"/>
        <w:gridCol w:w="2592"/>
        <w:gridCol w:w="2592"/>
      </w:tblGrid>
      <w:tr>
        <w:tc>
          <w:tcPr>
            <w:tcW w:type="dxa" w:w="2592"/>
            <w:shd w:fill="0D1B2A"/>
          </w:tcPr>
          <w:p>
            <w:r>
              <w:rPr>
                <w:color w:val="FFFFFF"/>
              </w:rPr>
              <w:t>Token group</w:t>
            </w:r>
          </w:p>
        </w:tc>
        <w:tc>
          <w:tcPr>
            <w:tcW w:type="dxa" w:w="2592"/>
            <w:shd w:fill="0D1B2A"/>
          </w:tcPr>
          <w:p>
            <w:r>
              <w:rPr>
                <w:color w:val="FFFFFF"/>
              </w:rPr>
              <w:t>Values</w:t>
            </w:r>
          </w:p>
        </w:tc>
        <w:tc>
          <w:tcPr>
            <w:tcW w:type="dxa" w:w="2592"/>
            <w:shd w:fill="0D1B2A"/>
          </w:tcPr>
          <w:p>
            <w:r>
              <w:rPr>
                <w:color w:val="FFFFFF"/>
              </w:rPr>
              <w:t>Default</w:t>
            </w:r>
          </w:p>
        </w:tc>
        <w:tc>
          <w:tcPr>
            <w:tcW w:type="dxa" w:w="2592"/>
            <w:shd w:fill="0D1B2A"/>
          </w:tcPr>
          <w:p>
            <w:r>
              <w:rPr>
                <w:color w:val="FFFFFF"/>
              </w:rPr>
              <w:t>Notes</w:t>
            </w:r>
          </w:p>
        </w:tc>
      </w:tr>
      <w:tr>
        <w:tc>
          <w:tcPr>
            <w:tcW w:type="dxa" w:w="2592"/>
          </w:tcPr>
          <w:p>
            <w:r>
              <w:t>Spacing</w:t>
            </w:r>
          </w:p>
        </w:tc>
        <w:tc>
          <w:tcPr>
            <w:tcW w:type="dxa" w:w="2592"/>
          </w:tcPr>
          <w:p>
            <w:r>
              <w:t>4 / 8 / 12 / 16 / 24 / 32 / 48 px</w:t>
            </w:r>
          </w:p>
        </w:tc>
        <w:tc>
          <w:tcPr>
            <w:tcW w:type="dxa" w:w="2592"/>
          </w:tcPr>
          <w:p>
            <w:r>
              <w:t>16 px panel</w:t>
            </w:r>
          </w:p>
        </w:tc>
        <w:tc>
          <w:tcPr>
            <w:tcW w:type="dxa" w:w="2592"/>
          </w:tcPr>
          <w:p>
            <w:r>
              <w:t>4 px base unit</w:t>
            </w:r>
          </w:p>
        </w:tc>
      </w:tr>
      <w:tr>
        <w:tc>
          <w:tcPr>
            <w:tcW w:type="dxa" w:w="2592"/>
          </w:tcPr>
          <w:p>
            <w:r>
              <w:t>Radius</w:t>
            </w:r>
          </w:p>
        </w:tc>
        <w:tc>
          <w:tcPr>
            <w:tcW w:type="dxa" w:w="2592"/>
          </w:tcPr>
          <w:p>
            <w:r>
              <w:t>4 / 8 / 12 / 999 px</w:t>
            </w:r>
          </w:p>
        </w:tc>
        <w:tc>
          <w:tcPr>
            <w:tcW w:type="dxa" w:w="2592"/>
          </w:tcPr>
          <w:p>
            <w:r>
              <w:t>8 px card</w:t>
            </w:r>
          </w:p>
        </w:tc>
        <w:tc>
          <w:tcPr>
            <w:tcW w:type="dxa" w:w="2592"/>
          </w:tcPr>
          <w:p>
            <w:r>
              <w:t>Pill only for tags</w:t>
            </w:r>
          </w:p>
        </w:tc>
      </w:tr>
      <w:tr>
        <w:tc>
          <w:tcPr>
            <w:tcW w:type="dxa" w:w="2592"/>
          </w:tcPr>
          <w:p>
            <w:r>
              <w:t>Control height</w:t>
            </w:r>
          </w:p>
        </w:tc>
        <w:tc>
          <w:tcPr>
            <w:tcW w:type="dxa" w:w="2592"/>
          </w:tcPr>
          <w:p>
            <w:r>
              <w:t>32 / 36 px</w:t>
            </w:r>
          </w:p>
        </w:tc>
        <w:tc>
          <w:tcPr>
            <w:tcW w:type="dxa" w:w="2592"/>
          </w:tcPr>
          <w:p>
            <w:r>
              <w:t>36 px</w:t>
            </w:r>
          </w:p>
        </w:tc>
        <w:tc>
          <w:tcPr>
            <w:tcW w:type="dxa" w:w="2592"/>
          </w:tcPr>
          <w:p>
            <w:r>
              <w:t>32 px only in dense tools</w:t>
            </w:r>
          </w:p>
        </w:tc>
      </w:tr>
      <w:tr>
        <w:tc>
          <w:tcPr>
            <w:tcW w:type="dxa" w:w="2592"/>
          </w:tcPr>
          <w:p>
            <w:r>
              <w:t>Stroke</w:t>
            </w:r>
          </w:p>
        </w:tc>
        <w:tc>
          <w:tcPr>
            <w:tcW w:type="dxa" w:w="2592"/>
          </w:tcPr>
          <w:p>
            <w:r>
              <w:t>1 / 2 px</w:t>
            </w:r>
          </w:p>
        </w:tc>
        <w:tc>
          <w:tcPr>
            <w:tcW w:type="dxa" w:w="2592"/>
          </w:tcPr>
          <w:p>
            <w:r>
              <w:t>1 px border</w:t>
            </w:r>
          </w:p>
        </w:tc>
        <w:tc>
          <w:tcPr>
            <w:tcW w:type="dxa" w:w="2592"/>
          </w:tcPr>
          <w:p>
            <w:r>
              <w:t>2 px focus ring</w:t>
            </w:r>
          </w:p>
        </w:tc>
      </w:tr>
      <w:tr>
        <w:tc>
          <w:tcPr>
            <w:tcW w:type="dxa" w:w="2592"/>
          </w:tcPr>
          <w:p>
            <w:r>
              <w:t>Trace width</w:t>
            </w:r>
          </w:p>
        </w:tc>
        <w:tc>
          <w:tcPr>
            <w:tcW w:type="dxa" w:w="2592"/>
          </w:tcPr>
          <w:p>
            <w:r>
              <w:t>1.5 / 2.25 px</w:t>
            </w:r>
          </w:p>
        </w:tc>
        <w:tc>
          <w:tcPr>
            <w:tcW w:type="dxa" w:w="2592"/>
          </w:tcPr>
          <w:p>
            <w:r>
              <w:t>1.5 px</w:t>
            </w:r>
          </w:p>
        </w:tc>
        <w:tc>
          <w:tcPr>
            <w:tcW w:type="dxa" w:w="2592"/>
          </w:tcPr>
          <w:p>
            <w:r>
              <w:t>Thicker when selected</w:t>
            </w:r>
          </w:p>
        </w:tc>
      </w:tr>
    </w:tbl>
    <w:p>
      <w:pPr>
        <w:pStyle w:val="Heading2"/>
      </w:pPr>
      <w:r>
        <w:t>Navigation</w:t>
      </w:r>
    </w:p>
    <w:p>
      <w:r>
        <w:t>Use an INK_900 rail with white primary text and BLUE_300 secondary labels. The active item uses an INK_800 fill and a 2 px BLUE_500 indicator; no glow.</w:t>
      </w:r>
    </w:p>
    <w:p>
      <w:pPr>
        <w:pStyle w:val="Heading2"/>
      </w:pPr>
      <w:r>
        <w:t>Buttons</w:t>
      </w:r>
    </w:p>
    <w:p>
      <w:r>
        <w:t>Primary: BLUE_700 fill with white label. Secondary: white fill, SLATE_200 border, INK_950 label. Destructive actions stay neutral until confirmation, then use DANGER_600.</w:t>
      </w:r>
    </w:p>
    <w:p>
      <w:pPr>
        <w:pStyle w:val="Heading2"/>
      </w:pPr>
      <w:r>
        <w:t>Data tables</w:t>
      </w:r>
    </w:p>
    <w:p>
      <w:r>
        <w:t>White surface, 12 px headers, 14 px values, 40 px rows. Right-align numeric data. Use ICE_100 for selection; avoid zebra striping unless row tracking is difficult.</w:t>
      </w:r>
    </w:p>
    <w:p>
      <w:pPr>
        <w:pStyle w:val="Heading2"/>
      </w:pPr>
      <w:r>
        <w:t>Forms</w:t>
      </w:r>
    </w:p>
    <w:p>
      <w:r>
        <w:t>Place labels above controls. Units belong in the label or suffix, never only in placeholder text. Validation states must state both the problem and corrective action.</w:t>
      </w:r>
    </w:p>
    <w:p>
      <w:pPr>
        <w:pStyle w:val="Heading2"/>
      </w:pPr>
      <w:r>
        <w:t>Loading and empty states</w:t>
      </w:r>
    </w:p>
    <w:p>
      <w:r>
        <w:t>Use the chromatogram mark at low contrast. Prefer deterministic progress text, such as “Analyzing 4 of 12 traces,” over a generic spinner.</w:t>
      </w:r>
    </w:p>
    <w:p>
      <w:pPr>
        <w:pStyle w:val="Heading1"/>
      </w:pPr>
      <w:r>
        <w:t>6. Interaction and scientific writing</w:t>
      </w:r>
    </w:p>
    <w:p>
      <w:r>
        <w:t>Use concise, instrument-aware verbs: “Integrate peak,” “Set baseline,” “Exclude region,” “Export report.” Avoid playful microcopy in analytical or regulated workflows. Preserve units and instrument terminology exactly.</w:t>
      </w:r>
    </w:p>
    <w:p>
      <w:pPr>
        <w:pStyle w:val="ListBullet"/>
      </w:pPr>
      <w:r>
        <w:t>The data is always more saturated than the application chrome.</w:t>
      </w:r>
    </w:p>
    <w:p>
      <w:pPr>
        <w:pStyle w:val="ListBullet"/>
      </w:pPr>
      <w:r>
        <w:t>The raw trace remains visible beneath integrations and annotations.</w:t>
      </w:r>
    </w:p>
    <w:p>
      <w:pPr>
        <w:pStyle w:val="ListBullet"/>
      </w:pPr>
      <w:r>
        <w:t>Every status uses text or shape in addition to color.</w:t>
      </w:r>
    </w:p>
    <w:p>
      <w:pPr>
        <w:pStyle w:val="ListBullet"/>
      </w:pPr>
      <w:r>
        <w:t>Numeric columns align by decimal meaning, not visually by chance.</w:t>
      </w:r>
    </w:p>
    <w:p>
      <w:pPr>
        <w:pStyle w:val="ListBullet"/>
      </w:pPr>
      <w:r>
        <w:t>Animation never delays an analytical action.</w:t>
      </w:r>
    </w:p>
    <w:p>
      <w:pPr>
        <w:pStyle w:val="ListBullet"/>
      </w:pPr>
      <w:r>
        <w:t>Dark mode changes surfaces, not semantic meaning.</w:t>
      </w:r>
    </w:p>
    <w:p>
      <w:pPr>
        <w:pStyle w:val="ListBullet"/>
      </w:pPr>
      <w:r>
        <w:t>New colors require a named token and a documented purpose.</w:t>
      </w:r>
    </w:p>
    <w:p>
      <w:pPr>
        <w:pStyle w:val="Heading1"/>
      </w:pPr>
      <w:r>
        <w:t>7. Rust implementation</w:t>
      </w:r>
    </w:p>
    <w:p>
      <w:r>
        <w:t>Use src/theme.rs as the dependency-free equivalent of CSS variables. UI toolkits should adapt these tokens rather than redefining them. The package includes an optional egui adapter and a TOML source for runtime theming.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shd w:fill="F1F5F8"/>
            <w:tcBorders>
              <w:top w:val="single" w:sz="6" w:color="D7E1EA"/>
              <w:left w:val="single" w:sz="6" w:color="D7E1EA"/>
              <w:bottom w:val="single" w:sz="6" w:color="D7E1EA"/>
              <w:right w:val="single" w:sz="6" w:color="D7E1EA"/>
            </w:tcBorders>
          </w:tcPr>
          <w:p>
            <w:pPr>
              <w:spacing w:after="0"/>
            </w:pPr>
            <w:r>
              <w:rPr>
                <w:rFonts w:ascii="JetBrains Mono" w:hAnsi="JetBrains Mono"/>
                <w:color w:val="203A52"/>
                <w:sz w:val="17"/>
              </w:rPr>
              <w:t>mod theme;</w:t>
            </w:r>
            <w:r>
              <w:br/>
            </w:r>
            <w:r>
              <w:rPr>
                <w:rFonts w:ascii="JetBrains Mono" w:hAnsi="JetBrains Mono"/>
                <w:color w:val="203A52"/>
                <w:sz w:val="17"/>
              </w:rPr>
              <w:t>use theme::{chart, color, LIGHT};</w:t>
            </w:r>
            <w:r>
              <w:br/>
            </w:r>
            <w:r>
              <w:rPr>
                <w:rFonts w:ascii="JetBrains Mono" w:hAnsi="JetBrains Mono"/>
                <w:color w:val="203A52"/>
                <w:sz w:val="17"/>
              </w:rPr>
            </w:r>
            <w:r>
              <w:br/>
            </w:r>
            <w:r>
              <w:rPr>
                <w:rFonts w:ascii="JetBrains Mono" w:hAnsi="JetBrains Mono"/>
                <w:color w:val="203A52"/>
                <w:sz w:val="17"/>
              </w:rPr>
              <w:t>let workspace = LIGHT.app_bg;</w:t>
            </w:r>
            <w:r>
              <w:br/>
            </w:r>
            <w:r>
              <w:rPr>
                <w:rFonts w:ascii="JetBrains Mono" w:hAnsi="JetBrains Mono"/>
                <w:color w:val="203A52"/>
                <w:sz w:val="17"/>
              </w:rPr>
              <w:t>let trace = chart::PRIMARY_TRACE;</w:t>
            </w:r>
            <w:r>
              <w:br/>
            </w:r>
            <w:r>
              <w:rPr>
                <w:rFonts w:ascii="JetBrains Mono" w:hAnsi="JetBrains Mono"/>
                <w:color w:val="203A52"/>
                <w:sz w:val="17"/>
              </w:rPr>
              <w:t>let selected_row = color::ICE_100;</w:t>
            </w:r>
          </w:p>
        </w:tc>
      </w:tr>
    </w:tbl>
    <w:p>
      <w:pPr>
        <w:spacing w:after="0"/>
      </w:pPr>
    </w:p>
    <w:p>
      <w:pPr>
        <w:pStyle w:val="Heading2"/>
      </w:pPr>
      <w:r>
        <w:t>Recommended project structure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shd w:fill="F1F5F8"/>
            <w:tcBorders>
              <w:top w:val="single" w:sz="6" w:color="D7E1EA"/>
              <w:left w:val="single" w:sz="6" w:color="D7E1EA"/>
              <w:bottom w:val="single" w:sz="6" w:color="D7E1EA"/>
              <w:right w:val="single" w:sz="6" w:color="D7E1EA"/>
            </w:tcBorders>
          </w:tcPr>
          <w:p>
            <w:pPr>
              <w:spacing w:after="0"/>
            </w:pPr>
            <w:r>
              <w:rPr>
                <w:rFonts w:ascii="JetBrains Mono" w:hAnsi="JetBrains Mono"/>
                <w:color w:val="203A52"/>
                <w:sz w:val="17"/>
              </w:rPr>
              <w:t>src/</w:t>
            </w:r>
            <w:r>
              <w:br/>
            </w:r>
            <w:r>
              <w:rPr>
                <w:rFonts w:ascii="JetBrains Mono" w:hAnsi="JetBrains Mono"/>
                <w:color w:val="203A52"/>
                <w:sz w:val="17"/>
              </w:rPr>
              <w:t>├── main.rs</w:t>
            </w:r>
            <w:r>
              <w:br/>
            </w:r>
            <w:r>
              <w:rPr>
                <w:rFonts w:ascii="JetBrains Mono" w:hAnsi="JetBrains Mono"/>
                <w:color w:val="203A52"/>
                <w:sz w:val="17"/>
              </w:rPr>
              <w:t>├── theme.rs          # compiled design tokens</w:t>
            </w:r>
            <w:r>
              <w:br/>
            </w:r>
            <w:r>
              <w:rPr>
                <w:rFonts w:ascii="JetBrains Mono" w:hAnsi="JetBrains Mono"/>
                <w:color w:val="203A52"/>
                <w:sz w:val="17"/>
              </w:rPr>
              <w:t>├── egui_adapter.rs   # toolkit mapping</w:t>
            </w:r>
            <w:r>
              <w:br/>
            </w:r>
            <w:r>
              <w:rPr>
                <w:rFonts w:ascii="JetBrains Mono" w:hAnsi="JetBrains Mono"/>
                <w:color w:val="203A52"/>
                <w:sz w:val="17"/>
              </w:rPr>
              <w:t>├── plot.rs           # consumes theme::chart</w:t>
            </w:r>
            <w:r>
              <w:br/>
            </w:r>
            <w:r>
              <w:rPr>
                <w:rFonts w:ascii="JetBrains Mono" w:hAnsi="JetBrains Mono"/>
                <w:color w:val="203A52"/>
                <w:sz w:val="17"/>
              </w:rPr>
              <w:t>└── widgets/          # consumes Theme, never literal hex</w:t>
            </w:r>
            <w:r>
              <w:br/>
            </w:r>
            <w:r>
              <w:rPr>
                <w:rFonts w:ascii="JetBrains Mono" w:hAnsi="JetBrains Mono"/>
                <w:color w:val="203A52"/>
                <w:sz w:val="17"/>
              </w:rPr>
              <w:t>assets/</w:t>
            </w:r>
            <w:r>
              <w:br/>
            </w:r>
            <w:r>
              <w:rPr>
                <w:rFonts w:ascii="JetBrains Mono" w:hAnsi="JetBrains Mono"/>
                <w:color w:val="203A52"/>
                <w:sz w:val="17"/>
              </w:rPr>
              <w:t>└── elusive-mark-*.svg</w:t>
            </w:r>
          </w:p>
        </w:tc>
      </w:tr>
    </w:tbl>
    <w:p>
      <w:pPr>
        <w:spacing w:after="0"/>
      </w:pPr>
    </w:p>
    <w:p>
      <w:pPr>
        <w:pStyle w:val="Heading2"/>
      </w:pPr>
      <w:r>
        <w:t>Runtime theming</w:t>
      </w:r>
    </w:p>
    <w:p>
      <w:r>
        <w:t>When customization is needed, parse elusive-theme.toml with serde + toml, validate every token, and fall back to the compiled constants if parsing fails. Keep the compiled Rust module as the trusted baseline.</w:t>
      </w:r>
    </w:p>
    <w:p>
      <w:pPr>
        <w:pStyle w:val="Heading1"/>
      </w:pPr>
      <w:r>
        <w:t>8. Package contents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shd w:fill="0D1B2A"/>
          </w:tcPr>
          <w:p>
            <w:r>
              <w:rPr>
                <w:color w:val="FFFFFF"/>
              </w:rPr>
              <w:t>File</w:t>
            </w:r>
          </w:p>
        </w:tc>
        <w:tc>
          <w:tcPr>
            <w:tcW w:type="dxa" w:w="5184"/>
            <w:shd w:fill="0D1B2A"/>
          </w:tcPr>
          <w:p>
            <w:r>
              <w:rPr>
                <w:color w:val="FFFFFF"/>
              </w:rPr>
              <w:t>Purpose</w:t>
            </w:r>
          </w:p>
        </w:tc>
      </w:tr>
      <w:tr>
        <w:tc>
          <w:tcPr>
            <w:tcW w:type="dxa" w:w="5184"/>
          </w:tcPr>
          <w:p>
            <w:r>
              <w:t>DESIGN_SYSTEM.md</w:t>
            </w:r>
          </w:p>
        </w:tc>
        <w:tc>
          <w:tcPr>
            <w:tcW w:type="dxa" w:w="5184"/>
          </w:tcPr>
          <w:p>
            <w:r>
              <w:t>Canonical technical specification in Markdown.</w:t>
            </w:r>
          </w:p>
        </w:tc>
      </w:tr>
      <w:tr>
        <w:tc>
          <w:tcPr>
            <w:tcW w:type="dxa" w:w="5184"/>
          </w:tcPr>
          <w:p>
            <w:r>
              <w:t>EluSive_Design_System.docx</w:t>
            </w:r>
          </w:p>
        </w:tc>
        <w:tc>
          <w:tcPr>
            <w:tcW w:type="dxa" w:w="5184"/>
          </w:tcPr>
          <w:p>
            <w:r>
              <w:t>Formatted design-system document.</w:t>
            </w:r>
          </w:p>
        </w:tc>
      </w:tr>
      <w:tr>
        <w:tc>
          <w:tcPr>
            <w:tcW w:type="dxa" w:w="5184"/>
          </w:tcPr>
          <w:p>
            <w:r>
              <w:t>src/theme.rs</w:t>
            </w:r>
          </w:p>
        </w:tc>
        <w:tc>
          <w:tcPr>
            <w:tcW w:type="dxa" w:w="5184"/>
          </w:tcPr>
          <w:p>
            <w:r>
              <w:t>Dependency-free Rust visual tokens.</w:t>
            </w:r>
          </w:p>
        </w:tc>
      </w:tr>
      <w:tr>
        <w:tc>
          <w:tcPr>
            <w:tcW w:type="dxa" w:w="5184"/>
          </w:tcPr>
          <w:p>
            <w:r>
              <w:t>src/egui_adapter.rs</w:t>
            </w:r>
          </w:p>
        </w:tc>
        <w:tc>
          <w:tcPr>
            <w:tcW w:type="dxa" w:w="5184"/>
          </w:tcPr>
          <w:p>
            <w:r>
              <w:t>Optional egui mapping.</w:t>
            </w:r>
          </w:p>
        </w:tc>
      </w:tr>
      <w:tr>
        <w:tc>
          <w:tcPr>
            <w:tcW w:type="dxa" w:w="5184"/>
          </w:tcPr>
          <w:p>
            <w:r>
              <w:t>elusive-theme.toml</w:t>
            </w:r>
          </w:p>
        </w:tc>
        <w:tc>
          <w:tcPr>
            <w:tcW w:type="dxa" w:w="5184"/>
          </w:tcPr>
          <w:p>
            <w:r>
              <w:t>Runtime-configurable token source.</w:t>
            </w:r>
          </w:p>
        </w:tc>
      </w:tr>
      <w:tr>
        <w:tc>
          <w:tcPr>
            <w:tcW w:type="dxa" w:w="5184"/>
          </w:tcPr>
          <w:p>
            <w:r>
              <w:t>assets/palette.json</w:t>
            </w:r>
          </w:p>
        </w:tc>
        <w:tc>
          <w:tcPr>
            <w:tcW w:type="dxa" w:w="5184"/>
          </w:tcPr>
          <w:p>
            <w:r>
              <w:t>Machine-readable token export.</w:t>
            </w:r>
          </w:p>
        </w:tc>
      </w:tr>
      <w:tr>
        <w:tc>
          <w:tcPr>
            <w:tcW w:type="dxa" w:w="5184"/>
          </w:tcPr>
          <w:p>
            <w:r>
              <w:t>assets/elusive-logo-*.svg</w:t>
            </w:r>
          </w:p>
        </w:tc>
        <w:tc>
          <w:tcPr>
            <w:tcW w:type="dxa" w:w="5184"/>
          </w:tcPr>
          <w:p>
            <w:r>
              <w:t>Light and dark wordmarks.</w:t>
            </w:r>
          </w:p>
        </w:tc>
      </w:tr>
      <w:tr>
        <w:tc>
          <w:tcPr>
            <w:tcW w:type="dxa" w:w="5184"/>
          </w:tcPr>
          <w:p>
            <w:r>
              <w:t>assets/elusive-mark-*.svg</w:t>
            </w:r>
          </w:p>
        </w:tc>
        <w:tc>
          <w:tcPr>
            <w:tcW w:type="dxa" w:w="5184"/>
          </w:tcPr>
          <w:p>
            <w:r>
              <w:t>Compact application marks.</w:t>
            </w:r>
          </w:p>
        </w:tc>
      </w:tr>
    </w:tbl>
    <w:sectPr w:rsidR="00FC693F" w:rsidRPr="0006063C" w:rsidSect="00034616">
      <w:footerReference w:type="default" r:id="rId10"/>
      <w:pgSz w:w="12240" w:h="15840"/>
      <w:pgMar w:top="792" w:right="936" w:bottom="792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Inter" w:hAnsi="Inter"/>
        <w:color w:val="6E8193"/>
        <w:sz w:val="16"/>
      </w:rPr>
      <w:t>EluSive Design System 1.0.0  •  Precise analysis. Invisible by design.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59" w:lineRule="auto"/>
    </w:pPr>
    <w:rPr>
      <w:rFonts w:ascii="Inter" w:hAnsi="Inter"/>
      <w:color w:val="203A52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20"/>
      <w:outlineLvl w:val="0"/>
    </w:pPr>
    <w:rPr>
      <w:rFonts w:asciiTheme="majorHAnsi" w:eastAsiaTheme="majorEastAsia" w:hAnsiTheme="majorHAnsi" w:cstheme="majorBidi" w:ascii="Inter" w:hAnsi="Inter"/>
      <w:b/>
      <w:bCs/>
      <w:color w:val="07111F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80"/>
      <w:outlineLvl w:val="1"/>
    </w:pPr>
    <w:rPr>
      <w:rFonts w:asciiTheme="majorHAnsi" w:eastAsiaTheme="majorEastAsia" w:hAnsiTheme="majorHAnsi" w:cstheme="majorBidi" w:ascii="Inter" w:hAnsi="Inter"/>
      <w:b/>
      <w:bCs/>
      <w:color w:val="245A9A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60"/>
      <w:outlineLvl w:val="2"/>
    </w:pPr>
    <w:rPr>
      <w:rFonts w:asciiTheme="majorHAnsi" w:eastAsiaTheme="majorEastAsia" w:hAnsiTheme="majorHAnsi" w:cstheme="majorBidi" w:ascii="Inter" w:hAnsi="Inter"/>
      <w:b/>
      <w:bCs/>
      <w:color w:val="07111F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160" w:line="240" w:lineRule="auto" w:before="0"/>
      <w:contextualSpacing/>
    </w:pPr>
    <w:rPr>
      <w:rFonts w:asciiTheme="majorHAnsi" w:eastAsiaTheme="majorEastAsia" w:hAnsiTheme="majorHAnsi" w:cstheme="majorBidi" w:ascii="Inter" w:hAnsi="Inter"/>
      <w:b w:val="0"/>
      <w:color w:val="07111F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