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29D86A20" w:rsidR="005F2FE9" w:rsidRDefault="00DE7E0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26</w:t>
      </w:r>
      <w:r w:rsidRPr="00DE7E0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March 2</w:t>
      </w:r>
      <w:r w:rsidRPr="00DE7E04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</w:t>
      </w:r>
    </w:p>
    <w:p w14:paraId="5C3C50AA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10EF6686" w14:textId="77777777"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14:paraId="4B3CD136" w14:textId="77777777"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77777777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>January 15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77777777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B350A0C" w14:textId="77777777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14:paraId="0D1FE023" w14:textId="77777777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“A Very Gentle Introduction to Functorial Field Theory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7A4D3DB7" w14:textId="77777777"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14:paraId="00458979" w14:textId="77777777"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14:paraId="06B7A154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4DB4DA19" w14:textId="77777777"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2E1FDD58" w14:textId="77777777" w:rsidR="005F2FE9" w:rsidRPr="000048DC" w:rsidRDefault="003B254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>January 16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55A9622D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DE7E04">
        <w:t>Roshan Adikari</w:t>
      </w:r>
      <w:r>
        <w:t xml:space="preserve">  </w:t>
      </w:r>
    </w:p>
    <w:p w14:paraId="7449B494" w14:textId="106783DF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r w:rsidR="00DE7E04">
        <w:t>Pseudo-Endpoints of Chainable Continua and Endpoints of Nondegenerate Hereditarily Decomposable Chainable Continua</w:t>
      </w:r>
      <w:bookmarkStart w:id="0" w:name="_GoBack"/>
      <w:bookmarkEnd w:id="0"/>
      <w:r w:rsidRPr="007B45F5">
        <w:t>”</w:t>
      </w: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608C5FB4" w14:textId="77777777"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7D6D1E">
        <w:t>12</w:t>
      </w:r>
    </w:p>
    <w:p w14:paraId="044054CF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962499">
        <w:t>4</w:t>
      </w:r>
      <w:r>
        <w:t>:</w:t>
      </w:r>
      <w:r w:rsidR="00962499">
        <w:t>0</w:t>
      </w:r>
      <w:r>
        <w:t>0-</w:t>
      </w:r>
      <w:r w:rsidR="00962499">
        <w:t>5</w:t>
      </w:r>
      <w:r>
        <w:t>:</w:t>
      </w:r>
      <w:r w:rsidR="00962499">
        <w:t>0</w:t>
      </w:r>
      <w:r w:rsidRPr="007B3D23">
        <w:t>0pm</w:t>
      </w:r>
    </w:p>
    <w:p w14:paraId="33024990" w14:textId="77777777"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79CCF446" w14:textId="77777777" w:rsidR="00DB35D0" w:rsidRDefault="0068528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“TBA”</w:t>
      </w:r>
      <w:r w:rsidR="00DB35D0" w:rsidRPr="00DB35D0">
        <w:rPr>
          <w:b/>
          <w:sz w:val="28"/>
          <w:szCs w:val="28"/>
        </w:rPr>
        <w:t xml:space="preserve"> </w:t>
      </w:r>
    </w:p>
    <w:p w14:paraId="46C40EE6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3A8190E4" w14:textId="77777777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3B2547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77777777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62499">
        <w:rPr>
          <w:b/>
          <w:bCs/>
          <w:sz w:val="28"/>
          <w:szCs w:val="28"/>
        </w:rPr>
        <w:t>January 17</w:t>
      </w:r>
      <w:r w:rsidR="00962499" w:rsidRPr="00962499">
        <w:rPr>
          <w:b/>
          <w:bCs/>
          <w:sz w:val="28"/>
          <w:szCs w:val="28"/>
          <w:vertAlign w:val="superscript"/>
        </w:rPr>
        <w:t>th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08C60832" w14:textId="303510BA" w:rsidR="00D57F58" w:rsidRDefault="00B061B3" w:rsidP="00D57F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57F58">
        <w:t>110</w:t>
      </w:r>
    </w:p>
    <w:p w14:paraId="70ED6D58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5F88AB33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14:paraId="191CA277" w14:textId="77777777"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685287">
        <w:t>TBA</w:t>
      </w:r>
      <w:r>
        <w:t>”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2B6D0C4D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</w:t>
      </w:r>
      <w:r w:rsidR="00962499">
        <w:t>5</w:t>
      </w:r>
    </w:p>
    <w:p w14:paraId="117DAF68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1DBEDC8F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14:paraId="3E202122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14:paraId="71A3DE41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27880C0F" w14:textId="77777777"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2055A4">
        <w:t>112</w:t>
      </w:r>
    </w:p>
    <w:p w14:paraId="294361BC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19092B50" w14:textId="77777777"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85287">
        <w:t>TBA</w:t>
      </w:r>
    </w:p>
    <w:p w14:paraId="0FCF5084" w14:textId="77777777"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E03848"/>
    <w:rsid w:val="00E16D79"/>
    <w:rsid w:val="00EC6190"/>
    <w:rsid w:val="00EE0F68"/>
    <w:rsid w:val="00F123E2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FD3A7-F1B6-48DE-8651-C1770955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13</cp:revision>
  <cp:lastPrinted>2015-09-11T15:35:00Z</cp:lastPrinted>
  <dcterms:created xsi:type="dcterms:W3CDTF">2017-06-20T16:29:00Z</dcterms:created>
  <dcterms:modified xsi:type="dcterms:W3CDTF">2018-02-21T21:03:00Z</dcterms:modified>
</cp:coreProperties>
</file>