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KenTender Phase 2 Implementation Package</w:t>
      </w:r>
    </w:p>
    <w:p>
      <w:pPr>
        <w:jc w:val="center"/>
      </w:pPr>
      <w:r>
        <w:rPr>
          <w:i/>
          <w:sz w:val="22"/>
        </w:rPr>
        <w:t>Supplier Registration &amp; Full Tendering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Primary Deliverable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312"/>
            <w:vAlign w:val="center"/>
          </w:tcPr>
          <w:p/>
        </w:tc>
        <w:tc>
          <w:tcPr>
            <w:tcW w:type="dxa" w:w="3312"/>
            <w:vAlign w:val="center"/>
          </w:tcPr>
          <w:p/>
        </w:tc>
        <w:tc>
          <w:tcPr>
            <w:tcW w:type="dxa" w:w="3312"/>
            <w:vAlign w:val="center"/>
          </w:tcPr>
          <w:p/>
        </w:tc>
      </w:tr>
      <w:tr>
        <w:tc>
          <w:tcPr>
            <w:tcW w:type="dxa" w:w="3312"/>
            <w:vAlign w:val="center"/>
          </w:tcPr>
          <w:p>
            <w:r>
              <w:t>Supplier Governance</w:t>
            </w:r>
          </w:p>
        </w:tc>
        <w:tc>
          <w:tcPr>
            <w:tcW w:type="dxa" w:w="3312"/>
            <w:vAlign w:val="center"/>
          </w:tcPr>
          <w:p>
            <w:r>
              <w:t>Registration, compliance, category approval, suspension/debarment</w:t>
            </w:r>
          </w:p>
        </w:tc>
        <w:tc>
          <w:tcPr>
            <w:tcW w:type="dxa" w:w="3312"/>
            <w:vAlign w:val="center"/>
          </w:tcPr>
          <w:p>
            <w:r>
              <w:t>Determines who is eligible to participate</w:t>
            </w:r>
          </w:p>
        </w:tc>
      </w:tr>
      <w:tr>
        <w:tc>
          <w:tcPr>
            <w:tcW w:type="dxa" w:w="3312"/>
            <w:vAlign w:val="center"/>
          </w:tcPr>
          <w:p>
            <w:r>
              <w:t>Tendering Lifecycle</w:t>
            </w:r>
          </w:p>
        </w:tc>
        <w:tc>
          <w:tcPr>
            <w:tcW w:type="dxa" w:w="3312"/>
            <w:vAlign w:val="center"/>
          </w:tcPr>
          <w:p>
            <w:r>
              <w:t>Tender, submission, opening, evaluation, award</w:t>
            </w:r>
          </w:p>
        </w:tc>
        <w:tc>
          <w:tcPr>
            <w:tcW w:type="dxa" w:w="3312"/>
            <w:vAlign w:val="center"/>
          </w:tcPr>
          <w:p>
            <w:r>
              <w:t>Controls fair and auditable market interaction</w:t>
            </w:r>
          </w:p>
        </w:tc>
      </w:tr>
    </w:tbl>
    <w:p>
      <w:pPr>
        <w:pStyle w:val="Heading1"/>
        <w:spacing w:before="160" w:after="80"/>
      </w:pPr>
      <w:r>
        <w:t>Package Contents</w:t>
      </w:r>
    </w:p>
    <w:p>
      <w:pPr>
        <w:pStyle w:val="ListBullet"/>
        <w:spacing w:after="20"/>
      </w:pPr>
      <w:r>
        <w:t>Starter DocType JSONs for supplier registration, tender management, submission, evaluation, award, and handoff.</w:t>
      </w:r>
    </w:p>
    <w:p>
      <w:pPr>
        <w:pStyle w:val="ListBullet"/>
        <w:spacing w:after="20"/>
      </w:pPr>
      <w:r>
        <w:t>Starter workflow JSONs for supplier registration and tender lifecycle.</w:t>
      </w:r>
    </w:p>
    <w:p>
      <w:pPr>
        <w:pStyle w:val="ListBullet"/>
        <w:spacing w:after="20"/>
      </w:pPr>
      <w:r>
        <w:t>Python scaffolding for validation, numbering, locking, evaluation controls, and award handoff.</w:t>
      </w:r>
    </w:p>
    <w:p>
      <w:pPr>
        <w:pStyle w:val="ListBullet"/>
        <w:spacing w:after="20"/>
      </w:pPr>
      <w:r>
        <w:t>Role-permission matrix, report catalog, and UAT checklist.</w:t>
      </w:r>
    </w:p>
    <w:p>
      <w:pPr>
        <w:pStyle w:val="Heading1"/>
        <w:spacing w:before="160" w:after="80"/>
      </w:pPr>
      <w:r>
        <w:t>Implementation Boundary</w:t>
      </w:r>
    </w:p>
    <w:p>
      <w:r>
        <w:t>Phase 2 starts after approved Purchase Requisition and owns market-facing execution only. It should not absorb requisition logic or contract administration.</w:t>
      </w:r>
    </w:p>
    <w:p>
      <w:pPr>
        <w:pStyle w:val="ListBullet"/>
        <w:spacing w:after="20"/>
      </w:pPr>
      <w:r>
        <w:t>Upstream dependency: approved requisition source with clean demand, approvals, and budget control.</w:t>
      </w:r>
    </w:p>
    <w:p>
      <w:pPr>
        <w:pStyle w:val="ListBullet"/>
        <w:spacing w:after="20"/>
      </w:pPr>
      <w:r>
        <w:t>This package assumes the Phase 1 and Phase 1.5 modules already provide APP and requisition services.</w:t>
      </w:r>
    </w:p>
    <w:p>
      <w:pPr>
        <w:pStyle w:val="ListBullet"/>
        <w:spacing w:after="20"/>
      </w:pPr>
      <w:r>
        <w:t>Downstream boundary: contract and PO execution are only handed off, not managed here.</w:t>
      </w:r>
    </w:p>
    <w:p>
      <w:pPr>
        <w:pStyle w:val="Heading1"/>
        <w:spacing w:before="160" w:after="80"/>
      </w:pPr>
      <w:r>
        <w:t>Folder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doctypes/</w:t>
            </w:r>
          </w:p>
        </w:tc>
        <w:tc>
          <w:tcPr>
            <w:tcW w:type="dxa" w:w="4968"/>
          </w:tcPr>
          <w:p>
            <w:r>
              <w:t>Starter transaction and master record definitions</w:t>
            </w:r>
          </w:p>
        </w:tc>
      </w:tr>
      <w:tr>
        <w:tc>
          <w:tcPr>
            <w:tcW w:type="dxa" w:w="4968"/>
          </w:tcPr>
          <w:p>
            <w:r>
              <w:t>workflows/</w:t>
            </w:r>
          </w:p>
        </w:tc>
        <w:tc>
          <w:tcPr>
            <w:tcW w:type="dxa" w:w="4968"/>
          </w:tcPr>
          <w:p>
            <w:r>
              <w:t>Workflow scaffolds for Supplier Registration Application and Tender</w:t>
            </w:r>
          </w:p>
        </w:tc>
      </w:tr>
      <w:tr>
        <w:tc>
          <w:tcPr>
            <w:tcW w:type="dxa" w:w="4968"/>
          </w:tcPr>
          <w:p>
            <w:r>
              <w:t>python/</w:t>
            </w:r>
          </w:p>
        </w:tc>
        <w:tc>
          <w:tcPr>
            <w:tcW w:type="dxa" w:w="4968"/>
          </w:tcPr>
          <w:p>
            <w:r>
              <w:t>Server-side hooks and business logic placeholders</w:t>
            </w:r>
          </w:p>
        </w:tc>
      </w:tr>
      <w:tr>
        <w:tc>
          <w:tcPr>
            <w:tcW w:type="dxa" w:w="4968"/>
          </w:tcPr>
          <w:p>
            <w:r>
              <w:t>config/</w:t>
            </w:r>
          </w:p>
        </w:tc>
        <w:tc>
          <w:tcPr>
            <w:tcW w:type="dxa" w:w="4968"/>
          </w:tcPr>
          <w:p>
            <w:r>
              <w:t>Role-permission matrix</w:t>
            </w:r>
          </w:p>
        </w:tc>
      </w:tr>
      <w:tr>
        <w:tc>
          <w:tcPr>
            <w:tcW w:type="dxa" w:w="4968"/>
          </w:tcPr>
          <w:p>
            <w:r>
              <w:t>reports/</w:t>
            </w:r>
          </w:p>
        </w:tc>
        <w:tc>
          <w:tcPr>
            <w:tcW w:type="dxa" w:w="4968"/>
          </w:tcPr>
          <w:p>
            <w:r>
              <w:t>Report catalog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UAT checklist</w:t>
            </w:r>
          </w:p>
        </w:tc>
      </w:tr>
    </w:tbl>
    <w:p>
      <w:pPr>
        <w:pStyle w:val="Heading1"/>
        <w:spacing w:before="160" w:after="80"/>
      </w:pPr>
      <w:r>
        <w:t>Priority Build Order</w:t>
      </w:r>
    </w:p>
    <w:p>
      <w:pPr>
        <w:pStyle w:val="ListNumber"/>
        <w:spacing w:after="20"/>
      </w:pPr>
      <w:r>
        <w:t>Supplier registration, compliance documents, supplier status actions, and debarment controls.</w:t>
      </w:r>
    </w:p>
    <w:p>
      <w:pPr>
        <w:pStyle w:val="ListNumber"/>
        <w:spacing w:after="20"/>
      </w:pPr>
      <w:r>
        <w:t>Tender, lots, eligibility/security rules, and document pack management.</w:t>
      </w:r>
    </w:p>
    <w:p>
      <w:pPr>
        <w:pStyle w:val="ListNumber"/>
        <w:spacing w:after="20"/>
      </w:pPr>
      <w:r>
        <w:t>Secure submissions, deadline lock, receipt logs, and opening records.</w:t>
      </w:r>
    </w:p>
    <w:p>
      <w:pPr>
        <w:pStyle w:val="ListNumber"/>
        <w:spacing w:after="20"/>
      </w:pPr>
      <w:r>
        <w:t>Evaluation committee, declarations, worksheets, consensus, and post-qualification.</w:t>
      </w:r>
    </w:p>
    <w:p>
      <w:pPr>
        <w:pStyle w:val="ListNumber"/>
        <w:spacing w:after="20"/>
      </w:pPr>
      <w:r>
        <w:t>Award recommendation, award decision, notifications, challenge handling, and handoff.</w:t>
      </w:r>
    </w:p>
    <w:p>
      <w:pPr>
        <w:pStyle w:val="Heading1"/>
        <w:spacing w:before="160" w:after="80"/>
      </w:pPr>
      <w:r>
        <w:t>Hardening Priorities</w:t>
      </w:r>
    </w:p>
    <w:p>
      <w:pPr>
        <w:pStyle w:val="ListBullet"/>
        <w:spacing w:after="20"/>
      </w:pPr>
      <w:r>
        <w:t>Requisition-source service: enforce that every normal tender originates from approved requisition demand.</w:t>
      </w:r>
    </w:p>
    <w:p>
      <w:pPr>
        <w:pStyle w:val="ListBullet"/>
        <w:spacing w:after="20"/>
      </w:pPr>
      <w:r>
        <w:t>Sealed bid storage: implement encryption or equivalent protection so commercial content stays inaccessible before opening.</w:t>
      </w:r>
    </w:p>
    <w:p>
      <w:pPr>
        <w:pStyle w:val="ListBullet"/>
        <w:spacing w:after="20"/>
      </w:pPr>
      <w:r>
        <w:t>Document completeness rules: require tender pack and evaluation scheme before publication.</w:t>
      </w:r>
    </w:p>
    <w:p>
      <w:pPr>
        <w:pStyle w:val="ListBullet"/>
        <w:spacing w:after="20"/>
      </w:pPr>
      <w:r>
        <w:t>Fine-grained access control: keep opening, evaluation, and award roles separate.</w:t>
      </w:r>
    </w:p>
    <w:p>
      <w:pPr>
        <w:pStyle w:val="ListBullet"/>
        <w:spacing w:after="20"/>
      </w:pPr>
      <w:r>
        <w:t>Challenge-window hold rules: prevent final publication while active review cases remain unresolved where policy requires.</w:t>
      </w:r>
    </w:p>
    <w:p>
      <w:pPr>
        <w:pStyle w:val="Heading1"/>
        <w:spacing w:before="160" w:after="80"/>
      </w:pPr>
      <w:r>
        <w:t>Starter DocTypes 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Track 1</w:t>
            </w:r>
          </w:p>
        </w:tc>
        <w:tc>
          <w:tcPr>
            <w:tcW w:type="dxa" w:w="3312"/>
          </w:tcPr>
          <w:p>
            <w:r>
              <w:t>Track 2</w:t>
            </w:r>
          </w:p>
        </w:tc>
        <w:tc>
          <w:tcPr>
            <w:tcW w:type="dxa" w:w="3312"/>
          </w:tcPr>
          <w:p>
            <w:r>
              <w:t>Track 3</w:t>
            </w:r>
          </w:p>
        </w:tc>
      </w:tr>
      <w:tr>
        <w:tc>
          <w:tcPr>
            <w:tcW w:type="dxa" w:w="3312"/>
          </w:tcPr>
          <w:p>
            <w:r>
              <w:t>Supplier Registration Application</w:t>
            </w:r>
          </w:p>
        </w:tc>
        <w:tc>
          <w:tcPr>
            <w:tcW w:type="dxa" w:w="3312"/>
          </w:tcPr>
          <w:p>
            <w:r>
              <w:t>Supplier Master</w:t>
            </w:r>
          </w:p>
        </w:tc>
        <w:tc>
          <w:tcPr>
            <w:tcW w:type="dxa" w:w="3312"/>
          </w:tcPr>
          <w:p>
            <w:r>
              <w:t>Supplier Category Registration</w:t>
            </w:r>
          </w:p>
        </w:tc>
      </w:tr>
      <w:tr>
        <w:tc>
          <w:tcPr>
            <w:tcW w:type="dxa" w:w="3312"/>
          </w:tcPr>
          <w:p>
            <w:r>
              <w:t>Supplier Compliance Document</w:t>
            </w:r>
          </w:p>
        </w:tc>
        <w:tc>
          <w:tcPr>
            <w:tcW w:type="dxa" w:w="3312"/>
          </w:tcPr>
          <w:p>
            <w:r>
              <w:t>Supplier Status Action</w:t>
            </w:r>
          </w:p>
        </w:tc>
        <w:tc>
          <w:tcPr>
            <w:tcW w:type="dxa" w:w="3312"/>
          </w:tcPr>
          <w:p>
            <w:r>
              <w:t>Suspension Debarment Register</w:t>
            </w:r>
          </w:p>
        </w:tc>
      </w:tr>
      <w:tr>
        <w:tc>
          <w:tcPr>
            <w:tcW w:type="dxa" w:w="3312"/>
          </w:tcPr>
          <w:p>
            <w:r>
              <w:t>Tender</w:t>
            </w:r>
          </w:p>
        </w:tc>
        <w:tc>
          <w:tcPr>
            <w:tcW w:type="dxa" w:w="3312"/>
          </w:tcPr>
          <w:p>
            <w:r>
              <w:t>Tender Lot</w:t>
            </w:r>
          </w:p>
        </w:tc>
        <w:tc>
          <w:tcPr>
            <w:tcW w:type="dxa" w:w="3312"/>
          </w:tcPr>
          <w:p>
            <w:r>
              <w:t>Tender Document Pack</w:t>
            </w:r>
          </w:p>
        </w:tc>
      </w:tr>
      <w:tr>
        <w:tc>
          <w:tcPr>
            <w:tcW w:type="dxa" w:w="3312"/>
          </w:tcPr>
          <w:p>
            <w:r>
              <w:t>Tender Document Version</w:t>
            </w:r>
          </w:p>
        </w:tc>
        <w:tc>
          <w:tcPr>
            <w:tcW w:type="dxa" w:w="3312"/>
          </w:tcPr>
          <w:p>
            <w:r>
              <w:t>Tender Clarification</w:t>
            </w:r>
          </w:p>
        </w:tc>
        <w:tc>
          <w:tcPr>
            <w:tcW w:type="dxa" w:w="3312"/>
          </w:tcPr>
          <w:p>
            <w:r>
              <w:t>Tender Addendum</w:t>
            </w:r>
          </w:p>
        </w:tc>
      </w:tr>
      <w:tr>
        <w:tc>
          <w:tcPr>
            <w:tcW w:type="dxa" w:w="3312"/>
          </w:tcPr>
          <w:p>
            <w:r>
              <w:t>Tender Publication Record</w:t>
            </w:r>
          </w:p>
        </w:tc>
        <w:tc>
          <w:tcPr>
            <w:tcW w:type="dxa" w:w="3312"/>
          </w:tcPr>
          <w:p>
            <w:r>
              <w:t>Tender Submission</w:t>
            </w:r>
          </w:p>
        </w:tc>
        <w:tc>
          <w:tcPr>
            <w:tcW w:type="dxa" w:w="3312"/>
          </w:tcPr>
          <w:p>
            <w:r>
              <w:t>Bid Opening Record</w:t>
            </w:r>
          </w:p>
        </w:tc>
      </w:tr>
      <w:tr>
        <w:tc>
          <w:tcPr>
            <w:tcW w:type="dxa" w:w="3312"/>
          </w:tcPr>
          <w:p>
            <w:r>
              <w:t>Evaluation Committee</w:t>
            </w:r>
          </w:p>
        </w:tc>
        <w:tc>
          <w:tcPr>
            <w:tcW w:type="dxa" w:w="3312"/>
          </w:tcPr>
          <w:p>
            <w:r>
              <w:t>Evaluator Declaration</w:t>
            </w:r>
          </w:p>
        </w:tc>
        <w:tc>
          <w:tcPr>
            <w:tcW w:type="dxa" w:w="3312"/>
          </w:tcPr>
          <w:p>
            <w:r>
              <w:t>Evaluation Worksheet</w:t>
            </w:r>
          </w:p>
        </w:tc>
      </w:tr>
      <w:tr>
        <w:tc>
          <w:tcPr>
            <w:tcW w:type="dxa" w:w="3312"/>
          </w:tcPr>
          <w:p>
            <w:r>
              <w:t>Evaluation Consensus Record</w:t>
            </w:r>
          </w:p>
        </w:tc>
        <w:tc>
          <w:tcPr>
            <w:tcW w:type="dxa" w:w="3312"/>
          </w:tcPr>
          <w:p>
            <w:r>
              <w:t>Award Recommendation</w:t>
            </w:r>
          </w:p>
        </w:tc>
        <w:tc>
          <w:tcPr>
            <w:tcW w:type="dxa" w:w="3312"/>
          </w:tcPr>
          <w:p>
            <w:r>
              <w:t>Award Decision</w:t>
            </w:r>
          </w:p>
        </w:tc>
      </w:tr>
      <w:tr>
        <w:tc>
          <w:tcPr>
            <w:tcW w:type="dxa" w:w="3312"/>
          </w:tcPr>
          <w:p>
            <w:r>
              <w:t>Tender Notification Log</w:t>
            </w:r>
          </w:p>
        </w:tc>
        <w:tc>
          <w:tcPr>
            <w:tcW w:type="dxa" w:w="3312"/>
          </w:tcPr>
          <w:p>
            <w:r>
              <w:t>Challenge Review Case</w:t>
            </w:r>
          </w:p>
        </w:tc>
        <w:tc>
          <w:tcPr>
            <w:tcW w:type="dxa" w:w="3312"/>
          </w:tcPr>
          <w:p>
            <w:r>
              <w:t>Award Contract Handoff</w:t>
            </w:r>
          </w:p>
        </w:tc>
      </w:tr>
    </w:tbl>
    <w:p>
      <w:pPr>
        <w:pStyle w:val="Heading1"/>
        <w:spacing w:before="160" w:after="80"/>
      </w:pPr>
      <w:r>
        <w:t>Known Placeholder Areas</w:t>
      </w:r>
    </w:p>
    <w:p>
      <w:r>
        <w:t>The package is intentionally a build-starting scaffold. The following areas still require implementation detail in the app layer: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What to Implement</w:t>
            </w:r>
          </w:p>
        </w:tc>
      </w:tr>
      <w:tr>
        <w:tc>
          <w:tcPr>
            <w:tcW w:type="dxa" w:w="4968"/>
          </w:tcPr>
          <w:p>
            <w:r>
              <w:t>supplier.py</w:t>
            </w:r>
          </w:p>
        </w:tc>
        <w:tc>
          <w:tcPr>
            <w:tcW w:type="dxa" w:w="4968"/>
          </w:tcPr>
          <w:p>
            <w:r>
              <w:t>Mandatory document matrix by supplier type/category; create/update Supplier Master logic.</w:t>
            </w:r>
          </w:p>
        </w:tc>
      </w:tr>
      <w:tr>
        <w:tc>
          <w:tcPr>
            <w:tcW w:type="dxa" w:w="4968"/>
          </w:tcPr>
          <w:p>
            <w:r>
              <w:t>tender.py</w:t>
            </w:r>
          </w:p>
        </w:tc>
        <w:tc>
          <w:tcPr>
            <w:tcW w:type="dxa" w:w="4968"/>
          </w:tcPr>
          <w:p>
            <w:r>
              <w:t>Requisition-source validation; document pack completeness; committee readiness checks.</w:t>
            </w:r>
          </w:p>
        </w:tc>
      </w:tr>
      <w:tr>
        <w:tc>
          <w:tcPr>
            <w:tcW w:type="dxa" w:w="4968"/>
          </w:tcPr>
          <w:p>
            <w:r>
              <w:t>submission.py</w:t>
            </w:r>
          </w:p>
        </w:tc>
        <w:tc>
          <w:tcPr>
            <w:tcW w:type="dxa" w:w="4968"/>
          </w:tcPr>
          <w:p>
            <w:r>
              <w:t>Deadline enforcement, eligibility service, sealed submission storage and attachment validation.</w:t>
            </w:r>
          </w:p>
        </w:tc>
      </w:tr>
      <w:tr>
        <w:tc>
          <w:tcPr>
            <w:tcW w:type="dxa" w:w="4968"/>
          </w:tcPr>
          <w:p>
            <w:r>
              <w:t>evaluation.py</w:t>
            </w:r>
          </w:p>
        </w:tc>
        <w:tc>
          <w:tcPr>
            <w:tcW w:type="dxa" w:w="4968"/>
          </w:tcPr>
          <w:p>
            <w:r>
              <w:t>Stage separation, access controls, and consensus aggregation.</w:t>
            </w:r>
          </w:p>
        </w:tc>
      </w:tr>
      <w:tr>
        <w:tc>
          <w:tcPr>
            <w:tcW w:type="dxa" w:w="4968"/>
          </w:tcPr>
          <w:p>
            <w:r>
              <w:t>award.py</w:t>
            </w:r>
          </w:p>
        </w:tc>
        <w:tc>
          <w:tcPr>
            <w:tcW w:type="dxa" w:w="4968"/>
          </w:tcPr>
          <w:p>
            <w:r>
              <w:t>Recommendation linkage, challenge holds, and contract/PO handoff policy.</w:t>
            </w:r>
          </w:p>
        </w:tc>
      </w:tr>
      <w:tr>
        <w:tc>
          <w:tcPr>
            <w:tcW w:type="dxa" w:w="4968"/>
          </w:tcPr>
          <w:p>
            <w:r>
              <w:t>jobs.py</w:t>
            </w:r>
          </w:p>
        </w:tc>
        <w:tc>
          <w:tcPr>
            <w:tcW w:type="dxa" w:w="4968"/>
          </w:tcPr>
          <w:p>
            <w:r>
              <w:t>Expiry alerts, automatic tender closure, and challenge window notifications.</w:t>
            </w:r>
          </w:p>
        </w:tc>
      </w:tr>
    </w:tbl>
    <w:p>
      <w:pPr>
        <w:pStyle w:val="Heading1"/>
        <w:spacing w:before="160" w:after="80"/>
      </w:pPr>
      <w:r>
        <w:t>UAT Focus</w:t>
      </w:r>
    </w:p>
    <w:p>
      <w:pPr>
        <w:pStyle w:val="ListBullet"/>
        <w:spacing w:after="20"/>
      </w:pPr>
      <w:r>
        <w:t>1. Supplier with active debarment record is blocked from bid submission.</w:t>
      </w:r>
    </w:p>
    <w:p>
      <w:pPr>
        <w:pStyle w:val="ListBullet"/>
        <w:spacing w:after="20"/>
      </w:pPr>
      <w:r>
        <w:t>2. Tender cannot be published without an approved requisition source and complete document pack.</w:t>
      </w:r>
    </w:p>
    <w:p>
      <w:pPr>
        <w:pStyle w:val="ListBullet"/>
        <w:spacing w:after="20"/>
      </w:pPr>
      <w:r>
        <w:t>3. Submission locks automatically at closing datetime using server time.</w:t>
      </w:r>
    </w:p>
    <w:p>
      <w:pPr>
        <w:pStyle w:val="ListBullet"/>
        <w:spacing w:after="20"/>
      </w:pPr>
      <w:r>
        <w:t>4. Bid price content remains sealed until the opening action occurs.</w:t>
      </w:r>
    </w:p>
    <w:p>
      <w:pPr>
        <w:pStyle w:val="ListBullet"/>
        <w:spacing w:after="20"/>
      </w:pPr>
      <w:r>
        <w:t>5. Opening record is generated and becomes immutable after committee signoff.</w:t>
      </w:r>
    </w:p>
    <w:p>
      <w:pPr>
        <w:pStyle w:val="ListBullet"/>
        <w:spacing w:after="20"/>
      </w:pPr>
      <w:r>
        <w:t>6. Evaluator cannot submit worksheet before signing declaration.</w:t>
      </w:r>
    </w:p>
    <w:p>
      <w:pPr>
        <w:pStyle w:val="ListBullet"/>
        <w:spacing w:after="20"/>
      </w:pPr>
      <w:r>
        <w:t>7. Evaluation consensus requires underlying evaluator worksheets.</w:t>
      </w:r>
    </w:p>
    <w:p>
      <w:pPr>
        <w:pStyle w:val="ListBullet"/>
        <w:spacing w:after="20"/>
      </w:pPr>
      <w:r>
        <w:t>8. Award decision cannot finalize without a recommendation reference.</w:t>
      </w:r>
    </w:p>
    <w:p>
      <w:pPr>
        <w:pStyle w:val="ListBullet"/>
        <w:spacing w:after="20"/>
      </w:pPr>
      <w:r>
        <w:t>9. Active challenge case holds final award publication where configured.</w:t>
      </w:r>
    </w:p>
    <w:p>
      <w:pPr>
        <w:pStyle w:val="ListBullet"/>
        <w:spacing w:after="20"/>
      </w:pPr>
      <w:r>
        <w:t>10. Award handoff record is blocked until final award state is reached.</w:t>
      </w:r>
    </w:p>
    <w:p>
      <w:pPr>
        <w:pStyle w:val="Heading1"/>
        <w:spacing w:before="160" w:after="80"/>
      </w:pPr>
      <w:r>
        <w:t>Adoption Note</w:t>
      </w:r>
    </w:p>
    <w:p>
      <w:r>
        <w:t>Use this package as the baseline for the implementation team. Do not treat it as a drop-in production module. The correct next move after import is to connect it to real policy services, access rules, and storage controls, then run end-to-end UAT with opening and evaluation segregation enabled.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