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12"/>
        <w:jc w:val="both"/>
      </w:pPr>
      <w:r>
        <w:rPr>
          <w:rFonts w:ascii="Times New Roman" w:hAnsi="Times New Roman"/>
          <w:b/>
          <w:i w:val="0"/>
          <w:sz w:val="28"/>
        </w:rPr>
        <w:t>THỦ TƯỚNG CHÍNH PHỦ</w:t>
      </w:r>
      <w:r>
        <w:rPr>
          <w:rFonts w:ascii="Times New Roman" w:hAnsi="Times New Roman"/>
          <w:b w:val="0"/>
          <w:i w:val="0"/>
          <w:sz w:val="28"/>
        </w:rPr>
        <w:t xml:space="preserve"> </w:t>
      </w:r>
    </w:p>
    <w:p>
      <w:pPr>
        <w:spacing w:before="0" w:after="112"/>
        <w:jc w:val="both"/>
      </w:pPr>
      <w:r>
        <w:rPr>
          <w:rFonts w:ascii="Times New Roman" w:hAnsi="Times New Roman"/>
          <w:b w:val="0"/>
          <w:i w:val="0"/>
          <w:sz w:val="28"/>
        </w:rPr>
        <w:t xml:space="preserve">—— Số: 552/QĐ-TTg </w:t>
      </w:r>
    </w:p>
    <w:p>
      <w:pPr>
        <w:spacing w:before="0" w:after="112"/>
        <w:jc w:val="both"/>
      </w:pPr>
      <w:r>
        <w:rPr>
          <w:rFonts w:ascii="Times New Roman" w:hAnsi="Times New Roman"/>
          <w:b/>
          <w:i w:val="0"/>
          <w:sz w:val="28"/>
        </w:rPr>
        <w:t>CỘNG HOÀ XÃ HỘI CHỦ NGHĨA VIỆT NAM</w:t>
      </w:r>
      <w:r>
        <w:rPr>
          <w:rFonts w:ascii="Times New Roman" w:hAnsi="Times New Roman"/>
          <w:b w:val="0"/>
          <w:i w:val="0"/>
          <w:sz w:val="28"/>
        </w:rPr>
        <w:t xml:space="preserve"> </w:t>
      </w:r>
    </w:p>
    <w:p>
      <w:pPr>
        <w:spacing w:before="0" w:after="112"/>
        <w:jc w:val="both"/>
      </w:pPr>
      <w:r>
        <w:rPr>
          <w:rFonts w:ascii="Times New Roman" w:hAnsi="Times New Roman"/>
          <w:b/>
          <w:i w:val="0"/>
          <w:sz w:val="28"/>
        </w:rPr>
        <w:t>Độc lập - Tự do - Hạnh phúc</w:t>
      </w:r>
      <w:r>
        <w:rPr>
          <w:rFonts w:ascii="Times New Roman" w:hAnsi="Times New Roman"/>
          <w:b w:val="0"/>
          <w:i w:val="0"/>
          <w:sz w:val="28"/>
        </w:rPr>
        <w:t xml:space="preserve"> </w:t>
      </w:r>
    </w:p>
    <w:p>
      <w:pPr>
        <w:spacing w:before="0" w:after="112"/>
        <w:jc w:val="both"/>
      </w:pPr>
      <w:r>
        <w:rPr>
          <w:rFonts w:ascii="Times New Roman" w:hAnsi="Times New Roman"/>
          <w:b w:val="0"/>
          <w:i w:val="0"/>
          <w:sz w:val="18"/>
        </w:rPr>
        <w:t>______________________________</w:t>
      </w:r>
      <w:r>
        <w:rPr>
          <w:rFonts w:ascii="Times New Roman" w:hAnsi="Times New Roman"/>
          <w:b w:val="0"/>
          <w:i w:val="0"/>
          <w:sz w:val="28"/>
        </w:rPr>
        <w:t xml:space="preserve"> </w:t>
      </w:r>
      <w:r>
        <w:rPr>
          <w:rFonts w:ascii="Times New Roman" w:hAnsi="Times New Roman"/>
          <w:b w:val="0"/>
          <w:i/>
          <w:sz w:val="28"/>
        </w:rPr>
        <w:t>Hà Nội, ngày 14 tháng 5 năm 2012</w:t>
      </w:r>
      <w:r>
        <w:rPr>
          <w:rFonts w:ascii="Times New Roman" w:hAnsi="Times New Roman"/>
          <w:b w:val="0"/>
          <w:i w:val="0"/>
          <w:sz w:val="28"/>
        </w:rPr>
        <w:t xml:space="preserve"> </w:t>
      </w:r>
    </w:p>
    <w:p>
      <w:pPr>
        <w:spacing w:before="0" w:after="112"/>
        <w:jc w:val="both"/>
      </w:pPr>
      <w:r>
        <w:rPr>
          <w:rFonts w:ascii="Times New Roman" w:hAnsi="Times New Roman"/>
          <w:b/>
          <w:i w:val="0"/>
          <w:sz w:val="28"/>
        </w:rPr>
        <w:t xml:space="preserve"> QUYẾT ĐỊNH</w:t>
      </w:r>
      <w:r>
        <w:rPr>
          <w:rFonts w:ascii="Times New Roman" w:hAnsi="Times New Roman"/>
          <w:b w:val="0"/>
          <w:i w:val="0"/>
          <w:sz w:val="28"/>
        </w:rPr>
        <w:t xml:space="preserve"> </w:t>
      </w:r>
      <w:r>
        <w:rPr>
          <w:rFonts w:ascii="Times New Roman" w:hAnsi="Times New Roman"/>
          <w:b/>
          <w:i w:val="0"/>
          <w:sz w:val="28"/>
        </w:rPr>
        <w:t>Về việc bổ nhiệm Ủy viên thường trực Hội đồng quốc gia về tài nguyên nước</w:t>
      </w:r>
      <w:r>
        <w:rPr>
          <w:rFonts w:ascii="Times New Roman" w:hAnsi="Times New Roman"/>
          <w:b w:val="0"/>
          <w:i w:val="0"/>
          <w:sz w:val="28"/>
        </w:rPr>
        <w:t xml:space="preserve"> </w:t>
      </w:r>
    </w:p>
    <w:p>
      <w:pPr>
        <w:spacing w:before="0" w:after="112"/>
        <w:jc w:val="center"/>
      </w:pPr>
      <w:r>
        <w:rPr>
          <w:rFonts w:ascii="Times New Roman" w:hAnsi="Times New Roman"/>
          <w:b/>
          <w:i w:val="0"/>
          <w:sz w:val="28"/>
        </w:rPr>
        <w:t>__________________</w:t>
      </w:r>
      <w:r>
        <w:rPr>
          <w:rFonts w:ascii="Times New Roman" w:hAnsi="Times New Roman"/>
          <w:b w:val="0"/>
          <w:i w:val="0"/>
          <w:sz w:val="28"/>
        </w:rPr>
        <w:t xml:space="preserve"> </w:t>
      </w:r>
    </w:p>
    <w:p>
      <w:pPr>
        <w:spacing w:before="0" w:after="112"/>
        <w:jc w:val="center"/>
      </w:pPr>
      <w:r>
        <w:rPr>
          <w:rFonts w:ascii="Times New Roman" w:hAnsi="Times New Roman"/>
          <w:b w:val="0"/>
          <w:i w:val="0"/>
          <w:sz w:val="28"/>
        </w:rPr>
        <w:t xml:space="preserve">  </w:t>
      </w:r>
      <w:r>
        <w:rPr>
          <w:rFonts w:ascii="Times New Roman" w:hAnsi="Times New Roman"/>
          <w:b/>
          <w:i w:val="0"/>
          <w:sz w:val="28"/>
        </w:rPr>
        <w:t>THỦ TƯỚNG CHÍNH PHỦ</w:t>
      </w:r>
      <w:r>
        <w:rPr>
          <w:rFonts w:ascii="Times New Roman" w:hAnsi="Times New Roman"/>
          <w:b w:val="0"/>
          <w:i w:val="0"/>
          <w:sz w:val="28"/>
        </w:rPr>
        <w:t xml:space="preserve"> </w:t>
      </w:r>
    </w:p>
    <w:p>
      <w:pPr>
        <w:spacing w:before="0" w:after="112"/>
        <w:jc w:val="both"/>
      </w:pPr>
      <w:r>
        <w:rPr>
          <w:rFonts w:ascii="Times New Roman" w:hAnsi="Times New Roman"/>
          <w:b w:val="0"/>
          <w:i w:val="0"/>
          <w:sz w:val="28"/>
        </w:rPr>
        <w:t xml:space="preserve">Căn cứ Luật Tổ chức Chính phủ ngày 25 tháng 12 năm 2001; </w:t>
      </w:r>
    </w:p>
    <w:p>
      <w:pPr>
        <w:spacing w:before="0" w:after="112"/>
        <w:jc w:val="both"/>
      </w:pPr>
      <w:r>
        <w:rPr>
          <w:rFonts w:ascii="Times New Roman" w:hAnsi="Times New Roman"/>
          <w:b w:val="0"/>
          <w:i w:val="0"/>
          <w:sz w:val="28"/>
        </w:rPr>
        <w:t xml:space="preserve">Căn cứ Luật tài nguyên nước ngày 20 tháng 5 năm 1998; </w:t>
      </w:r>
    </w:p>
    <w:p>
      <w:pPr>
        <w:spacing w:before="0" w:after="112"/>
        <w:jc w:val="both"/>
      </w:pPr>
      <w:r>
        <w:rPr>
          <w:rFonts w:ascii="Times New Roman" w:hAnsi="Times New Roman"/>
          <w:b w:val="0"/>
          <w:i w:val="0"/>
          <w:sz w:val="28"/>
        </w:rPr>
        <w:t xml:space="preserve">Căn cứ Quyết định số 67/2000/QĐ-TTg ngày 15 tháng 5 năm 2000 của Thủ tướng Chính phủ về việc thành lập Hội đồng quốc gia về tài nguyên nước; </w:t>
      </w:r>
    </w:p>
    <w:p>
      <w:pPr>
        <w:spacing w:before="0" w:after="112"/>
        <w:jc w:val="both"/>
      </w:pPr>
      <w:r>
        <w:rPr>
          <w:rFonts w:ascii="Times New Roman" w:hAnsi="Times New Roman"/>
          <w:b w:val="0"/>
          <w:i w:val="0"/>
          <w:sz w:val="28"/>
        </w:rPr>
        <w:t xml:space="preserve">Xét đề nghị của Bộ trưởng Bộ Tài nguyên và Môi trường (Tờ trình số 18/TTr-BTNMT ngày 20 tháng 4 năm 2012), </w:t>
      </w:r>
    </w:p>
    <w:p>
      <w:pPr>
        <w:spacing w:before="0" w:after="112"/>
        <w:jc w:val="center"/>
      </w:pPr>
      <w:r>
        <w:rPr>
          <w:rFonts w:ascii="Times New Roman" w:hAnsi="Times New Roman"/>
          <w:b/>
          <w:i w:val="0"/>
          <w:sz w:val="28"/>
        </w:rPr>
        <w:t xml:space="preserve">QUYẾT ĐỊNH: </w:t>
      </w:r>
    </w:p>
    <w:p>
      <w:pPr>
        <w:spacing w:before="0" w:after="112"/>
        <w:jc w:val="both"/>
      </w:pPr>
      <w:r>
        <w:rPr>
          <w:rFonts w:ascii="Times New Roman" w:hAnsi="Times New Roman"/>
          <w:b/>
          <w:i w:val="0"/>
          <w:sz w:val="28"/>
        </w:rPr>
        <w:t xml:space="preserve">Điều 1. </w:t>
      </w:r>
      <w:r>
        <w:rPr>
          <w:rFonts w:ascii="Times New Roman" w:hAnsi="Times New Roman"/>
          <w:b w:val="0"/>
          <w:i w:val="0"/>
          <w:sz w:val="28"/>
        </w:rPr>
        <w:t xml:space="preserve">Bổ nhiệm ông Nguyễn Minh Quang, Bộ trưởng Bộ Tài nguyên và Môi trường giữ chức Ủy viên thường trực Hội đồng quốc gia về tài nguyên nước thay ông Phạm Khôi Nguyên, nguyên Bộ trưởng Bộ Tài nguyên và Môi trường. </w:t>
      </w:r>
    </w:p>
    <w:p>
      <w:pPr>
        <w:spacing w:before="0" w:after="112"/>
        <w:jc w:val="both"/>
      </w:pPr>
      <w:r>
        <w:rPr>
          <w:rFonts w:ascii="Times New Roman" w:hAnsi="Times New Roman"/>
          <w:b/>
          <w:i w:val="0"/>
          <w:sz w:val="28"/>
        </w:rPr>
        <w:t>Điều 2.</w:t>
      </w:r>
      <w:r>
        <w:rPr>
          <w:rFonts w:ascii="Times New Roman" w:hAnsi="Times New Roman"/>
          <w:b w:val="0"/>
          <w:i w:val="0"/>
          <w:sz w:val="28"/>
        </w:rPr>
        <w:t xml:space="preserve"> Quyết định này có hiệu lực kể từ ngày ký ban hành và thay thế Quyết định số 1757/QĐ-TTg ngày 20 tháng 11 năm 2007 của Thủ tướng Chính phủ. </w:t>
      </w:r>
    </w:p>
    <w:p>
      <w:pPr>
        <w:spacing w:before="0" w:after="112"/>
        <w:jc w:val="both"/>
      </w:pPr>
      <w:r>
        <w:rPr>
          <w:rFonts w:ascii="Times New Roman" w:hAnsi="Times New Roman"/>
          <w:b w:val="0"/>
          <w:i w:val="0"/>
          <w:sz w:val="28"/>
        </w:rPr>
        <w:t xml:space="preserve">Bộ trưởng, Thủ trưởng cơ quan ngang Bộ, Thủ trưởng cơ quan thuộc Chính phủ, Chủ tịch Ủy ban nhân dân các tỉnh, thành phố trực thuộc Trung ương và các thành viên Hội đồng quốc gia về tài nguyên nước chịu trách nhiệm thi hành Quyết định này./. </w:t>
      </w:r>
    </w:p>
    <w:p>
      <w:pPr>
        <w:spacing w:before="0" w:after="112"/>
        <w:jc w:val="both"/>
      </w:pPr>
      <w:r>
        <w:rPr>
          <w:rFonts w:ascii="Times New Roman" w:hAnsi="Times New Roman"/>
          <w:b w:val="0"/>
          <w:i w:val="0"/>
          <w:sz w:val="22"/>
        </w:rPr>
        <w:t xml:space="preserve">  </w:t>
      </w:r>
      <w:r>
        <w:rPr>
          <w:rFonts w:ascii="Times New Roman" w:hAnsi="Times New Roman"/>
          <w:b/>
          <w:i/>
          <w:sz w:val="22"/>
        </w:rPr>
        <w:t>Nơi nhận:</w:t>
      </w:r>
      <w:r>
        <w:rPr>
          <w:rFonts w:ascii="Times New Roman" w:hAnsi="Times New Roman"/>
          <w:b w:val="0"/>
          <w:i w:val="0"/>
          <w:sz w:val="22"/>
        </w:rPr>
        <w:t xml:space="preserve"> - Như Điều 2; - Ban Bí thư TW Đảng; - Thủ tướng, các Phó Thủ tướng Chính phủ; - Văn phòng Trung ương Đảng; - Văn phòng Tổng Bí thư; - VPCP: BTCN, các PCN; Các Trợ lý, Thư ký TTG, các PTTg; Các  Vụ: KGVX, NC, PL, ĐP;Cổng TTĐT; - Lưu: Văn thư, KTN (3)  </w:t>
      </w:r>
    </w:p>
    <w:p>
      <w:pPr>
        <w:spacing w:before="0" w:after="112"/>
        <w:jc w:val="both"/>
      </w:pPr>
      <w:r>
        <w:rPr>
          <w:rFonts w:ascii="Times New Roman" w:hAnsi="Times New Roman"/>
          <w:b/>
          <w:i w:val="0"/>
          <w:sz w:val="28"/>
        </w:rPr>
        <w:t>THỦ TƯỚNG</w:t>
      </w:r>
      <w:r>
        <w:rPr>
          <w:rFonts w:ascii="Times New Roman" w:hAnsi="Times New Roman"/>
          <w:b w:val="0"/>
          <w:i w:val="0"/>
          <w:sz w:val="28"/>
        </w:rPr>
        <w:t xml:space="preserve"> </w:t>
      </w:r>
    </w:p>
    <w:p>
      <w:pPr>
        <w:spacing w:before="0" w:after="112"/>
        <w:jc w:val="both"/>
      </w:pPr>
      <w:r>
        <w:rPr>
          <w:rFonts w:ascii="Times New Roman" w:hAnsi="Times New Roman"/>
          <w:b/>
          <w:i/>
          <w:sz w:val="28"/>
        </w:rPr>
        <w:t>(Đã ký)</w:t>
      </w:r>
      <w:r>
        <w:rPr>
          <w:rFonts w:ascii="Times New Roman" w:hAnsi="Times New Roman"/>
          <w:b w:val="0"/>
          <w:i/>
          <w:sz w:val="28"/>
        </w:rPr>
        <w:t xml:space="preserve"> </w:t>
      </w:r>
    </w:p>
    <w:p>
      <w:pPr>
        <w:spacing w:before="0" w:after="112"/>
        <w:jc w:val="both"/>
      </w:pPr>
      <w:r>
        <w:rPr>
          <w:rFonts w:ascii="Times New Roman" w:hAnsi="Times New Roman"/>
          <w:b/>
          <w:i w:val="0"/>
          <w:sz w:val="28"/>
        </w:rPr>
        <w:t xml:space="preserve">Nguyễn Tấn Dũng </w:t>
      </w:r>
      <w:r>
        <w:rPr>
          <w:rFonts w:ascii="Times New Roman" w:hAnsi="Times New Roman"/>
          <w:b w:val="0"/>
          <w:i w:val="0"/>
          <w:sz w:val="28"/>
        </w:rPr>
        <w:t xml:space="preserve"> </w:t>
      </w:r>
    </w:p>
    <w:p>
      <w:r>
        <w:br w:type="page"/>
      </w:r>
    </w:p>
    <w:sectPr w:rsidR="00FC693F" w:rsidRPr="0006063C" w:rsidSect="00034616">
      <w:pgSz w:w="12240" w:h="15840"/>
      <w:pgMar w:top="911" w:right="1084" w:bottom="260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