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707F6" w14:textId="77777777" w:rsidR="00EB4D45" w:rsidRDefault="00EB4D45" w:rsidP="00EB4D45"/>
    <w:p w14:paraId="016B64EC" w14:textId="24AC6520" w:rsidR="00EB4D45" w:rsidRDefault="00EB4D45" w:rsidP="00EB4D45"/>
    <w:p w14:paraId="5EB7E953" w14:textId="1C95C60C" w:rsidR="00EB4D45" w:rsidRDefault="00EB4D45" w:rsidP="00EB4D45"/>
    <w:p w14:paraId="2F26AB2C" w14:textId="33AC90CF" w:rsidR="00EB4D45" w:rsidRDefault="00EB4D45" w:rsidP="00EB4D45">
      <w:r>
        <w:t>\subsection*{Theoretical Background}</w:t>
      </w:r>
    </w:p>
    <w:p w14:paraId="79817147" w14:textId="77777777" w:rsidR="00EB4D45" w:rsidRDefault="00EB4D45" w:rsidP="00EB4D45">
      <w:r>
        <w:t>\subsection*{Case Selection}</w:t>
      </w:r>
    </w:p>
    <w:p w14:paraId="75E396C4" w14:textId="77777777" w:rsidR="00EB4D45" w:rsidRDefault="00EB4D45" w:rsidP="00EB4D45"/>
    <w:p w14:paraId="371BE5A6" w14:textId="77777777" w:rsidR="00EB4D45" w:rsidRDefault="00EB4D45" w:rsidP="00EB4D45">
      <w:r>
        <w:t>The project will begin by collecting sources of data which can identify workers in AWAs and the online gig economy. Following the work of \cite{abraham_measuring_2018} the two data sources selected are the Current Population Survey Contingent Worker Supplement (CWS) and Nonemployer Statistics (NES). Both of these data sources allow for a partial identification of the workers of interest. In addition to this, the subset of workers participating in the gig economy will be identified and compared to traditional AWAs. While previous work has shown reduction in job lock as a result of access to health insurance not supplied by an employer, this paper hypothesizes that the effect will be greater among participants in the online gig economy. To aid in this identification and account for the variability in work arrangements across the online gig economy, this paper will focus on a comparison of work with Uber before and after the introduction of insurance exchanges through the ACA. Uber remains one of the most recognizable brands within the online gig economy, at one point estimated to be responsible for roughly two-thirds of all gig employment \cite{harris_proposal_2015}, and operated in varying geographic areas before and after the introduction of multiple policy elements of the ACA. As a result, I will use Uber as an indicator firm for the behavior of gig employees in general. \\</w:t>
      </w:r>
    </w:p>
    <w:p w14:paraId="4445E24D" w14:textId="77777777" w:rsidR="00EB4D45" w:rsidRDefault="00EB4D45" w:rsidP="00EB4D45"/>
    <w:p w14:paraId="48078B60" w14:textId="77777777" w:rsidR="00EB4D45" w:rsidRDefault="00EB4D45" w:rsidP="00EB4D45"/>
    <w:p w14:paraId="647AAED3" w14:textId="77777777" w:rsidR="00EB4D45" w:rsidRDefault="00EB4D45" w:rsidP="00EB4D45"/>
    <w:p w14:paraId="5191C365" w14:textId="77777777" w:rsidR="00EB4D45" w:rsidRDefault="00EB4D45" w:rsidP="00EB4D45">
      <w:r>
        <w:t>\subsection*{Research Design}</w:t>
      </w:r>
    </w:p>
    <w:p w14:paraId="6001E55D" w14:textId="77777777" w:rsidR="00EB4D45" w:rsidRDefault="00EB4D45" w:rsidP="00EB4D45"/>
    <w:p w14:paraId="43C8FB4C" w14:textId="77777777" w:rsidR="00EB4D45" w:rsidRDefault="00EB4D45" w:rsidP="00EB4D45">
      <w:r>
        <w:t>This section describes the researcher’s approach to (1) identifying the number of AWAs and potential gig workers within a given geographic region, (2) evaluating the quality of self-reported self-employed status, and (3) estimating the effect of the ACA on the propensity for workers to engage in the gig economy. \\</w:t>
      </w:r>
    </w:p>
    <w:p w14:paraId="105D7CA3" w14:textId="77777777" w:rsidR="00EB4D45" w:rsidRDefault="00EB4D45" w:rsidP="00EB4D45"/>
    <w:p w14:paraId="6D832D83" w14:textId="77777777" w:rsidR="00EB4D45" w:rsidRDefault="00EB4D45" w:rsidP="00EB4D45">
      <w:r>
        <w:t>\noindent \textbf{Identifying the Number of AWAs and Potential Gig Workers Within a Given Geographic Region and sector} \\</w:t>
      </w:r>
    </w:p>
    <w:p w14:paraId="5C75F28C" w14:textId="77777777" w:rsidR="00EB4D45" w:rsidRDefault="00EB4D45" w:rsidP="00EB4D45"/>
    <w:p w14:paraId="33E6DDB8" w14:textId="77777777" w:rsidR="00EB4D45" w:rsidRDefault="00EB4D45" w:rsidP="00EB4D45"/>
    <w:p w14:paraId="3AD4B529" w14:textId="77777777" w:rsidR="00EB4D45" w:rsidRDefault="00EB4D45" w:rsidP="00EB4D45">
      <w:r>
        <w:t>This research will begin by considering all individuals are operating in an employment space that has little availability of employer supplied health insurance, since their behavior in reference to the introduction of the ACA will be an important comparison to the behavior of gig employees. Using the ACS class of worker tag “Self-employed in own not incorporated business, professional practice, or farm” or “Self-employed in own incorporated business, professional practice or farm” the researcher will be able to identify those individuals who utilize an AWA as their primary means of income. Without any specification of industry NAICS code this pool of workers will represent the broadest category of interest. \\</w:t>
      </w:r>
    </w:p>
    <w:p w14:paraId="0D36AD28" w14:textId="77777777" w:rsidR="00EB4D45" w:rsidRDefault="00EB4D45" w:rsidP="00EB4D45"/>
    <w:p w14:paraId="059D810C" w14:textId="77777777" w:rsidR="00EB4D45" w:rsidRDefault="00EB4D45" w:rsidP="00EB4D45">
      <w:r>
        <w:t>Upon the identification of this pool of workers, the researcher will then include qualifiers on the Occupation Codes variable to identify how many of the workers participating in AWAs are also working in the Taxi and Limousine Service or Other Transit and Ground Passenger Transportation NAICS sectors. Those respondents who do not own or have access to cars will not be able to be Uber drivers.  Preliminary estimates as to the size of the sample present in the ACS and the Nonemployer Statistics (NES) data set given these criteria are as follows: \\</w:t>
      </w:r>
    </w:p>
    <w:p w14:paraId="066C4E9A" w14:textId="77777777" w:rsidR="00EB4D45" w:rsidRDefault="00EB4D45" w:rsidP="00EB4D45"/>
    <w:p w14:paraId="041027FD" w14:textId="77777777" w:rsidR="00EB4D45" w:rsidRDefault="00EB4D45" w:rsidP="00EB4D45">
      <w:r>
        <w:t>% place a summary table of the CPS, ACS, and NES data regarding the number of "drivers" or establishments in a given year, how many cities have Uber, and what aspects of the ACA are in operation in a given Year</w:t>
      </w:r>
    </w:p>
    <w:p w14:paraId="7ADAD7AB" w14:textId="77777777" w:rsidR="00EB4D45" w:rsidRDefault="00EB4D45" w:rsidP="00EB4D45"/>
    <w:p w14:paraId="3890B541" w14:textId="77777777" w:rsidR="00EB4D45" w:rsidRDefault="00EB4D45" w:rsidP="00EB4D45">
      <w:r>
        <w:t>\noindent \textbf{Evaluate the Quality of Self-Reported Self-employed status}</w:t>
      </w:r>
    </w:p>
    <w:p w14:paraId="22865B74" w14:textId="77777777" w:rsidR="00EB4D45" w:rsidRDefault="00EB4D45" w:rsidP="00EB4D45"/>
    <w:p w14:paraId="176F26A4" w14:textId="77777777" w:rsidR="00EB4D45" w:rsidRDefault="00EB4D45" w:rsidP="00EB4D45">
      <w:r>
        <w:t>To evaluate the quality of the identification strategy, the researcher will compare county-level growth rates of AWA employment derived from the ACS to county-level growth in AWA employment based on the NES. The focus will be on growth rates, as opposed to counts, due to differences between how the two data sources collect and record information. Specifically, the ACS-based classification will capture only those individuals whose AWA or gig work is their primary source of income, while the  NES data are based on businesses that have no paid employment or payroll, are subject to federal income taxes, and have receipts of \$1,000 or more. Therefore, the NES data may include AWA employment that are secondary sources of income. \\</w:t>
      </w:r>
    </w:p>
    <w:p w14:paraId="1E2A2F95" w14:textId="77777777" w:rsidR="00EB4D45" w:rsidRDefault="00EB4D45" w:rsidP="00EB4D45"/>
    <w:p w14:paraId="53701DFA" w14:textId="77777777" w:rsidR="00EB4D45" w:rsidRDefault="00EB4D45" w:rsidP="00EB4D45"/>
    <w:p w14:paraId="0F3AD82A" w14:textId="77777777" w:rsidR="00EB4D45" w:rsidRDefault="00EB4D45" w:rsidP="00EB4D45">
      <w:r>
        <w:t>\noindent \textbf{Estimate the Effect of the ACA on the Propensity for Workers to Engage in the Gig Economy} \\</w:t>
      </w:r>
    </w:p>
    <w:p w14:paraId="5F837CA7" w14:textId="77777777" w:rsidR="00EB4D45" w:rsidRDefault="00EB4D45" w:rsidP="00EB4D45"/>
    <w:p w14:paraId="5251F1C0" w14:textId="77777777" w:rsidR="00EB4D45" w:rsidRDefault="00EB4D45" w:rsidP="00EB4D45">
      <w:r>
        <w:lastRenderedPageBreak/>
        <w:t>\noindent \textbf{Method 1: Age based comparisons} \\</w:t>
      </w:r>
    </w:p>
    <w:p w14:paraId="2CB43FD9" w14:textId="77777777" w:rsidR="00EB4D45" w:rsidRDefault="00EB4D45" w:rsidP="00EB4D45"/>
    <w:p w14:paraId="1A022D4B" w14:textId="77777777" w:rsidR="00EB4D45" w:rsidRDefault="00EB4D45" w:rsidP="00EB4D45">
      <w:r>
        <w:t>The first research objective will explore how the introduction of the ACA impacted the share of workers who engage in AWAs by age. Beginning six months after the enactment of the ACA, individual health plans were required to supply coverage to dependents until age 26. As a result, we expect job lock to be lower among those immediately before the cutoff in comparison to those immediately after. Job lock is defined here as the tendency for employees to feel they cannot leave a job due to the loss in benefits incurred by leaving. These benefits can range from paternal leave to retirement programs, but for the purposes of this section, health insurance will be the focus. \\</w:t>
      </w:r>
    </w:p>
    <w:p w14:paraId="60905855" w14:textId="77777777" w:rsidR="00EB4D45" w:rsidRDefault="00EB4D45" w:rsidP="00EB4D45"/>
    <w:p w14:paraId="1C9996AA" w14:textId="30F36D01" w:rsidR="00EB4D45" w:rsidRDefault="00EB4D45" w:rsidP="00EB4D45">
      <w:r>
        <w:t xml:space="preserve">Given the mixed results across the literature, and theoretical motivation for assessing the degree to which job lock is present as a result of employer supplied health insurance, </w:t>
      </w:r>
      <w:r w:rsidR="003822FA">
        <w:t>the</w:t>
      </w:r>
      <w:r>
        <w:t xml:space="preserve"> researcher will begin the analysis with a comparison </w:t>
      </w:r>
      <w:r w:rsidR="003822FA">
        <w:t>of compare</w:t>
      </w:r>
      <w:r>
        <w:t xml:space="preserve"> the share of workers aged 21-25 and 26-</w:t>
      </w:r>
      <w:r w:rsidR="003822FA">
        <w:t>30 who</w:t>
      </w:r>
      <w:r>
        <w:t xml:space="preserve"> were engaging in these types of </w:t>
      </w:r>
      <w:r w:rsidR="003822FA">
        <w:t>working</w:t>
      </w:r>
      <w:r>
        <w:t xml:space="preserve"> AWAs before and after the introduction of the ACA. This is intended to replicate the methods previously used and confirm their results. Then, using the exact date of birth in the ACS, a more precise method of comparison will be </w:t>
      </w:r>
      <w:bookmarkStart w:id="0" w:name="_GoBack"/>
      <w:bookmarkEnd w:id="0"/>
      <w:r>
        <w:t xml:space="preserve">utilized </w:t>
      </w:r>
      <w:r w:rsidR="003822FA">
        <w:t>comparing compare</w:t>
      </w:r>
      <w:r>
        <w:t xml:space="preserve"> those immediately above and below the policy cut off. To avoid the potential for “early adopters,” individuals who are soon to lose dependency coverage taking up work, the researcher will compare those who are within the first three months of turning 25 to those who are in the first three months of turning 26. This range will be modified should greater power be necessary. To be clear, this is not a regression discontinuity analysis as the independent variable, age, would not be suitable given the discrete jump. This will solely be used to inform the analysis and may have some results reported in a table discussing the degree to which a difference exists, if one does, between these age groups, and if this difference is robust across multiple types of AWAs and across the identified gig work in this study . \\</w:t>
      </w:r>
    </w:p>
    <w:p w14:paraId="4B35ACCF" w14:textId="77777777" w:rsidR="00EB4D45" w:rsidRDefault="00EB4D45" w:rsidP="00EB4D45"/>
    <w:p w14:paraId="65334BC0" w14:textId="77777777" w:rsidR="00EB4D45" w:rsidRDefault="00EB4D45" w:rsidP="00EB4D45"/>
    <w:p w14:paraId="7BEDFAAF" w14:textId="77777777" w:rsidR="00EB4D45" w:rsidRDefault="00EB4D45" w:rsidP="00EB4D45">
      <w:r>
        <w:t>\noindent \textbf{Method 2: Difference-in-Difference} \\</w:t>
      </w:r>
    </w:p>
    <w:p w14:paraId="73B70807" w14:textId="77777777" w:rsidR="00EB4D45" w:rsidRDefault="00EB4D45" w:rsidP="00EB4D45"/>
    <w:p w14:paraId="4FBBE981" w14:textId="77777777" w:rsidR="00EB4D45" w:rsidRDefault="00EB4D45" w:rsidP="00EB4D45">
      <w:r>
        <w:t>The researcher will compare WHAT? between regions with and without Uber before and after the introduction of the ACA. This will control for differences between individual city specific characteristics that may have made them more suitable for gig employment and the timing of Uber’s introduction to each of their metropolitan labor markets.  \\</w:t>
      </w:r>
    </w:p>
    <w:p w14:paraId="76F9E888" w14:textId="77777777" w:rsidR="00EB4D45" w:rsidRDefault="00EB4D45" w:rsidP="00EB4D45"/>
    <w:p w14:paraId="6C5A8E1C" w14:textId="77777777" w:rsidR="00EB4D45" w:rsidRDefault="00EB4D45" w:rsidP="00EB4D45">
      <w:r>
        <w:t xml:space="preserve">Intrinsic to the aim of this project is the idea that without the introduction of the ACA, the development of companies like Uber, particularly in their ability to attract workers using the </w:t>
      </w:r>
      <w:r>
        <w:lastRenderedPageBreak/>
        <w:t>services as their primary source of employment, would have been significantly different. The difference-in-difference approach utilizes variation across geography, where Uber has and has not opened up operation in the United States, and variation in time, the pre and post implementation periods of the ACA. These are the two defining characteristics of the analysis and offer four groups to compare against one another. Those cities which have Uber in the pre-ACA period, the cities which have Uber in the post-ACA period, the cities which do not have Uber in the pre-ACA period, and the cities which do not have Uber in the post-ACA period. \\</w:t>
      </w:r>
    </w:p>
    <w:p w14:paraId="690AA6CE" w14:textId="77777777" w:rsidR="00EB4D45" w:rsidRDefault="00EB4D45" w:rsidP="00EB4D45"/>
    <w:p w14:paraId="58AE168F" w14:textId="77777777" w:rsidR="00EB4D45" w:rsidRDefault="00EB4D45" w:rsidP="00EB4D45">
      <w:r>
        <w:t>% Include the difference in difference equation here. Follow the equation up with:</w:t>
      </w:r>
    </w:p>
    <w:p w14:paraId="29A4511B" w14:textId="77777777" w:rsidR="00EB4D45" w:rsidRDefault="00EB4D45" w:rsidP="00EB4D45"/>
    <w:p w14:paraId="1FC83487" w14:textId="77777777" w:rsidR="00EB4D45" w:rsidRDefault="00EB4D45" w:rsidP="00EB4D45">
      <w:r>
        <w:t>%Define your terms (HE, Uber, X, etc) immediately after the equation. Otherwise it doesn’t mean anything</w:t>
      </w:r>
    </w:p>
    <w:p w14:paraId="5E93EFF7" w14:textId="77777777" w:rsidR="00EB4D45" w:rsidRDefault="00EB4D45" w:rsidP="00EB4D45"/>
    <w:p w14:paraId="6C69B729" w14:textId="77777777" w:rsidR="00EB4D45" w:rsidRDefault="00EB4D45" w:rsidP="00EB4D45">
      <w:r>
        <w:t xml:space="preserve">%You need subscripts, right? What is your unit of observation? County? County-year, rather, right? What are the Xs? County-year aggregates of demographic characteristics? </w:t>
      </w:r>
    </w:p>
    <w:p w14:paraId="2EA49755" w14:textId="77777777" w:rsidR="00EB4D45" w:rsidRDefault="00EB4D45" w:rsidP="00EB4D45"/>
    <w:p w14:paraId="7B4E6008" w14:textId="77777777" w:rsidR="00EB4D45" w:rsidRDefault="00EB4D45" w:rsidP="00EB4D45">
      <w:r>
        <w:t xml:space="preserve">%What are the parameters of greatest interest? How will you interpret them? What are the main threats to that interpretation? These are all things you should discuss after the equation. </w:t>
      </w:r>
    </w:p>
    <w:p w14:paraId="08C7100A" w14:textId="77777777" w:rsidR="00EB4D45" w:rsidRDefault="00EB4D45" w:rsidP="00EB4D45"/>
    <w:p w14:paraId="57BF104B" w14:textId="77777777" w:rsidR="00EB4D45" w:rsidRDefault="00EB4D45" w:rsidP="00EB4D45">
      <w:r>
        <w:t>\noindent \textbf{Method 3: Triple Difference} \\</w:t>
      </w:r>
    </w:p>
    <w:p w14:paraId="57E10415" w14:textId="77777777" w:rsidR="00EB4D45" w:rsidRDefault="00EB4D45" w:rsidP="00EB4D45"/>
    <w:p w14:paraId="6E66769D" w14:textId="77777777" w:rsidR="00EB4D45" w:rsidRDefault="00EB4D45" w:rsidP="00EB4D45">
      <w:r>
        <w:t>An expansion of the difference-in-difference approach described above will include a measure of how long Uber has been in operation with a given city. Timing may prove to be an issue since the Census Bureau collects the ACS sample for a given geographic area with varying intensity over the course of the year. This means that the intensity of interviews pre and post the expansion of Uber will need to be controlled for. Since the ACS will only include annual information and Uber has deployed at different times throughout the year, this should account for some variation in how much time individual workers have had in their ability to take up the work. This issue likely means that Method 2 would be underestimating the effects, so it should not compromise and significance found from the previous method. \\</w:t>
      </w:r>
    </w:p>
    <w:p w14:paraId="6BE14ED5" w14:textId="77777777" w:rsidR="00EB4D45" w:rsidRDefault="00EB4D45" w:rsidP="00EB4D45"/>
    <w:p w14:paraId="3D9A2D80" w14:textId="77777777" w:rsidR="00EB4D45" w:rsidRDefault="00EB4D45" w:rsidP="00EB4D45">
      <w:r>
        <w:t xml:space="preserve">Second, the inclusion of variation in the state specific insurance marketplaces . Health insurance exchanges were established on January 1st 2014, and made available to the public marketplaces where individuals could purchase private health insurance. Here the researcher will explore if the type of marketplace—, federal, state, or hybrid—, had any statistically significant impact on the share of workers participating . Further, using the socioeconomic characteristics available in the </w:t>
      </w:r>
      <w:r>
        <w:lastRenderedPageBreak/>
        <w:t>ACS, the researcher will be able to explore how an individual’s eligibility to receive private insurance subsidies impacted their labor market outcomes, in particular, participation in AWAs and gig employment. \\</w:t>
      </w:r>
    </w:p>
    <w:p w14:paraId="5ED06589" w14:textId="77777777" w:rsidR="00EB4D45" w:rsidRDefault="00EB4D45" w:rsidP="00EB4D45"/>
    <w:p w14:paraId="7BD41108" w14:textId="77777777" w:rsidR="00EB4D45" w:rsidRDefault="00EB4D45" w:rsidP="00EB4D45">
      <w:r>
        <w:t>\noindent \textbf{Method 4:Boston Comparison} \\</w:t>
      </w:r>
    </w:p>
    <w:p w14:paraId="119E5F10" w14:textId="77777777" w:rsidR="00EB4D45" w:rsidRDefault="00EB4D45" w:rsidP="00EB4D45"/>
    <w:p w14:paraId="03B1A5BC" w14:textId="77777777" w:rsidR="00EB4D45" w:rsidRDefault="00EB4D45" w:rsidP="00EB4D45">
      <w:r>
        <w:t>One of the issues with the utilization of the ACS for identification of policy effects is the yearly nature by which data is collected, reducing the reliability of controls for timing. As can be seen in Table 1, Uber began to expand its business with similar timing to the passing and operation of multiple components of the ACA. One method of testing the sensitivity of the findings in this analysis to this timing issue will be to utilize Boston as a case of interest in a synthetic control design. Uber began operation in Boston on 6/1/2012, opening after the ACA was passed, but before the insurance exchanges had begun. In addition, Massachusetts passed a health care reform law in 2006 which implemented a similar system to the ACA’s health insurance exchanges solely in Massachusetts. The Massachusetts Health Connector offered free, subsidized and full price health insurance and served as a model for the ACA’s exchanges.  \\</w:t>
      </w:r>
    </w:p>
    <w:p w14:paraId="512FC442" w14:textId="77777777" w:rsidR="00EB4D45" w:rsidRDefault="00EB4D45" w:rsidP="00EB4D45"/>
    <w:p w14:paraId="30890333" w14:textId="77777777" w:rsidR="00EB4D45" w:rsidRDefault="00EB4D45" w:rsidP="00EB4D45">
      <w:r>
        <w:t>Through utilizing a synthetic control method, the researcher will be able to explore if the presence of the Massachusetts Health Connector produced a muted result of the ACA’s interaction effect with Uber deployment. \\</w:t>
      </w:r>
    </w:p>
    <w:p w14:paraId="134C9299" w14:textId="77777777" w:rsidR="00EB4D45" w:rsidRDefault="00EB4D45" w:rsidP="00EB4D45"/>
    <w:p w14:paraId="7BA0AD9A" w14:textId="77777777" w:rsidR="00EB4D45" w:rsidRDefault="00EB4D45" w:rsidP="00EB4D45"/>
    <w:p w14:paraId="5E30EBB9" w14:textId="77777777" w:rsidR="00EB4D45" w:rsidRDefault="00EB4D45" w:rsidP="00EB4D45"/>
    <w:p w14:paraId="15CFFEF0" w14:textId="77777777" w:rsidR="00EB4D45" w:rsidRDefault="00EB4D45" w:rsidP="00EB4D45"/>
    <w:p w14:paraId="6773F1C9" w14:textId="77777777" w:rsidR="00EB4D45" w:rsidRDefault="00EB4D45" w:rsidP="00EB4D45">
      <w:r>
        <w:t>\subsection*{Expected Findings and Preliminary Work}</w:t>
      </w:r>
    </w:p>
    <w:p w14:paraId="660F997D" w14:textId="77777777" w:rsidR="00EB4D45" w:rsidRDefault="00EB4D45" w:rsidP="00EB4D45"/>
    <w:p w14:paraId="7F8038B5" w14:textId="77777777" w:rsidR="00EB4D45" w:rsidRDefault="00EB4D45" w:rsidP="00EB4D45">
      <w:r>
        <w:t>(Place my prelim work to this paper here) \\</w:t>
      </w:r>
    </w:p>
    <w:p w14:paraId="750C71F6" w14:textId="77777777" w:rsidR="00EB4D45" w:rsidRDefault="00EB4D45" w:rsidP="00EB4D45"/>
    <w:p w14:paraId="0C99D110" w14:textId="797CCE18" w:rsidR="00C40D5E" w:rsidRDefault="00EB4D45" w:rsidP="00EB4D45">
      <w:r>
        <w:t>\subsection*{Figures and Tables}</w:t>
      </w:r>
    </w:p>
    <w:sectPr w:rsidR="00C40D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9667B8" w14:textId="77777777" w:rsidR="00100252" w:rsidRDefault="00100252" w:rsidP="00291817">
      <w:pPr>
        <w:spacing w:after="0" w:line="240" w:lineRule="auto"/>
      </w:pPr>
      <w:r>
        <w:separator/>
      </w:r>
    </w:p>
  </w:endnote>
  <w:endnote w:type="continuationSeparator" w:id="0">
    <w:p w14:paraId="11B2B540" w14:textId="77777777" w:rsidR="00100252" w:rsidRDefault="00100252" w:rsidP="00291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F762D0" w14:textId="77777777" w:rsidR="00100252" w:rsidRDefault="00100252" w:rsidP="00291817">
      <w:pPr>
        <w:spacing w:after="0" w:line="240" w:lineRule="auto"/>
      </w:pPr>
      <w:r>
        <w:separator/>
      </w:r>
    </w:p>
  </w:footnote>
  <w:footnote w:type="continuationSeparator" w:id="0">
    <w:p w14:paraId="357A1D1B" w14:textId="77777777" w:rsidR="00100252" w:rsidRDefault="00100252" w:rsidP="002918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D45"/>
    <w:rsid w:val="0007569C"/>
    <w:rsid w:val="00100252"/>
    <w:rsid w:val="00291817"/>
    <w:rsid w:val="003822FA"/>
    <w:rsid w:val="0053429D"/>
    <w:rsid w:val="005D1F86"/>
    <w:rsid w:val="006D1AE3"/>
    <w:rsid w:val="00756FAA"/>
    <w:rsid w:val="007C4AE5"/>
    <w:rsid w:val="008636F0"/>
    <w:rsid w:val="00913C67"/>
    <w:rsid w:val="009B02CB"/>
    <w:rsid w:val="009D62E5"/>
    <w:rsid w:val="00A4013F"/>
    <w:rsid w:val="00A67077"/>
    <w:rsid w:val="00A70F49"/>
    <w:rsid w:val="00AD1D5B"/>
    <w:rsid w:val="00B06514"/>
    <w:rsid w:val="00B92063"/>
    <w:rsid w:val="00C40D5E"/>
    <w:rsid w:val="00DE10AA"/>
    <w:rsid w:val="00EB4D45"/>
    <w:rsid w:val="00F75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8159"/>
  <w15:chartTrackingRefBased/>
  <w15:docId w15:val="{266991B5-4A39-40E2-8825-E10E0E7C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D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C6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D45"/>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sid w:val="00291817"/>
    <w:rPr>
      <w:vertAlign w:val="superscript"/>
    </w:rPr>
  </w:style>
  <w:style w:type="paragraph" w:styleId="FootnoteText">
    <w:name w:val="footnote text"/>
    <w:basedOn w:val="Normal"/>
    <w:link w:val="FootnoteTextChar"/>
    <w:uiPriority w:val="99"/>
    <w:semiHidden/>
    <w:unhideWhenUsed/>
    <w:rsid w:val="00291817"/>
    <w:pPr>
      <w:spacing w:after="0" w:line="240" w:lineRule="auto"/>
    </w:pPr>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291817"/>
    <w:rPr>
      <w:rFonts w:asciiTheme="minorHAnsi" w:hAnsiTheme="minorHAnsi" w:cstheme="minorBidi"/>
      <w:sz w:val="20"/>
      <w:szCs w:val="20"/>
    </w:rPr>
  </w:style>
  <w:style w:type="character" w:customStyle="1" w:styleId="Heading3Char">
    <w:name w:val="Heading 3 Char"/>
    <w:basedOn w:val="DefaultParagraphFont"/>
    <w:link w:val="Heading3"/>
    <w:uiPriority w:val="9"/>
    <w:semiHidden/>
    <w:rsid w:val="00913C6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532937">
      <w:bodyDiv w:val="1"/>
      <w:marLeft w:val="0"/>
      <w:marRight w:val="0"/>
      <w:marTop w:val="0"/>
      <w:marBottom w:val="0"/>
      <w:divBdr>
        <w:top w:val="none" w:sz="0" w:space="0" w:color="auto"/>
        <w:left w:val="none" w:sz="0" w:space="0" w:color="auto"/>
        <w:bottom w:val="none" w:sz="0" w:space="0" w:color="auto"/>
        <w:right w:val="none" w:sz="0" w:space="0" w:color="auto"/>
      </w:divBdr>
    </w:div>
    <w:div w:id="203406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1673</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Glasner</dc:creator>
  <cp:keywords/>
  <dc:description/>
  <cp:lastModifiedBy>Ben Glasner</cp:lastModifiedBy>
  <cp:revision>2</cp:revision>
  <dcterms:created xsi:type="dcterms:W3CDTF">2019-04-17T23:13:00Z</dcterms:created>
  <dcterms:modified xsi:type="dcterms:W3CDTF">2019-04-18T19:13:00Z</dcterms:modified>
</cp:coreProperties>
</file>