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F58FBC" w14:textId="79617782" w:rsidR="00BE0220" w:rsidRDefault="00EB7D5A" w:rsidP="00EB7D5A">
      <w:pPr>
        <w:pStyle w:val="Title"/>
        <w:jc w:val="center"/>
      </w:pPr>
      <w:r>
        <w:t>Medicaid Expansion and Nonstandard Work</w:t>
      </w:r>
    </w:p>
    <w:p w14:paraId="378B5B82" w14:textId="77777777" w:rsidR="00EB7D5A" w:rsidRDefault="00EB7D5A" w:rsidP="00EB7D5A"/>
    <w:p w14:paraId="78426C74" w14:textId="77777777" w:rsidR="00EB7D5A" w:rsidRDefault="00EB7D5A" w:rsidP="00EB7D5A"/>
    <w:p w14:paraId="2747A35D" w14:textId="77777777" w:rsidR="00EB7D5A" w:rsidRPr="005D5BB3" w:rsidRDefault="00EB7D5A" w:rsidP="00EB7D5A"/>
    <w:p w14:paraId="0252FF21" w14:textId="77777777" w:rsidR="00EB7D5A" w:rsidRPr="00477D53" w:rsidRDefault="00EB7D5A" w:rsidP="00EB7D5A">
      <w:pPr>
        <w:spacing w:after="170" w:line="252" w:lineRule="auto"/>
        <w:ind w:left="-15" w:firstLine="189"/>
        <w:jc w:val="center"/>
        <w:rPr>
          <w:rFonts w:eastAsia="Cambria"/>
          <w:color w:val="000000"/>
          <w:szCs w:val="22"/>
        </w:rPr>
      </w:pPr>
      <w:r w:rsidRPr="00477D53">
        <w:rPr>
          <w:rFonts w:eastAsia="Cambria"/>
          <w:color w:val="000000"/>
          <w:szCs w:val="22"/>
        </w:rPr>
        <w:t>By: Benjamin Glasner</w:t>
      </w:r>
    </w:p>
    <w:p w14:paraId="45124E62" w14:textId="77777777" w:rsidR="00EB7D5A" w:rsidRPr="00477D53" w:rsidRDefault="00EB7D5A" w:rsidP="00EB7D5A">
      <w:pPr>
        <w:spacing w:after="170" w:line="252" w:lineRule="auto"/>
        <w:ind w:left="-15" w:firstLine="189"/>
        <w:jc w:val="center"/>
        <w:rPr>
          <w:rFonts w:eastAsia="Cambria"/>
          <w:color w:val="000000"/>
          <w:szCs w:val="22"/>
        </w:rPr>
      </w:pPr>
      <w:r w:rsidRPr="00477D53">
        <w:rPr>
          <w:rFonts w:eastAsia="Cambria"/>
          <w:color w:val="000000"/>
          <w:szCs w:val="22"/>
        </w:rPr>
        <w:t>Evans School of Public Policy and Governance</w:t>
      </w:r>
    </w:p>
    <w:p w14:paraId="6A55E4B0" w14:textId="77777777" w:rsidR="00EB7D5A" w:rsidRPr="00477D53" w:rsidRDefault="00EB7D5A" w:rsidP="00EB7D5A">
      <w:pPr>
        <w:spacing w:after="170" w:line="252" w:lineRule="auto"/>
        <w:ind w:left="-15" w:firstLine="189"/>
        <w:jc w:val="center"/>
        <w:rPr>
          <w:rFonts w:eastAsia="Cambria"/>
          <w:color w:val="000000"/>
          <w:szCs w:val="22"/>
        </w:rPr>
      </w:pPr>
      <w:r w:rsidRPr="00477D53">
        <w:rPr>
          <w:rFonts w:eastAsia="Cambria"/>
          <w:color w:val="000000"/>
          <w:szCs w:val="22"/>
        </w:rPr>
        <w:t>University of Washington</w:t>
      </w:r>
    </w:p>
    <w:p w14:paraId="7C3311AB" w14:textId="77777777" w:rsidR="00EB7D5A" w:rsidRPr="00477D53" w:rsidRDefault="00EB7D5A" w:rsidP="00EB7D5A">
      <w:pPr>
        <w:spacing w:after="170" w:line="252" w:lineRule="auto"/>
        <w:ind w:left="-15" w:firstLine="189"/>
        <w:jc w:val="center"/>
        <w:rPr>
          <w:rFonts w:eastAsia="Cambria"/>
          <w:color w:val="000000"/>
          <w:szCs w:val="22"/>
        </w:rPr>
      </w:pPr>
      <w:r w:rsidRPr="00477D53">
        <w:rPr>
          <w:rFonts w:eastAsia="Cambria"/>
          <w:color w:val="000000"/>
          <w:szCs w:val="22"/>
        </w:rPr>
        <w:t>Seattle, WA</w:t>
      </w:r>
    </w:p>
    <w:p w14:paraId="4E39D63D" w14:textId="77777777" w:rsidR="00EB7D5A" w:rsidRPr="005D5BB3" w:rsidRDefault="00EB7D5A" w:rsidP="00EB7D5A">
      <w:pPr>
        <w:spacing w:after="170" w:line="252" w:lineRule="auto"/>
        <w:ind w:left="-15" w:firstLine="189"/>
        <w:jc w:val="center"/>
        <w:rPr>
          <w:rFonts w:eastAsia="Cambria"/>
          <w:color w:val="000000"/>
          <w:sz w:val="22"/>
          <w:szCs w:val="22"/>
        </w:rPr>
      </w:pPr>
      <w:hyperlink r:id="rId4" w:history="1">
        <w:r w:rsidRPr="005D5BB3">
          <w:rPr>
            <w:rFonts w:eastAsia="Cambria"/>
            <w:color w:val="0563C1" w:themeColor="hyperlink"/>
            <w:sz w:val="22"/>
            <w:szCs w:val="22"/>
            <w:u w:val="single"/>
          </w:rPr>
          <w:t>bglasner@uw.edu</w:t>
        </w:r>
      </w:hyperlink>
    </w:p>
    <w:p w14:paraId="1BDCCB96" w14:textId="77777777" w:rsidR="00EB7D5A" w:rsidRDefault="00EB7D5A" w:rsidP="00EB7D5A"/>
    <w:p w14:paraId="2B329F0E" w14:textId="500C940F" w:rsidR="00EB7D5A" w:rsidRDefault="00EB7D5A" w:rsidP="00EB7D5A"/>
    <w:p w14:paraId="0D98D13A" w14:textId="67D760D1" w:rsidR="00EB7D5A" w:rsidRDefault="00EB7D5A" w:rsidP="00EB7D5A">
      <w:pPr>
        <w:pStyle w:val="Heading2"/>
      </w:pPr>
      <w:r w:rsidRPr="00EB7D5A">
        <w:t>Abstract</w:t>
      </w:r>
    </w:p>
    <w:p w14:paraId="0A263223" w14:textId="4A1CEB5A" w:rsidR="00EB7D5A" w:rsidRPr="00477D53" w:rsidRDefault="00EB7D5A" w:rsidP="00EB7D5A">
      <w:pPr>
        <w:spacing w:after="170" w:line="252" w:lineRule="auto"/>
        <w:ind w:left="-15" w:firstLine="189"/>
        <w:jc w:val="both"/>
        <w:rPr>
          <w:rFonts w:eastAsia="Cambria"/>
          <w:color w:val="000000"/>
          <w:szCs w:val="22"/>
        </w:rPr>
      </w:pPr>
      <w:r>
        <w:tab/>
      </w:r>
      <w:r w:rsidRPr="00477D53">
        <w:rPr>
          <w:rFonts w:eastAsia="Cambria"/>
          <w:color w:val="000000"/>
          <w:szCs w:val="22"/>
        </w:rPr>
        <w:t>Did</w:t>
      </w:r>
      <w:r>
        <w:rPr>
          <w:rFonts w:eastAsia="Cambria"/>
          <w:color w:val="000000"/>
          <w:szCs w:val="22"/>
        </w:rPr>
        <w:t xml:space="preserve"> the</w:t>
      </w:r>
      <w:r w:rsidRPr="00477D53">
        <w:rPr>
          <w:rFonts w:eastAsia="Cambria"/>
          <w:color w:val="000000"/>
          <w:szCs w:val="22"/>
        </w:rPr>
        <w:t xml:space="preserve"> </w:t>
      </w:r>
      <w:r>
        <w:rPr>
          <w:rFonts w:eastAsia="Cambria"/>
          <w:color w:val="000000"/>
          <w:szCs w:val="22"/>
        </w:rPr>
        <w:t xml:space="preserve">expansion of Medicaid resulting from </w:t>
      </w:r>
      <w:r w:rsidRPr="00477D53">
        <w:rPr>
          <w:rFonts w:eastAsia="Cambria"/>
          <w:color w:val="000000"/>
          <w:szCs w:val="22"/>
        </w:rPr>
        <w:t xml:space="preserve">the Affordable Care Act result in an increase in the </w:t>
      </w:r>
      <w:r>
        <w:rPr>
          <w:rFonts w:eastAsia="Cambria"/>
          <w:color w:val="000000"/>
          <w:szCs w:val="22"/>
        </w:rPr>
        <w:t>work which does not offer employer supplied health insurance</w:t>
      </w:r>
      <w:r w:rsidRPr="00477D53">
        <w:rPr>
          <w:rFonts w:eastAsia="Cambria"/>
          <w:color w:val="000000"/>
          <w:szCs w:val="22"/>
        </w:rPr>
        <w:t>, and if so, was the effect significantly different between types of work arrangements</w:t>
      </w:r>
      <w:r>
        <w:rPr>
          <w:rFonts w:eastAsia="Cambria"/>
          <w:color w:val="000000"/>
          <w:szCs w:val="22"/>
        </w:rPr>
        <w:t>, including independent contracting and self-employ</w:t>
      </w:r>
      <w:r>
        <w:rPr>
          <w:rFonts w:eastAsia="Cambria"/>
          <w:color w:val="000000"/>
          <w:szCs w:val="22"/>
        </w:rPr>
        <w:t>ment</w:t>
      </w:r>
      <w:r w:rsidRPr="00477D53">
        <w:rPr>
          <w:rFonts w:eastAsia="Cambria"/>
          <w:color w:val="000000"/>
          <w:szCs w:val="22"/>
        </w:rPr>
        <w:t>?</w:t>
      </w:r>
    </w:p>
    <w:p w14:paraId="4CAA2AEF" w14:textId="765E11C6" w:rsidR="00EB7D5A" w:rsidRPr="00EB7D5A" w:rsidRDefault="00EB7D5A" w:rsidP="00EB7D5A">
      <w:pPr>
        <w:jc w:val="both"/>
      </w:pPr>
    </w:p>
    <w:p w14:paraId="69E37154" w14:textId="373DFA14" w:rsidR="00EB7D5A" w:rsidRDefault="00EB7D5A" w:rsidP="00EB7D5A">
      <w:pPr>
        <w:pStyle w:val="Heading2"/>
      </w:pPr>
      <w:r>
        <w:t>Introduction</w:t>
      </w:r>
    </w:p>
    <w:p w14:paraId="469B10D0" w14:textId="77777777" w:rsidR="00EB7D5A" w:rsidRDefault="00EB7D5A" w:rsidP="00EB7D5A">
      <w:pPr>
        <w:spacing w:after="170" w:line="252" w:lineRule="auto"/>
        <w:ind w:left="-15" w:firstLine="189"/>
        <w:jc w:val="both"/>
        <w:rPr>
          <w:rFonts w:eastAsia="Cambria"/>
          <w:color w:val="000000"/>
          <w:szCs w:val="22"/>
        </w:rPr>
      </w:pPr>
      <w:r w:rsidRPr="00477D53">
        <w:rPr>
          <w:rFonts w:eastAsia="Cambria"/>
          <w:color w:val="000000"/>
          <w:szCs w:val="22"/>
        </w:rPr>
        <w:t>The Patient Protection and Affordable Care Act (ACA) passed by Congress in 2010 introduced health insurance exchanges</w:t>
      </w:r>
      <w:r>
        <w:rPr>
          <w:rFonts w:eastAsia="Cambria"/>
          <w:color w:val="000000"/>
          <w:szCs w:val="22"/>
        </w:rPr>
        <w:t>, incentives for Medicaid expansion,</w:t>
      </w:r>
      <w:r w:rsidRPr="00477D53">
        <w:rPr>
          <w:rFonts w:eastAsia="Cambria"/>
          <w:color w:val="000000"/>
          <w:szCs w:val="22"/>
        </w:rPr>
        <w:t xml:space="preserve"> and subsidies that altered the relationship between the American health care system and the labor market for millions (</w:t>
      </w:r>
      <w:proofErr w:type="spellStart"/>
      <w:r w:rsidRPr="00477D53">
        <w:rPr>
          <w:rFonts w:eastAsia="Cambria"/>
          <w:color w:val="000000"/>
          <w:szCs w:val="22"/>
        </w:rPr>
        <w:t>Aizawa</w:t>
      </w:r>
      <w:proofErr w:type="spellEnd"/>
      <w:r w:rsidRPr="00477D53">
        <w:rPr>
          <w:rFonts w:eastAsia="Cambria"/>
          <w:color w:val="000000"/>
          <w:szCs w:val="22"/>
        </w:rPr>
        <w:t xml:space="preserve"> and Fang, 2013). Over this same period, the prevalence of alternative work arrangements (AWAs) are thought to have increased substantially as primary or supplemental sources of income</w:t>
      </w:r>
      <w:r>
        <w:rPr>
          <w:rFonts w:eastAsia="Cambria"/>
          <w:color w:val="000000"/>
          <w:szCs w:val="22"/>
        </w:rPr>
        <w:t xml:space="preserve"> (CITE ME)</w:t>
      </w:r>
      <w:r w:rsidRPr="00477D53">
        <w:rPr>
          <w:rFonts w:eastAsia="Cambria"/>
          <w:color w:val="000000"/>
          <w:szCs w:val="22"/>
        </w:rPr>
        <w:t>.</w:t>
      </w:r>
      <w:r>
        <w:rPr>
          <w:rFonts w:eastAsia="Cambria"/>
          <w:color w:val="000000"/>
          <w:szCs w:val="22"/>
        </w:rPr>
        <w:t xml:space="preserve"> </w:t>
      </w:r>
    </w:p>
    <w:p w14:paraId="676CAECC" w14:textId="050860A5" w:rsidR="00EB7D5A" w:rsidRPr="00477D53" w:rsidRDefault="00EB7D5A" w:rsidP="00EB7D5A">
      <w:pPr>
        <w:spacing w:after="170" w:line="252" w:lineRule="auto"/>
        <w:ind w:left="-15" w:firstLine="189"/>
        <w:jc w:val="both"/>
        <w:rPr>
          <w:rFonts w:eastAsia="Cambria"/>
          <w:color w:val="000000"/>
          <w:szCs w:val="22"/>
        </w:rPr>
      </w:pPr>
      <w:r>
        <w:rPr>
          <w:rFonts w:eastAsia="Cambria"/>
          <w:color w:val="000000"/>
          <w:szCs w:val="22"/>
        </w:rPr>
        <w:t xml:space="preserve">One of the hypothesized </w:t>
      </w:r>
      <w:r w:rsidRPr="00477D53">
        <w:rPr>
          <w:rFonts w:eastAsia="Cambria"/>
          <w:color w:val="000000"/>
          <w:szCs w:val="22"/>
        </w:rPr>
        <w:t xml:space="preserve">effects of the ACA </w:t>
      </w:r>
      <w:r>
        <w:rPr>
          <w:rFonts w:eastAsia="Cambria"/>
          <w:color w:val="000000"/>
          <w:szCs w:val="22"/>
        </w:rPr>
        <w:t>was</w:t>
      </w:r>
      <w:r w:rsidRPr="00477D53">
        <w:rPr>
          <w:rFonts w:eastAsia="Cambria"/>
          <w:color w:val="000000"/>
          <w:szCs w:val="22"/>
        </w:rPr>
        <w:t xml:space="preserve"> be a reduction in job lock and an increase in the </w:t>
      </w:r>
      <w:r>
        <w:rPr>
          <w:rFonts w:eastAsia="Cambria"/>
          <w:color w:val="000000"/>
          <w:szCs w:val="22"/>
        </w:rPr>
        <w:t xml:space="preserve">prevalence of work without </w:t>
      </w:r>
      <w:r w:rsidRPr="00477D53">
        <w:rPr>
          <w:rFonts w:eastAsia="Cambria"/>
          <w:color w:val="000000"/>
          <w:szCs w:val="22"/>
        </w:rPr>
        <w:t xml:space="preserve">employer-sponsored health insurance </w:t>
      </w:r>
      <w:r>
        <w:rPr>
          <w:rFonts w:eastAsia="Cambria"/>
          <w:color w:val="000000"/>
          <w:szCs w:val="22"/>
        </w:rPr>
        <w:t>(ESI)</w:t>
      </w:r>
      <w:r w:rsidRPr="00477D53">
        <w:rPr>
          <w:rFonts w:eastAsia="Cambria"/>
          <w:color w:val="000000"/>
          <w:szCs w:val="22"/>
        </w:rPr>
        <w:t xml:space="preserve"> (Blumberg, </w:t>
      </w:r>
      <w:proofErr w:type="spellStart"/>
      <w:r w:rsidRPr="00477D53">
        <w:rPr>
          <w:rFonts w:eastAsia="Cambria"/>
          <w:color w:val="000000"/>
          <w:szCs w:val="22"/>
        </w:rPr>
        <w:t>Corlette</w:t>
      </w:r>
      <w:proofErr w:type="spellEnd"/>
      <w:r w:rsidRPr="00477D53">
        <w:rPr>
          <w:rFonts w:eastAsia="Cambria"/>
          <w:color w:val="000000"/>
          <w:szCs w:val="22"/>
        </w:rPr>
        <w:t xml:space="preserve"> and Lucia, 2014). Job lock is defined here as the tendency for workers to feel they cannot leave a job due to the loss in benefits incurred by leaving. These benefits can range from paternal leave to retirement programs, and in the case of the ACA, ESI. The size of this job lock effect is unclear. The diversity in structure and composition of AWAs creates uncertainty as to how this diverse set of work interacts with a broader domestic policy composed of many individual parts like the ACA. </w:t>
      </w:r>
      <w:r w:rsidRPr="00477D53">
        <w:rPr>
          <w:rFonts w:eastAsia="Cambria"/>
          <w:color w:val="000000"/>
          <w:szCs w:val="22"/>
        </w:rPr>
        <w:lastRenderedPageBreak/>
        <w:t>How the ACA has influenced workers’ decisions to participate in AWAs, self-employment, and the online gig economy, and how these categories differ, is the focus of this paper.</w:t>
      </w:r>
    </w:p>
    <w:p w14:paraId="4F7AC038" w14:textId="77777777" w:rsidR="00EB7D5A" w:rsidRPr="00477D53" w:rsidRDefault="00EB7D5A" w:rsidP="00EB7D5A">
      <w:pPr>
        <w:spacing w:after="170" w:line="252" w:lineRule="auto"/>
        <w:ind w:left="-15" w:firstLine="189"/>
        <w:jc w:val="both"/>
        <w:rPr>
          <w:rFonts w:eastAsia="Cambria"/>
          <w:color w:val="000000"/>
          <w:szCs w:val="22"/>
        </w:rPr>
      </w:pPr>
      <w:r w:rsidRPr="00477D53">
        <w:rPr>
          <w:rFonts w:eastAsia="Cambria"/>
          <w:color w:val="000000"/>
          <w:szCs w:val="22"/>
        </w:rPr>
        <w:t xml:space="preserve">The connection between health insurance and job lock is not unfamiliar to researchers of health economics. Non-monetary forms of compensation such as ESI have been a focus of job lock research. ESI is often cheaper than privately supplied health insurance. This is due to the exclusion of health insurance from income taxes, economies of scale in group rates, and beneficial selection processes (Woodbury and Huang, 1991; Gruber and Poterba, 1994; Gentry and </w:t>
      </w:r>
      <w:proofErr w:type="spellStart"/>
      <w:r w:rsidRPr="00477D53">
        <w:rPr>
          <w:rFonts w:eastAsia="Cambria"/>
          <w:color w:val="000000"/>
          <w:szCs w:val="22"/>
        </w:rPr>
        <w:t>Peress</w:t>
      </w:r>
      <w:proofErr w:type="spellEnd"/>
      <w:r w:rsidRPr="00477D53">
        <w:rPr>
          <w:rFonts w:eastAsia="Cambria"/>
          <w:color w:val="000000"/>
          <w:szCs w:val="22"/>
        </w:rPr>
        <w:t xml:space="preserve">, 1994; Currie and </w:t>
      </w:r>
      <w:proofErr w:type="spellStart"/>
      <w:r w:rsidRPr="00477D53">
        <w:rPr>
          <w:rFonts w:eastAsia="Cambria"/>
          <w:color w:val="000000"/>
          <w:szCs w:val="22"/>
        </w:rPr>
        <w:t>Madrian</w:t>
      </w:r>
      <w:proofErr w:type="spellEnd"/>
      <w:r w:rsidRPr="00477D53">
        <w:rPr>
          <w:rFonts w:eastAsia="Cambria"/>
          <w:color w:val="000000"/>
          <w:szCs w:val="22"/>
        </w:rPr>
        <w:t xml:space="preserve">, 1999). These factors contribute to differentials in the private insurance market and ESI. One of the goals of the ACA was to improve access to affordable health insurance using state insurance exchanges, broadening who can be called a dependent on health plans, and offering subsidies for the purchase of health insurance on exchanges (David, Melinda and Rachel, 2015). </w:t>
      </w:r>
    </w:p>
    <w:p w14:paraId="332D04B4" w14:textId="77777777" w:rsidR="00EB7D5A" w:rsidRPr="00477D53" w:rsidRDefault="00EB7D5A" w:rsidP="00EB7D5A">
      <w:pPr>
        <w:spacing w:after="170" w:line="252" w:lineRule="auto"/>
        <w:ind w:left="-15" w:firstLine="189"/>
        <w:jc w:val="both"/>
        <w:rPr>
          <w:rFonts w:eastAsia="Cambria"/>
          <w:color w:val="000000"/>
          <w:szCs w:val="22"/>
        </w:rPr>
      </w:pPr>
      <w:r w:rsidRPr="00477D53">
        <w:rPr>
          <w:rFonts w:eastAsia="Cambria"/>
          <w:color w:val="000000"/>
          <w:szCs w:val="22"/>
        </w:rPr>
        <w:t xml:space="preserve">Empirical testing of the job lock effect has been difficult given the endogenous nature of employment matching markets. A number of scholars have used spousal insurance coverage to try and identify job lock effects (Gruber and </w:t>
      </w:r>
      <w:proofErr w:type="spellStart"/>
      <w:r w:rsidRPr="00477D53">
        <w:rPr>
          <w:rFonts w:eastAsia="Cambria"/>
          <w:color w:val="000000"/>
          <w:szCs w:val="22"/>
        </w:rPr>
        <w:t>Madrian</w:t>
      </w:r>
      <w:proofErr w:type="spellEnd"/>
      <w:r w:rsidRPr="00477D53">
        <w:rPr>
          <w:rFonts w:eastAsia="Cambria"/>
          <w:color w:val="000000"/>
          <w:szCs w:val="22"/>
        </w:rPr>
        <w:t xml:space="preserve">, 1994; Monheit and Cooper, 1994; Holtz-Eakin, Penrod and Rosen, 1996; </w:t>
      </w:r>
      <w:proofErr w:type="spellStart"/>
      <w:r w:rsidRPr="00477D53">
        <w:rPr>
          <w:rFonts w:eastAsia="Cambria"/>
          <w:color w:val="000000"/>
          <w:szCs w:val="22"/>
        </w:rPr>
        <w:t>Buchmueller</w:t>
      </w:r>
      <w:proofErr w:type="spellEnd"/>
      <w:r w:rsidRPr="00477D53">
        <w:rPr>
          <w:rFonts w:eastAsia="Cambria"/>
          <w:color w:val="000000"/>
          <w:szCs w:val="22"/>
        </w:rPr>
        <w:t xml:space="preserve"> and Valletta, 1999; Anderson, 1997; Wellington, 2001; Heim and Lurie, 2010). Effect estimates from this literature appear to be sensitive to the data source and method used, but broadly identifies evidence that the effect exists. Other forms of family-based coverage have been leveraged in a similar way to spousal insurance. The ACA Dependent Coverage Mandate expanded dependent coverage to children under the age of 26, resulting in an additional coverage of nearly 1 million young adults (Akosa Antwi, Moriya and Simon, 2013). This expansion in coverage is thought to act in a similar fashion as spousal coverage. Previous work has gone toward the study of age-based coverage effects, but found mixed results across different policies (</w:t>
      </w:r>
      <w:proofErr w:type="spellStart"/>
      <w:r w:rsidRPr="00477D53">
        <w:rPr>
          <w:rFonts w:eastAsia="Cambria"/>
          <w:color w:val="000000"/>
          <w:szCs w:val="22"/>
        </w:rPr>
        <w:t>DeCicca</w:t>
      </w:r>
      <w:proofErr w:type="spellEnd"/>
      <w:r w:rsidRPr="00477D53">
        <w:rPr>
          <w:rFonts w:eastAsia="Cambria"/>
          <w:color w:val="000000"/>
          <w:szCs w:val="22"/>
        </w:rPr>
        <w:t xml:space="preserve">, 2007; Akosa Antwi, Moriya and Simon, 2013; Heim, Lurie and Simon, 2015; Depew, 2015; Bailey, 2017; Heim, Lurie and Simon, 2018). </w:t>
      </w:r>
    </w:p>
    <w:p w14:paraId="611A377E" w14:textId="77777777" w:rsidR="00EB7D5A" w:rsidRPr="00477D53" w:rsidRDefault="00EB7D5A" w:rsidP="00EB7D5A">
      <w:pPr>
        <w:spacing w:after="170" w:line="252" w:lineRule="auto"/>
        <w:ind w:left="-15" w:firstLine="189"/>
        <w:jc w:val="both"/>
        <w:rPr>
          <w:rFonts w:eastAsia="Cambria"/>
          <w:color w:val="000000"/>
          <w:szCs w:val="22"/>
        </w:rPr>
      </w:pPr>
      <w:r w:rsidRPr="00477D53">
        <w:rPr>
          <w:rFonts w:eastAsia="Cambria"/>
          <w:color w:val="000000"/>
          <w:szCs w:val="22"/>
        </w:rPr>
        <w:t xml:space="preserve">This literature led to the hypothesis that the ACA would increase the number of self-employed in the economy, and reduce job lock broadly (Blumberg, </w:t>
      </w:r>
      <w:proofErr w:type="spellStart"/>
      <w:r w:rsidRPr="00477D53">
        <w:rPr>
          <w:rFonts w:eastAsia="Cambria"/>
          <w:color w:val="000000"/>
          <w:szCs w:val="22"/>
        </w:rPr>
        <w:t>Corlette</w:t>
      </w:r>
      <w:proofErr w:type="spellEnd"/>
      <w:r w:rsidRPr="00477D53">
        <w:rPr>
          <w:rFonts w:eastAsia="Cambria"/>
          <w:color w:val="000000"/>
          <w:szCs w:val="22"/>
        </w:rPr>
        <w:t xml:space="preserve"> and Lucia, 2014; Baker, 2015). While Aggarwal, Holly and Wadhwa (2013) identified the availability of health insurance as one key factor when starting a new business, the hypothesized reduction in job lock as a result of the ACA, and resulting increase in self-employment, seems to have not occurred (Leung and Mas, 2016; </w:t>
      </w:r>
      <w:proofErr w:type="spellStart"/>
      <w:r w:rsidRPr="00477D53">
        <w:rPr>
          <w:rFonts w:eastAsia="Cambria"/>
          <w:color w:val="000000"/>
          <w:szCs w:val="22"/>
        </w:rPr>
        <w:t>Condliffe</w:t>
      </w:r>
      <w:proofErr w:type="spellEnd"/>
      <w:r w:rsidRPr="00477D53">
        <w:rPr>
          <w:rFonts w:eastAsia="Cambria"/>
          <w:color w:val="000000"/>
          <w:szCs w:val="22"/>
        </w:rPr>
        <w:t xml:space="preserve">, </w:t>
      </w:r>
      <w:proofErr w:type="spellStart"/>
      <w:r w:rsidRPr="00477D53">
        <w:rPr>
          <w:rFonts w:eastAsia="Cambria"/>
          <w:color w:val="000000"/>
          <w:szCs w:val="22"/>
        </w:rPr>
        <w:t>Saboe</w:t>
      </w:r>
      <w:proofErr w:type="spellEnd"/>
      <w:r w:rsidRPr="00477D53">
        <w:rPr>
          <w:rFonts w:eastAsia="Cambria"/>
          <w:color w:val="000000"/>
          <w:szCs w:val="22"/>
        </w:rPr>
        <w:t xml:space="preserve"> and </w:t>
      </w:r>
      <w:proofErr w:type="spellStart"/>
      <w:r w:rsidRPr="00477D53">
        <w:rPr>
          <w:rFonts w:eastAsia="Cambria"/>
          <w:color w:val="000000"/>
          <w:szCs w:val="22"/>
        </w:rPr>
        <w:t>Terrizzi</w:t>
      </w:r>
      <w:proofErr w:type="spellEnd"/>
      <w:r w:rsidRPr="00477D53">
        <w:rPr>
          <w:rFonts w:eastAsia="Cambria"/>
          <w:color w:val="000000"/>
          <w:szCs w:val="22"/>
        </w:rPr>
        <w:t>, 2017; Bailey, 2017; Heim, Lurie and Simon, 2018). Across this work the primary indicator of job lock results has been some measure of self-employment or entrepreneurship. Independent contracting positions and other AWAs are also likely to signal job lock effects as well but appear to be under researched in the literature. One possible explanation of this is the difficulty of identifying these work arrangements in the data. This analysis offers a series of methods to illuminate the effects of the ACA on AWAs broadly.</w:t>
      </w:r>
    </w:p>
    <w:p w14:paraId="45CFCF44" w14:textId="77777777" w:rsidR="00EB7D5A" w:rsidRPr="00477D53" w:rsidRDefault="00EB7D5A" w:rsidP="00EB7D5A">
      <w:pPr>
        <w:spacing w:after="170" w:line="252" w:lineRule="auto"/>
        <w:ind w:left="-15" w:firstLine="189"/>
        <w:jc w:val="both"/>
        <w:rPr>
          <w:rFonts w:eastAsia="Cambria"/>
          <w:color w:val="000000"/>
          <w:szCs w:val="22"/>
        </w:rPr>
      </w:pPr>
      <w:r w:rsidRPr="00477D53">
        <w:rPr>
          <w:rFonts w:eastAsia="Cambria"/>
          <w:color w:val="000000"/>
          <w:szCs w:val="22"/>
        </w:rPr>
        <w:t xml:space="preserve">The lack of conclusive findings on the effect of the ACA on job lock is a surprising result. Through supports in the private insurance market with the intent of making the purchase of health insurance cheaper and easier, and restructuring of regulations intended to improve access to health insurance, any barrier to transition between jobs as a result of health insurance should be lessened. One hypothesis as to why the effect has not been found conclusively in recent work is the selection bias of who decides to go into self-employment. Given the risky nature of starting a business, those individuals likely to do it may also have a lower personal valuation of health insurance. The </w:t>
      </w:r>
      <w:r w:rsidRPr="00477D53">
        <w:rPr>
          <w:rFonts w:eastAsia="Cambria"/>
          <w:color w:val="000000"/>
          <w:szCs w:val="22"/>
        </w:rPr>
        <w:lastRenderedPageBreak/>
        <w:t xml:space="preserve">reliance on self-employment as an indicator of job lock may misestimate the actual effect of the ACA. Less risky styles of work than self-employment may be better indicators of the job lock effect of the ACA as they are less sensitive to the selection effect. Independent contractors have existed at a division in eligibility for labor protections and regulations like the minimum wage, overtime, collective bargaining, and tax withholdings for </w:t>
      </w:r>
      <w:r>
        <w:rPr>
          <w:rFonts w:eastAsia="Cambria"/>
          <w:color w:val="000000"/>
          <w:szCs w:val="22"/>
        </w:rPr>
        <w:t>decades</w:t>
      </w:r>
      <w:r w:rsidRPr="00477D53">
        <w:rPr>
          <w:rFonts w:eastAsia="Cambria"/>
          <w:color w:val="000000"/>
          <w:szCs w:val="22"/>
        </w:rPr>
        <w:t xml:space="preserve"> (Hyman, 2018). With the passage of the ACA, and specifically the Employer Shared Responsibility Provision (ESRP), health insurance has been added to that list. While Employers with 50 or more full-time employees are required to supply health insurance to their employees, independent contractors do not count to this total. While independent contractors are excluded from the ESRP, the ACA brought a series of changes to the private health insurance market that were likely to have direct effects on the number of people engaging in independent contracting. In particular, the introduction of the state insurance exchanges, the expansion of Medicaid, and the premium tax credit to support the purchase of private health insurance on the exchanges all may have reduced the risky nature of independent contracting and improved the ease of access to private health insurance.</w:t>
      </w:r>
    </w:p>
    <w:p w14:paraId="504F2C28" w14:textId="77777777" w:rsidR="00EB7D5A" w:rsidRPr="00477D53" w:rsidRDefault="00EB7D5A" w:rsidP="00EB7D5A">
      <w:pPr>
        <w:spacing w:after="170" w:line="252" w:lineRule="auto"/>
        <w:ind w:left="-15" w:firstLine="189"/>
        <w:jc w:val="both"/>
        <w:rPr>
          <w:rFonts w:eastAsia="Cambria"/>
          <w:color w:val="000000"/>
          <w:szCs w:val="22"/>
        </w:rPr>
      </w:pPr>
      <w:r w:rsidRPr="00477D53">
        <w:rPr>
          <w:rFonts w:eastAsia="Cambria"/>
          <w:color w:val="000000"/>
          <w:szCs w:val="22"/>
        </w:rPr>
        <w:t>This analysis utilizes data from the American Community Survey (ACS), the Current Population Survey (CPS), the CPS Contingent Worker Supplement (CWS), Survey of Income and Program Participation (SIPP), and Nonemployer Statistics (NES). The ACS, CPS, and CWS are all large cross-sectional surveys intended to get a sense of the state of the nation across a wide set of topics. SIPP is a nationally representative panel survey offering insight into demographic and socioeconomic characteristics of individuals who may be eligible to participate in a wide range of programs. The NES is aggregated tax data on the number of nonemployer establishments at a given geographic level annually. Utilizing these national data sources this paper intends to assess the degree to which the introduction of the state insurance exchanges, the expansion of Medicaid, and the premium tax credit impacted the number of individuals engaged in AWAs. Within this group of AWAs, a focus will be on a comparison between traditional independent contractors, the online gig economy, and the self-employed. If selection bias is one of the reasons for why job lock effects have been muted, then testing the self-employed against less risky variants of AWAs may provide insight into effects of the ACA. Independent contracting walks a line of self-employment as some workers act as solo enterprises contracting out services in project-oriented arrangements. Other independent contractors take up work under the hierarchy of an organization for extended periods of time, prompting some to consider the line of misclassification (Hyman, 2018). Firms like Uber, Lyft, Airbnb, and TaskRabbit offer lower friction marketplaces and reduced transaction costs, lowering the start-up cost and reducing the risk of work on these platforms. This reduction in risk may attract a set of more risk averse workers into independent contracting. To test for differences between the self-employed, independent contracting broadly, and the online gig economy, data on where and when Uber was in operation in the U.S. will be employed to identify workers who may be engaged in the online gig economy. The use of these data sources will allow for testing a difference in response across the self-employed, traditional independent contracting, and the online gig economy.</w:t>
      </w:r>
    </w:p>
    <w:p w14:paraId="085DED2D" w14:textId="77777777" w:rsidR="00EB7D5A" w:rsidRPr="00477D53" w:rsidRDefault="00EB7D5A" w:rsidP="00EB7D5A">
      <w:pPr>
        <w:spacing w:after="170" w:line="252" w:lineRule="auto"/>
        <w:ind w:left="-15" w:firstLine="189"/>
        <w:jc w:val="both"/>
        <w:rPr>
          <w:rFonts w:eastAsia="Cambria"/>
          <w:color w:val="000000"/>
          <w:szCs w:val="22"/>
        </w:rPr>
      </w:pPr>
      <w:r w:rsidRPr="00477D53">
        <w:rPr>
          <w:rFonts w:eastAsia="Cambria"/>
          <w:color w:val="000000"/>
          <w:szCs w:val="22"/>
        </w:rPr>
        <w:t xml:space="preserve">Should independent contracting and the self-employed both be found to be unaffected by the reforms in the health insurance market then this would fall in line with the distinction presented by the ACA which classify employees and independent contractors differently, and does not require that independent contractors be counted under the ESRP criteria. It would also support the rational </w:t>
      </w:r>
      <w:r w:rsidRPr="00477D53">
        <w:rPr>
          <w:rFonts w:eastAsia="Cambria"/>
          <w:color w:val="000000"/>
          <w:szCs w:val="22"/>
        </w:rPr>
        <w:lastRenderedPageBreak/>
        <w:t>as to why health insurance is not a critical component of protections supplied to these work arrangements, and point policy makers to focus on alternative avenues of support to this set of workers. If on the other hand, the results find that less risky independent contracting work arrangements expand as a result of the ACA’s support of the private insurance market, then this supports the theoretical framework of the job lock effect. This conclusion would question the degree to which broad, non-employment linked benefits may interact with labor supply in general, and what negative consequences may exist as a result of the dominance of the ESI model.</w:t>
      </w:r>
    </w:p>
    <w:p w14:paraId="10365847" w14:textId="77777777" w:rsidR="00EB7D5A" w:rsidRDefault="00EB7D5A" w:rsidP="00EB7D5A">
      <w:pPr>
        <w:ind w:firstLine="174"/>
        <w:rPr>
          <w:iCs/>
        </w:rPr>
      </w:pPr>
      <w:r>
        <w:rPr>
          <w:iCs/>
        </w:rPr>
        <w:t xml:space="preserve">While the ACA initially required an expansion of Medicaid to individuals below 138% of the FPL, following the ruling of the Supreme Court in National Federation of Independent Business v. Sebelius states were given the option to expand Medicaid. This expansion was funded by the federal government initially and will be reduced to 90 percent after 2019. Due to coverage under the Children’s Health Insurance Program (CHIP) and existing Medicaid programs this expansion had primarily affected adults without dependents. The decision to allow states to opt into the Medicaid expansion created an endogenous source of variation in the selection into this policy of the ACA, and variation in when some states decided to expand coverage. A further source of variation is the addition of work requirements to access Medicaid. While the Obama administration did not approve of any work requirement attachments to Medicaid, the Trump administration has considered proposals. As of February 2019, Arkansas, Indiana, New Hampshire, Kentucky, Michigan, Arizona, Ohio, and Virginia have begun process or already approved of work requirements for Medicaid. </w:t>
      </w:r>
    </w:p>
    <w:p w14:paraId="5FAF9047" w14:textId="77777777" w:rsidR="00EB7D5A" w:rsidRPr="00EB7D5A" w:rsidRDefault="00EB7D5A" w:rsidP="00EB7D5A">
      <w:pPr>
        <w:jc w:val="both"/>
      </w:pPr>
    </w:p>
    <w:p w14:paraId="4CD46F49" w14:textId="6D3EEAC7" w:rsidR="00EB7D5A" w:rsidRDefault="00EB7D5A" w:rsidP="00EB7D5A">
      <w:pPr>
        <w:pStyle w:val="Heading2"/>
      </w:pPr>
      <w:r>
        <w:t>Theoretical Background</w:t>
      </w:r>
    </w:p>
    <w:p w14:paraId="06F70E3C" w14:textId="77777777" w:rsidR="000077B5" w:rsidRPr="00477D53" w:rsidRDefault="000077B5" w:rsidP="000077B5">
      <w:pPr>
        <w:spacing w:after="170" w:line="252" w:lineRule="auto"/>
        <w:ind w:left="-15" w:firstLine="189"/>
        <w:jc w:val="both"/>
        <w:rPr>
          <w:rFonts w:eastAsia="Cambria"/>
          <w:color w:val="000000"/>
          <w:szCs w:val="22"/>
        </w:rPr>
      </w:pPr>
      <w:r w:rsidRPr="00477D53">
        <w:rPr>
          <w:rFonts w:eastAsia="Cambria"/>
          <w:color w:val="000000"/>
          <w:szCs w:val="22"/>
        </w:rPr>
        <w:t xml:space="preserve">An understanding of the connection between health insurance and worker classification is necessary to address the potential for job lock effects as a result of the ACA. Health insurance in the U.S. had originated not as a form of insurance to cover medical expenses but as a means of insuring against lost wages due to illness (Currie and </w:t>
      </w:r>
      <w:proofErr w:type="spellStart"/>
      <w:r w:rsidRPr="00477D53">
        <w:rPr>
          <w:rFonts w:eastAsia="Cambria"/>
          <w:color w:val="000000"/>
          <w:szCs w:val="22"/>
        </w:rPr>
        <w:t>Madrian</w:t>
      </w:r>
      <w:proofErr w:type="spellEnd"/>
      <w:r w:rsidRPr="00477D53">
        <w:rPr>
          <w:rFonts w:eastAsia="Cambria"/>
          <w:color w:val="000000"/>
          <w:szCs w:val="22"/>
        </w:rPr>
        <w:t>, 1999). The expansion of insurance to cover against medical expenses was an extension of the already existing infrastructure of employers in the 20th century (Shapiro and Field, 1993). The two-way street between labor and health was a primary incentive for the creation of ESI and the American model which followed it, expanding throughout the post-war period. It is important to note that no national policy predicated that health insurance had to be supplied by employers or to whom employers had to supply the health insurance. The private market was a legitimate alternative throughout the 20th century within the United States, yet employers became the dominant supplier.</w:t>
      </w:r>
    </w:p>
    <w:p w14:paraId="4EE9D3DC" w14:textId="77777777" w:rsidR="000077B5" w:rsidRPr="00477D53" w:rsidRDefault="000077B5" w:rsidP="000077B5">
      <w:pPr>
        <w:spacing w:after="170" w:line="252" w:lineRule="auto"/>
        <w:ind w:left="-15" w:firstLine="189"/>
        <w:jc w:val="both"/>
        <w:rPr>
          <w:rFonts w:eastAsia="Cambria"/>
          <w:color w:val="000000"/>
          <w:szCs w:val="22"/>
        </w:rPr>
      </w:pPr>
      <w:r w:rsidRPr="00477D53">
        <w:rPr>
          <w:rFonts w:eastAsia="Cambria"/>
          <w:color w:val="000000"/>
          <w:szCs w:val="22"/>
        </w:rPr>
        <w:t xml:space="preserve">Currie and </w:t>
      </w:r>
      <w:proofErr w:type="spellStart"/>
      <w:r w:rsidRPr="00477D53">
        <w:rPr>
          <w:rFonts w:eastAsia="Cambria"/>
          <w:color w:val="000000"/>
          <w:szCs w:val="22"/>
        </w:rPr>
        <w:t>Madrian</w:t>
      </w:r>
      <w:proofErr w:type="spellEnd"/>
      <w:r w:rsidRPr="00477D53">
        <w:rPr>
          <w:rFonts w:eastAsia="Cambria"/>
          <w:color w:val="000000"/>
          <w:szCs w:val="22"/>
        </w:rPr>
        <w:t xml:space="preserve"> (1999) outline both demand-side and supply-side drivers of the linkage between labor and these nonmonetary forms of compensation. Since health insurance and other benefits have been identified as exempt from income taxes, they offer a method of expanding a worker’s budget constraint in comparison to a fully taxable monetary package. Since benefit packages are excluded from taxes, they represent an opportunity to pay workers more at no additional cost to the firm, allowing for cheaper means of attracting and retaining labor than direct cash payments (Woodbury and Huang, 1991; Gruber and Poterba, 1994; Gentry and </w:t>
      </w:r>
      <w:proofErr w:type="spellStart"/>
      <w:r w:rsidRPr="00477D53">
        <w:rPr>
          <w:rFonts w:eastAsia="Cambria"/>
          <w:color w:val="000000"/>
          <w:szCs w:val="22"/>
        </w:rPr>
        <w:t>Peress</w:t>
      </w:r>
      <w:proofErr w:type="spellEnd"/>
      <w:r w:rsidRPr="00477D53">
        <w:rPr>
          <w:rFonts w:eastAsia="Cambria"/>
          <w:color w:val="000000"/>
          <w:szCs w:val="22"/>
        </w:rPr>
        <w:t xml:space="preserve">, 1994). In the context of worker classification, this effect is more likely to be prevalent among higher skill </w:t>
      </w:r>
      <w:r w:rsidRPr="00477D53">
        <w:rPr>
          <w:rFonts w:eastAsia="Cambria"/>
          <w:color w:val="000000"/>
          <w:szCs w:val="22"/>
        </w:rPr>
        <w:lastRenderedPageBreak/>
        <w:t>or long-term workers. From the demand side, a greater demand for health insurance will produce a greater demand for ESI as well, conditional on workers needing to use post-tax income for the purchase of health insurance. This facet proves important if we consider employees and independent contractors as two distinct groups with differing risk preferences and valuations of insurance. This will also produce varying results if we consider that independent contracting may vary in skill-level or duration of work.</w:t>
      </w:r>
    </w:p>
    <w:p w14:paraId="7B71845F" w14:textId="77777777" w:rsidR="000077B5" w:rsidRPr="00477D53" w:rsidRDefault="000077B5" w:rsidP="000077B5">
      <w:pPr>
        <w:spacing w:after="170" w:line="252" w:lineRule="auto"/>
        <w:ind w:left="-15" w:firstLine="189"/>
        <w:jc w:val="both"/>
        <w:rPr>
          <w:rFonts w:eastAsia="Cambria"/>
          <w:color w:val="000000"/>
          <w:szCs w:val="22"/>
        </w:rPr>
      </w:pPr>
      <w:r w:rsidRPr="00477D53">
        <w:rPr>
          <w:rFonts w:eastAsia="Cambria"/>
          <w:color w:val="000000"/>
          <w:szCs w:val="22"/>
        </w:rPr>
        <w:t xml:space="preserve">The presence of ESI in the market has spillover effects on the privately supplied health insurance market then, as those workers who receive insurance from the ESI market are less likely to purchase private insurance. This may also be the case if those who do not receive employer-supplied health insurance directly gain access via shared family plans, filtering who is most likely to participate in the </w:t>
      </w:r>
      <w:proofErr w:type="gramStart"/>
      <w:r w:rsidRPr="00477D53">
        <w:rPr>
          <w:rFonts w:eastAsia="Cambria"/>
          <w:color w:val="000000"/>
          <w:szCs w:val="22"/>
        </w:rPr>
        <w:t>privately-supplied</w:t>
      </w:r>
      <w:proofErr w:type="gramEnd"/>
      <w:r w:rsidRPr="00477D53">
        <w:rPr>
          <w:rFonts w:eastAsia="Cambria"/>
          <w:color w:val="000000"/>
          <w:szCs w:val="22"/>
        </w:rPr>
        <w:t xml:space="preserve"> insurance market. Given the relationship between health and productivity the non-employed are likely to have a higher average cost of insurance than the employed (Johnson and </w:t>
      </w:r>
      <w:proofErr w:type="spellStart"/>
      <w:r w:rsidRPr="00477D53">
        <w:rPr>
          <w:rFonts w:eastAsia="Cambria"/>
          <w:color w:val="000000"/>
          <w:szCs w:val="22"/>
        </w:rPr>
        <w:t>Lambrinos</w:t>
      </w:r>
      <w:proofErr w:type="spellEnd"/>
      <w:r w:rsidRPr="00477D53">
        <w:rPr>
          <w:rFonts w:eastAsia="Cambria"/>
          <w:color w:val="000000"/>
          <w:szCs w:val="22"/>
        </w:rPr>
        <w:t xml:space="preserve">, 1985; Baldwin and Johnson, 1994, 2000; Jones, </w:t>
      </w:r>
      <w:proofErr w:type="spellStart"/>
      <w:r w:rsidRPr="00477D53">
        <w:rPr>
          <w:rFonts w:eastAsia="Cambria"/>
          <w:color w:val="000000"/>
          <w:szCs w:val="22"/>
        </w:rPr>
        <w:t>Latreille</w:t>
      </w:r>
      <w:proofErr w:type="spellEnd"/>
      <w:r w:rsidRPr="00477D53">
        <w:rPr>
          <w:rFonts w:eastAsia="Cambria"/>
          <w:color w:val="000000"/>
          <w:szCs w:val="22"/>
        </w:rPr>
        <w:t xml:space="preserve"> and Sloane, 2006; Jones, 2008). Since the non-employed are unable to access ESI without some dependent coverage, they will raise the cost of insurance in the private market on average. This price differential is increased by the bargaining power and pooling of risk across large firms which supply health insurance to their employees. The difference in this effect from large and small firms has been estimated to be nearly 35 percent in the past (Congressional Research Service, 1988). To some degree though, the difference between the private marketplace and the ESI market has been reduced, or even reversed by the introduction of insurance exchanges in the ACA (Blumberg, </w:t>
      </w:r>
      <w:proofErr w:type="spellStart"/>
      <w:r w:rsidRPr="00477D53">
        <w:rPr>
          <w:rFonts w:eastAsia="Cambria"/>
          <w:color w:val="000000"/>
          <w:szCs w:val="22"/>
        </w:rPr>
        <w:t>Holahan</w:t>
      </w:r>
      <w:proofErr w:type="spellEnd"/>
      <w:r w:rsidRPr="00477D53">
        <w:rPr>
          <w:rFonts w:eastAsia="Cambria"/>
          <w:color w:val="000000"/>
          <w:szCs w:val="22"/>
        </w:rPr>
        <w:t xml:space="preserve"> and </w:t>
      </w:r>
      <w:proofErr w:type="spellStart"/>
      <w:r w:rsidRPr="00477D53">
        <w:rPr>
          <w:rFonts w:eastAsia="Cambria"/>
          <w:color w:val="000000"/>
          <w:szCs w:val="22"/>
        </w:rPr>
        <w:t>Wengle</w:t>
      </w:r>
      <w:proofErr w:type="spellEnd"/>
      <w:r w:rsidRPr="00477D53">
        <w:rPr>
          <w:rFonts w:eastAsia="Cambria"/>
          <w:color w:val="000000"/>
          <w:szCs w:val="22"/>
        </w:rPr>
        <w:t>, 2016), but this result requires fine specification of plans to compare and may not generalize across all work arrangements.</w:t>
      </w:r>
    </w:p>
    <w:p w14:paraId="4CF02E77" w14:textId="77777777" w:rsidR="000077B5" w:rsidRPr="00477D53" w:rsidRDefault="000077B5" w:rsidP="000077B5">
      <w:pPr>
        <w:spacing w:after="170" w:line="252" w:lineRule="auto"/>
        <w:ind w:left="-15" w:firstLine="189"/>
        <w:jc w:val="both"/>
        <w:rPr>
          <w:rFonts w:eastAsia="Cambria"/>
          <w:color w:val="000000"/>
          <w:szCs w:val="22"/>
        </w:rPr>
      </w:pPr>
      <w:r w:rsidRPr="00477D53">
        <w:rPr>
          <w:rFonts w:eastAsia="Cambria"/>
          <w:color w:val="000000"/>
          <w:szCs w:val="22"/>
        </w:rPr>
        <w:t>Those independent contractors who do not receive employer supplied health insurance are then forced to engage on the private market. The traditionally higher cost of health insurance on the private market is seen as a deterrent from leaving work arrangements which offer ESI. The size of this deterrent depends on an individual’s preferences for health insurance and differentials in the price and quality of insurance. While independent contractors have not been the focus of the research in this area some insight can be gained by exploring how the self-employed respond to changes in the ACA. The Dependent Coverage Mandate has prompted work on how individuals before and after the age cut-off respond to the expansion in coverage under family plans.  Akosa Antwi, Moriya and Simon (2013) utilized the Survey of Income and Program Participation to estimate the effects of the ACA on insurance outcomes of young adults and showed a high take-up or paternal coverage. They also demonstrated some evidence of increased flexibility in the labor market, which supported the proposition of reduced job-lock. This estimate is potentially biased though as alternative date specifications seem to imply a similar positive effect before the policy is introduced, implying an underlying trend which was not properly accounted for (</w:t>
      </w:r>
      <w:proofErr w:type="spellStart"/>
      <w:r w:rsidRPr="00477D53">
        <w:rPr>
          <w:rFonts w:eastAsia="Cambria"/>
          <w:color w:val="000000"/>
          <w:szCs w:val="22"/>
        </w:rPr>
        <w:t>Slusky</w:t>
      </w:r>
      <w:proofErr w:type="spellEnd"/>
      <w:r w:rsidRPr="00477D53">
        <w:rPr>
          <w:rFonts w:eastAsia="Cambria"/>
          <w:color w:val="000000"/>
          <w:szCs w:val="22"/>
        </w:rPr>
        <w:t>, 2013). Other authors attempt to estimate this effect using the American Community Survey (ACS) (Baily, 2013), the Compliance Data Warehouse (CDW) (Heim, Lurie, and Simon, 2015), and the CPS (</w:t>
      </w:r>
      <w:r>
        <w:rPr>
          <w:rFonts w:eastAsia="Cambria"/>
          <w:color w:val="000000"/>
          <w:szCs w:val="22"/>
        </w:rPr>
        <w:t>Monheit et al</w:t>
      </w:r>
      <w:r w:rsidRPr="00477D53">
        <w:rPr>
          <w:rFonts w:eastAsia="Cambria"/>
          <w:color w:val="000000"/>
          <w:szCs w:val="22"/>
        </w:rPr>
        <w:t xml:space="preserve">., 2012). Across these works the ACA dependent coverage mandate seems to have done little to impact entrepreneurship and self-employment among young workers (Bailey, 2013; Heim, Lurie and Simon, 2015; Heim, Lurie and Simon, 2018). This is likely a result of health insurance being less salient to young adults (Heim, Lurie and Simon, 2018). </w:t>
      </w:r>
    </w:p>
    <w:p w14:paraId="3533721C" w14:textId="77777777" w:rsidR="000077B5" w:rsidRPr="00477D53" w:rsidRDefault="000077B5" w:rsidP="000077B5">
      <w:pPr>
        <w:spacing w:after="170" w:line="252" w:lineRule="auto"/>
        <w:ind w:left="-15" w:firstLine="189"/>
        <w:jc w:val="both"/>
        <w:rPr>
          <w:rFonts w:eastAsia="Cambria"/>
          <w:color w:val="000000"/>
          <w:szCs w:val="22"/>
        </w:rPr>
      </w:pPr>
      <w:r w:rsidRPr="00477D53">
        <w:rPr>
          <w:rFonts w:eastAsia="Cambria"/>
          <w:color w:val="000000"/>
          <w:szCs w:val="22"/>
        </w:rPr>
        <w:lastRenderedPageBreak/>
        <w:t>An alternative to the age-based treatment is the expansion of Medicaid. Focusing on the impact of state-based Medicaid expansion can break away from the age-related selection bias identified in the literature. It does raise concerns as to the generalizability of results away from low-income individuals, but this is not detrimental to an analysis of the effects of the ACA. Previous work on the effects of public insurance programs on employment broadly have demonstrated negative effects (</w:t>
      </w:r>
      <w:r w:rsidRPr="00477D53">
        <w:rPr>
          <w:szCs w:val="22"/>
        </w:rPr>
        <w:t xml:space="preserve">Garthwaite et al., 2014, </w:t>
      </w:r>
      <w:proofErr w:type="spellStart"/>
      <w:r w:rsidRPr="00477D53">
        <w:rPr>
          <w:szCs w:val="22"/>
        </w:rPr>
        <w:t>Dague</w:t>
      </w:r>
      <w:proofErr w:type="spellEnd"/>
      <w:r w:rsidRPr="00477D53">
        <w:rPr>
          <w:szCs w:val="22"/>
        </w:rPr>
        <w:t xml:space="preserve"> et al., 2014)</w:t>
      </w:r>
      <w:r w:rsidRPr="00477D53">
        <w:rPr>
          <w:rFonts w:eastAsia="Cambria"/>
          <w:color w:val="000000"/>
          <w:szCs w:val="22"/>
        </w:rPr>
        <w:t xml:space="preserve"> or null effects (</w:t>
      </w:r>
      <w:proofErr w:type="spellStart"/>
      <w:r w:rsidRPr="00477D53">
        <w:rPr>
          <w:rFonts w:eastAsia="Cambria"/>
          <w:color w:val="000000"/>
          <w:szCs w:val="22"/>
        </w:rPr>
        <w:t>Gooptu</w:t>
      </w:r>
      <w:proofErr w:type="spellEnd"/>
      <w:r w:rsidRPr="00477D53">
        <w:rPr>
          <w:rFonts w:eastAsia="Cambria"/>
          <w:color w:val="000000"/>
          <w:szCs w:val="22"/>
        </w:rPr>
        <w:t xml:space="preserve"> et al., 2016; Leung and Mas, 2016) on the propensity for individuals to leave employment upon receiving access to public health insurance. These studies examine the employment-lock effect rather than the job-lock effect. Studies on job lock specifically identify reductions in job lock as a result of public health insurance programs as appose to simply motivating an exit from work (</w:t>
      </w:r>
      <w:proofErr w:type="spellStart"/>
      <w:r w:rsidRPr="00477D53">
        <w:rPr>
          <w:rFonts w:eastAsia="Cambria"/>
          <w:color w:val="000000"/>
          <w:szCs w:val="22"/>
        </w:rPr>
        <w:t>Hamersma</w:t>
      </w:r>
      <w:proofErr w:type="spellEnd"/>
      <w:r w:rsidRPr="00477D53">
        <w:rPr>
          <w:rFonts w:eastAsia="Cambria"/>
          <w:color w:val="000000"/>
          <w:szCs w:val="22"/>
        </w:rPr>
        <w:t xml:space="preserve"> and Kim, 2009; Boyle and Lahey, 2010; </w:t>
      </w:r>
      <w:proofErr w:type="spellStart"/>
      <w:r w:rsidRPr="00477D53">
        <w:rPr>
          <w:rFonts w:eastAsia="Cambria"/>
          <w:color w:val="000000"/>
          <w:szCs w:val="22"/>
        </w:rPr>
        <w:t>Bansak</w:t>
      </w:r>
      <w:proofErr w:type="spellEnd"/>
      <w:r w:rsidRPr="00477D53">
        <w:rPr>
          <w:rFonts w:eastAsia="Cambria"/>
          <w:color w:val="000000"/>
          <w:szCs w:val="22"/>
        </w:rPr>
        <w:t xml:space="preserve"> and Raphael, 2008). This combination of results implies the potential for identifiable job lock effects as a result of the Medicaid expansion. It is likely that any causal effect of the Medicaid expansion to independent contractors will be mediated by the degree to which AWAs are available in low income positions. Considering that the Medicaid expansion is estimated to be responsible for roughly 36% of the coverage gains as a result of the ACA, and the premium tax credits are estimated to be responsible for 24% (</w:t>
      </w:r>
      <w:proofErr w:type="spellStart"/>
      <w:r w:rsidRPr="00477D53">
        <w:rPr>
          <w:rFonts w:eastAsia="Cambria"/>
          <w:color w:val="000000"/>
          <w:szCs w:val="22"/>
        </w:rPr>
        <w:t>Frean</w:t>
      </w:r>
      <w:proofErr w:type="spellEnd"/>
      <w:r w:rsidRPr="00477D53">
        <w:rPr>
          <w:rFonts w:eastAsia="Cambria"/>
          <w:color w:val="000000"/>
          <w:szCs w:val="22"/>
        </w:rPr>
        <w:t xml:space="preserve"> et al., 2017), the overlap of AWAs and low income individuals will dictate the pool of people likely impacted by these changes.</w:t>
      </w:r>
    </w:p>
    <w:p w14:paraId="21C1BF38" w14:textId="43172AFB" w:rsidR="00EB7D5A" w:rsidRPr="000077B5" w:rsidRDefault="000077B5" w:rsidP="000077B5">
      <w:pPr>
        <w:spacing w:after="170" w:line="252" w:lineRule="auto"/>
        <w:ind w:left="-15" w:firstLine="189"/>
        <w:jc w:val="both"/>
        <w:rPr>
          <w:rFonts w:eastAsia="Cambria"/>
          <w:color w:val="000000"/>
          <w:szCs w:val="22"/>
        </w:rPr>
      </w:pPr>
      <w:r w:rsidRPr="00477D53">
        <w:rPr>
          <w:rFonts w:eastAsia="Cambria"/>
          <w:color w:val="000000"/>
          <w:szCs w:val="22"/>
        </w:rPr>
        <w:t>The difference between seeking out AWAs or remaining in their present circumstance rests on the provision of health insurance for those on the margin. One of the primary goals of the ACA was to improve access to affordable health insurance for everyone, regardless of work status (David, Melinda and Rachel, 2015). The numerous policy changes implemented by the ACA may have proven enough to move those workers on the margin. Given the general classification of online gig workers as independent contractors, it is possible that some of these employees on the margin moved into the online gig economy as well as traditional AWAs. This movement on the margin may be difficult to identify though as uncertainty regarding the sustainability of the ACA and costs of private health insurance market appear to be primary factors impacting the number of self-employed (Heim and Yang, 2017). The introduction of greater uncertainty regarding the long-term stability of the ACA since 2016, and the removal of the health insurance mandate may continue to produce muted results in job lock reduction.</w:t>
      </w:r>
    </w:p>
    <w:p w14:paraId="449779C3" w14:textId="20D1829D" w:rsidR="00EB7D5A" w:rsidRDefault="00EB7D5A" w:rsidP="00EB7D5A">
      <w:pPr>
        <w:pStyle w:val="Heading2"/>
      </w:pPr>
      <w:r>
        <w:t xml:space="preserve">Data </w:t>
      </w:r>
    </w:p>
    <w:p w14:paraId="32D5FE18" w14:textId="77777777" w:rsidR="000077B5" w:rsidRPr="00477D53" w:rsidRDefault="000077B5" w:rsidP="000077B5">
      <w:pPr>
        <w:spacing w:after="170" w:line="252" w:lineRule="auto"/>
        <w:ind w:left="-15" w:firstLine="189"/>
        <w:jc w:val="both"/>
        <w:rPr>
          <w:rFonts w:eastAsia="Cambria"/>
          <w:color w:val="000000"/>
          <w:szCs w:val="22"/>
        </w:rPr>
      </w:pPr>
      <w:r w:rsidRPr="00477D53">
        <w:rPr>
          <w:rFonts w:eastAsia="Cambria"/>
          <w:color w:val="000000"/>
          <w:szCs w:val="22"/>
        </w:rPr>
        <w:t>The project will begin by collecting sources of data which can identify workers in AWAs and the online gig economy. Following the work of Abraham et al. (2018) the data sources utilized in this analysis are the ACS, the (CPS), the CWS, and NES. In addition to these sources already identified for the study of AWAs and the online gig economy, I will utilize SIPP. These data sources allow for an identification of the self-employed, independent contractors, and workers in the online gig economy. This section describes the components of these data sources of most value, the advantages of using a given source, and the disadvantages. This section concludes with a discussion of how they will relate to one another for the purposes of this analysis.</w:t>
      </w:r>
    </w:p>
    <w:p w14:paraId="5681AE71" w14:textId="77777777" w:rsidR="000077B5" w:rsidRPr="00477D53" w:rsidRDefault="000077B5" w:rsidP="000077B5">
      <w:pPr>
        <w:spacing w:after="170" w:line="252" w:lineRule="auto"/>
        <w:ind w:left="-15" w:firstLine="189"/>
        <w:jc w:val="both"/>
        <w:rPr>
          <w:rFonts w:eastAsia="Cambria"/>
          <w:color w:val="000000"/>
          <w:szCs w:val="22"/>
        </w:rPr>
      </w:pPr>
      <w:r w:rsidRPr="00477D53">
        <w:rPr>
          <w:rFonts w:eastAsia="Cambria"/>
          <w:color w:val="000000"/>
          <w:szCs w:val="22"/>
        </w:rPr>
        <w:t xml:space="preserve">The ACS is an annual national survey that provides information on jobs and occupations, educational attainment, veterans, whether people own or rent their homes, and other topics particular to the state of the nation and trends over time. It collects information on the “class of </w:t>
      </w:r>
      <w:r w:rsidRPr="00477D53">
        <w:rPr>
          <w:rFonts w:eastAsia="Cambria"/>
          <w:color w:val="000000"/>
          <w:szCs w:val="22"/>
        </w:rPr>
        <w:lastRenderedPageBreak/>
        <w:t>work” a given respondent participates in, which allows for the identification of workers who are “Self-employed in own not incorporated business, professional practice, or farm” or “Self-employed in own incorporated business, professional practice or farm.” Both answers help to identify individuals of interest to this research. This is also the category which we would expect an accurately identifying individual to classify themselves under if they are an independent contractor. This classification will be linked to the respondent’s primary source of income though and will fail to capture individuals participating in AWAs as a supplemental source of income. Given that health insurance is generally linked to a worker’s primary source of employment, this limitation may prevent the capture of information on individuals engaging in AWAs to support the cost of health care while maintaining their primary source of income.</w:t>
      </w:r>
    </w:p>
    <w:p w14:paraId="480E0914" w14:textId="77777777" w:rsidR="000077B5" w:rsidRPr="00477D53" w:rsidRDefault="000077B5" w:rsidP="000077B5">
      <w:pPr>
        <w:spacing w:after="170" w:line="252" w:lineRule="auto"/>
        <w:ind w:left="-15" w:firstLine="189"/>
        <w:jc w:val="both"/>
        <w:rPr>
          <w:rFonts w:eastAsia="Cambria"/>
          <w:color w:val="000000"/>
          <w:szCs w:val="22"/>
        </w:rPr>
      </w:pPr>
      <w:r w:rsidRPr="00477D53">
        <w:rPr>
          <w:rFonts w:eastAsia="Cambria"/>
          <w:color w:val="000000"/>
          <w:szCs w:val="22"/>
        </w:rPr>
        <w:t>The ACS also identifies the NAICS industry which the respondent works in. This allows for a broad test of the ACA’s impact on the respondent’s labor supply decisions, and industry level comparisons. These industry level comparisons are necessary if an assessment of the online gig economy is performed. Unfortunately, the ACS does not allow for a separation of independent contractors and the self-employed. As a result, it is likely that use of the ACS will show little significance when the self-employed and independent contractors are bundled but may show some degree of significance when comparing independent contractors across the online gig economy in an industry level comparison. Through a comparison of the bundled group of independent contractors and self-employed across NAICS industry code, specifically the Taxi and Limousine Service (4853) or Other Transit and Ground Passenger Transportation sectors (4859), and using data on where and when Uber is active, it is possible to estimate the number of drivers identified in the survey who may be driving in the online gig economy for firms like Uber and Lyft.</w:t>
      </w:r>
    </w:p>
    <w:p w14:paraId="5D7F30E9" w14:textId="77777777" w:rsidR="000077B5" w:rsidRPr="00477D53" w:rsidRDefault="000077B5" w:rsidP="000077B5">
      <w:pPr>
        <w:spacing w:after="170" w:line="252" w:lineRule="auto"/>
        <w:ind w:left="-15" w:firstLine="189"/>
        <w:jc w:val="both"/>
        <w:rPr>
          <w:rFonts w:eastAsia="Cambria"/>
          <w:color w:val="000000"/>
          <w:szCs w:val="22"/>
        </w:rPr>
      </w:pPr>
      <w:r w:rsidRPr="00477D53">
        <w:rPr>
          <w:rFonts w:eastAsia="Cambria"/>
          <w:color w:val="000000"/>
          <w:szCs w:val="22"/>
        </w:rPr>
        <w:t>The CPS also includes the class of workers tag and industry information found in the ACS and has the same weaknesses as the ACS in this regard. One advantage to the CPS though is that it offers information monthly rather than annually. This is at the trade-off of sample size, but it may help for addressing ACA policies introduced not at the start of the year. The CWS is a supplement to the usual CPS and it is focused on collecting information related to contingent and alternative work arrangements. This supplement includes questions related to the specifics of a given work arrangement and allows for an individual to specify if they are self-employed, an independent contractor, a contingent worker, an on-call worker, a temporary help agency worker, or a worker provided by a contracting firm. This data can help to address the black box of worker classification which is problematic about the ACS. Unfortunately, this data is only collected in 1995, 1997, 1999, 2001, 2005, and 2017. While this data may introduce greater clarity on an individual’s primary source of income, it would be more difficult to identify causal impacts of the ACA, which occurs in the gap of data collection. This supports the use of the CPS in relation to the ACS, and the CWS as an additional support pending the results of analysis on the other two data sources. The CWS would not be enough on its own.</w:t>
      </w:r>
    </w:p>
    <w:p w14:paraId="73844304" w14:textId="77777777" w:rsidR="000077B5" w:rsidRPr="00477D53" w:rsidRDefault="000077B5" w:rsidP="000077B5">
      <w:pPr>
        <w:spacing w:after="170" w:line="252" w:lineRule="auto"/>
        <w:ind w:left="-15" w:firstLine="189"/>
        <w:jc w:val="both"/>
        <w:rPr>
          <w:rFonts w:eastAsia="Cambria"/>
          <w:color w:val="000000"/>
          <w:szCs w:val="22"/>
        </w:rPr>
      </w:pPr>
      <w:r w:rsidRPr="00477D53">
        <w:rPr>
          <w:rFonts w:eastAsia="Cambria"/>
          <w:color w:val="000000"/>
          <w:szCs w:val="22"/>
        </w:rPr>
        <w:t xml:space="preserve">The NES is created with administrative tax data from the Internal Revenue Service (IRS). The NES is an annual data series providing economic data on businesses with no paid employees, that are also subject to federal income tax. Many of the nonemployers are self-employed individuals known as sole proprietors. These sole proprietors may or may not be using the nonemployer business as a primary source of income or supplemental source. The NES includes only business with no payroll, are subject to federal income taxes, and those that hold receipts of $1,000 or more. </w:t>
      </w:r>
      <w:r w:rsidRPr="00477D53">
        <w:rPr>
          <w:rFonts w:eastAsia="Cambria"/>
          <w:color w:val="000000"/>
          <w:szCs w:val="22"/>
        </w:rPr>
        <w:lastRenderedPageBreak/>
        <w:t xml:space="preserve">The data is obtained using business income tax records provided by the IRS. This data is published annually and breaks out the count number of nonemployer establishments operating in a given geographic area during a calendar year, the total receipts accrued by nonemployers in the given year at the geographic level, and the industry of operation. Hathaway and </w:t>
      </w:r>
      <w:proofErr w:type="spellStart"/>
      <w:r w:rsidRPr="00477D53">
        <w:rPr>
          <w:rFonts w:eastAsia="Cambria"/>
          <w:color w:val="000000"/>
          <w:szCs w:val="22"/>
        </w:rPr>
        <w:t>Muro</w:t>
      </w:r>
      <w:proofErr w:type="spellEnd"/>
      <w:r w:rsidRPr="00477D53">
        <w:rPr>
          <w:rFonts w:eastAsia="Cambria"/>
          <w:color w:val="000000"/>
          <w:szCs w:val="22"/>
        </w:rPr>
        <w:t xml:space="preserve"> (2016) used this data previously to study the size of the online gig economy, using the NES to identify drivers for Uber and Lyft and hosts for Airbnb. While this data avoids the difficulty in assessing the accuracy of survey responses, the variable of interest, nonemployer establishments remains a bundling of the self-employed and independent contractors. While this is problematic when attempting to demonstrate differences in responses across the two groups it will not prevent the first stage of the analysis in assessing if total counts of these work arrangements have been impacts by the ACA.</w:t>
      </w:r>
    </w:p>
    <w:p w14:paraId="340BF1A1" w14:textId="77777777" w:rsidR="000077B5" w:rsidRPr="00477D53" w:rsidRDefault="000077B5" w:rsidP="000077B5">
      <w:pPr>
        <w:spacing w:after="170" w:line="252" w:lineRule="auto"/>
        <w:ind w:left="-15" w:firstLine="189"/>
        <w:jc w:val="both"/>
        <w:rPr>
          <w:rFonts w:eastAsia="Cambria"/>
          <w:color w:val="000000"/>
          <w:szCs w:val="22"/>
        </w:rPr>
      </w:pPr>
      <w:r w:rsidRPr="00477D53">
        <w:rPr>
          <w:rFonts w:eastAsia="Cambria"/>
          <w:color w:val="000000"/>
          <w:szCs w:val="22"/>
        </w:rPr>
        <w:t xml:space="preserve">Since this data is presented at the aggregated geographic level individuals cannot be identified in the data. This prevents any analysis in relation to the individual response to premium tax credits or the </w:t>
      </w:r>
      <w:r w:rsidRPr="00060C5A">
        <w:rPr>
          <w:rFonts w:eastAsia="Cambria"/>
          <w:color w:val="000000"/>
          <w:szCs w:val="22"/>
        </w:rPr>
        <w:t>Dependent Coverage Mandate</w:t>
      </w:r>
      <w:r w:rsidRPr="00477D53">
        <w:rPr>
          <w:rFonts w:eastAsia="Cambria"/>
          <w:color w:val="000000"/>
          <w:szCs w:val="22"/>
        </w:rPr>
        <w:t>, but it does not prevent analysis in comparisons of state-based policies like the expansion of Medicaid or the structuring of state-based insurance exchanges. Since this data also collects the population of nonemployer establishments from an administrative perspective, it does not divide the pool into primary and supplemental sources of income so long as the receipts taken in by a nonemployer is greater than $1,000. This will create a wider capture of AWAs than can be found in the ACS, CPS, or CWS. While the NES aggregation prevents individual characteristics from being assessed it offers a possibly more accurate count of those participating in these work arrangements.</w:t>
      </w:r>
    </w:p>
    <w:p w14:paraId="49418D06" w14:textId="77777777" w:rsidR="000077B5" w:rsidRPr="00477D53" w:rsidRDefault="000077B5" w:rsidP="000077B5">
      <w:pPr>
        <w:spacing w:after="170" w:line="252" w:lineRule="auto"/>
        <w:ind w:left="-15" w:firstLine="189"/>
        <w:jc w:val="both"/>
        <w:rPr>
          <w:rFonts w:eastAsia="Cambria"/>
          <w:color w:val="000000"/>
          <w:szCs w:val="22"/>
        </w:rPr>
      </w:pPr>
      <w:r w:rsidRPr="00477D53">
        <w:rPr>
          <w:rFonts w:eastAsia="Cambria"/>
          <w:color w:val="000000"/>
          <w:szCs w:val="22"/>
        </w:rPr>
        <w:t xml:space="preserve">SIPP is a national survey based on households, and offers a continuous panel divided into waves. The panel design and topics allow for the study of interacting policies and programs. It has been used to study a wide range of topics including aspects of job lock. It is used to assess the distribution of income and the effectiveness of policies and assistance programs. This data offers the best assessment of labor dynamics over a period among the data sources considered in this analysis. This data allows for the identification of individuals who may have changed their work arrangement over the course of the sample. When interviewed, each respondent is asked to answer questions on up to two work arrangements. These questions include the identification of if a respondent had at least one work arrangement in the previous week, is looking for work, when they first began working at a given arrangement, when they stopped working in that arrangement, and reasons for leaving or taking another job. SIPP also reports business-specific self-employment information. The characteristics of these work arrangements include the weekly hours, if a worker is paid hourly and what their hourly wage is, earnings in the last month, frequency of paychecks, industry, sector, and occupation. This data on work can effectively be combined with data on the health insurance coverage of respondents present in SIPP. This data can allow for the analysis of how the expansion of Medicaid in some states, and the implementation of the premium tax credit relate to the take up of industry specific self-employment arrangements. SIPP is limited in the direct identification of individuals who participate in independent contracting or the online gig economy, but by using information on the industry of work, if a business is incorporated, a sole-proprietorship, or a partnership, and the number of employees, I believe that an estimate of job lock on probable independent contractors can be found in relation to the expansion of Medicaid and the introduction of the premium tax credit. </w:t>
      </w:r>
    </w:p>
    <w:p w14:paraId="72CBE95B" w14:textId="77777777" w:rsidR="000077B5" w:rsidRPr="00477D53" w:rsidRDefault="000077B5" w:rsidP="000077B5">
      <w:pPr>
        <w:spacing w:after="170" w:line="252" w:lineRule="auto"/>
        <w:ind w:left="-15" w:firstLine="189"/>
        <w:jc w:val="both"/>
        <w:rPr>
          <w:rFonts w:eastAsia="Cambria"/>
          <w:color w:val="000000"/>
          <w:szCs w:val="22"/>
        </w:rPr>
      </w:pPr>
      <w:r w:rsidRPr="00477D53">
        <w:rPr>
          <w:rFonts w:eastAsia="Cambria"/>
          <w:color w:val="000000"/>
          <w:szCs w:val="22"/>
        </w:rPr>
        <w:lastRenderedPageBreak/>
        <w:t>While previous work has shown a greater likelihood of entering self-employment as a result of access to health insurance not supplied by an individual’s direct employer, and recent results have raised concerns about the size of this effect in relation to the ACA, this paper hypothesizes that the reduced job lock will be more visible among work arrangements that are less susceptible to selection bias. This means that independent contractors and participants in the online gig economy are more likely to demonstrate a significant reduction in job lock. To aid in this identification and account for the variability in work arrangements across the online gig economy, this paper will use a comparison work in the Taxi and Limousine industry before and after Uber begins operation in a given location and how it relates to aspects of the ACA. Uber remains one of the most recognizable brands within the online gig economy, at one point estimated to be responsible for roughly two-thirds of all gig employment (Harris and Krueger, 2015) and operated in varying geographic areas before and after the introduction of multiple elements of the ACA. As a result, I will use Uber as an indicator firm for the behavior of online gig workers in general.</w:t>
      </w:r>
    </w:p>
    <w:p w14:paraId="208C8E83" w14:textId="77777777" w:rsidR="00EB7D5A" w:rsidRPr="00EB7D5A" w:rsidRDefault="00EB7D5A" w:rsidP="00EB7D5A">
      <w:pPr>
        <w:jc w:val="both"/>
      </w:pPr>
    </w:p>
    <w:p w14:paraId="2E739917" w14:textId="4B440A63" w:rsidR="00EB7D5A" w:rsidRDefault="00EB7D5A" w:rsidP="00EB7D5A">
      <w:pPr>
        <w:pStyle w:val="Heading2"/>
      </w:pPr>
      <w:r>
        <w:t xml:space="preserve">Methodology </w:t>
      </w:r>
    </w:p>
    <w:p w14:paraId="025B60D3" w14:textId="77777777" w:rsidR="000077B5" w:rsidRDefault="000077B5" w:rsidP="000077B5"/>
    <w:p w14:paraId="069E3BCC" w14:textId="77777777" w:rsidR="000077B5" w:rsidRPr="00477D53" w:rsidRDefault="000077B5" w:rsidP="000077B5">
      <w:r>
        <w:t>This analysis is a duplication of the methods used by</w:t>
      </w:r>
      <w:r w:rsidRPr="00477D53">
        <w:t xml:space="preserve"> Leung and Mas (2016) who estimate difference-in-differences specifications of the following form (Using their chosen variables):</w:t>
      </w:r>
    </w:p>
    <w:p w14:paraId="7F68BCFA" w14:textId="77777777" w:rsidR="000077B5" w:rsidRPr="00BE52A9" w:rsidRDefault="000077B5" w:rsidP="000077B5">
      <w:pPr>
        <w:rPr>
          <w:rFonts w:eastAsiaTheme="minorEastAsia"/>
        </w:rPr>
      </w:pPr>
      <m:oMathPara>
        <m:oMathParaPr>
          <m:jc m:val="left"/>
        </m:oMathParaPr>
        <m:oMath>
          <m:d>
            <m:dPr>
              <m:ctrlPr>
                <w:rPr>
                  <w:rFonts w:ascii="Cambria Math" w:hAnsi="Cambria Math"/>
                  <w:i/>
                </w:rPr>
              </m:ctrlPr>
            </m:dPr>
            <m:e>
              <m:r>
                <w:rPr>
                  <w:rFonts w:ascii="Cambria Math" w:hAnsi="Cambria Math"/>
                </w:rPr>
                <m:t>6</m:t>
              </m:r>
            </m:e>
          </m:d>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=βEx</m:t>
          </m:r>
          <m:sSub>
            <m:sSubPr>
              <m:ctrlPr>
                <w:rPr>
                  <w:rFonts w:ascii="Cambria Math" w:hAnsi="Cambria Math"/>
                  <w:i/>
                </w:rPr>
              </m:ctrlPr>
            </m:sSubPr>
            <m:e>
              <m:r>
                <w:rPr>
                  <w:rFonts w:ascii="Cambria Math" w:hAnsi="Cambria Math"/>
                </w:rPr>
                <m:t>p</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st</m:t>
              </m:r>
            </m:sub>
          </m:sSub>
        </m:oMath>
      </m:oMathPara>
    </w:p>
    <w:p w14:paraId="7026B8AC" w14:textId="77777777" w:rsidR="000077B5" w:rsidRPr="00477D53" w:rsidRDefault="000077B5" w:rsidP="000077B5">
      <w:pPr>
        <w:rPr>
          <w:rFonts w:eastAsiaTheme="minorEastAsia"/>
        </w:rPr>
      </w:pPr>
      <w:r>
        <w:rPr>
          <w:rFonts w:eastAsiaTheme="minorEastAsia"/>
        </w:rPr>
        <w:t xml:space="preserve">The data which I could use to perform this analysis are the CPS, ACS, and NES. </w:t>
      </w:r>
      <w:r w:rsidRPr="00477D53">
        <w:rPr>
          <w:rFonts w:eastAsiaTheme="minorEastAsia"/>
        </w:rPr>
        <w:t xml:space="preserve">In this specification </w:t>
      </w:r>
      <m:oMath>
        <m:sSub>
          <m:sSubPr>
            <m:ctrlPr>
              <w:rPr>
                <w:rFonts w:ascii="Cambria Math" w:hAnsi="Cambria Math"/>
                <w:i/>
              </w:rPr>
            </m:ctrlPr>
          </m:sSubPr>
          <m:e>
            <m:r>
              <w:rPr>
                <w:rFonts w:ascii="Cambria Math" w:hAnsi="Cambria Math"/>
              </w:rPr>
              <m:t>α</m:t>
            </m:r>
          </m:e>
          <m:sub>
            <m:r>
              <w:rPr>
                <w:rFonts w:ascii="Cambria Math" w:hAnsi="Cambria Math"/>
              </w:rPr>
              <m:t>s</m:t>
            </m:r>
          </m:sub>
        </m:sSub>
      </m:oMath>
      <w:r w:rsidRPr="00477D53">
        <w:rPr>
          <w:rFonts w:eastAsiaTheme="minorEastAsia"/>
        </w:rPr>
        <w:t xml:space="preserve"> are a set of state fixed effects, </w:t>
      </w:r>
      <m:oMath>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m:t>
        </m:r>
      </m:oMath>
      <w:r w:rsidRPr="00477D53">
        <w:rPr>
          <w:rFonts w:eastAsiaTheme="minorEastAsia"/>
        </w:rPr>
        <w:t xml:space="preserve">are time fixed effects, either yearly in the case of the ACS and NES, or yearly and monthly in the case of the CPS. </w:t>
      </w:r>
      <m:oMath>
        <m:r>
          <w:rPr>
            <w:rFonts w:ascii="Cambria Math" w:hAnsi="Cambria Math"/>
          </w:rPr>
          <m:t>Ex</m:t>
        </m:r>
        <m:sSub>
          <m:sSubPr>
            <m:ctrlPr>
              <w:rPr>
                <w:rFonts w:ascii="Cambria Math" w:hAnsi="Cambria Math"/>
                <w:i/>
              </w:rPr>
            </m:ctrlPr>
          </m:sSubPr>
          <m:e>
            <m:r>
              <w:rPr>
                <w:rFonts w:ascii="Cambria Math" w:hAnsi="Cambria Math"/>
              </w:rPr>
              <m:t>p</m:t>
            </m:r>
          </m:e>
          <m:sub>
            <m:r>
              <w:rPr>
                <w:rFonts w:ascii="Cambria Math" w:hAnsi="Cambria Math"/>
              </w:rPr>
              <m:t>st</m:t>
            </m:r>
          </m:sub>
        </m:sSub>
      </m:oMath>
      <w:r w:rsidRPr="00477D53">
        <w:rPr>
          <w:rFonts w:eastAsiaTheme="minorEastAsia"/>
        </w:rPr>
        <w:t xml:space="preserve"> is a measure of the expansion of Medicaid in state </w:t>
      </w:r>
      <m:oMath>
        <m:r>
          <w:rPr>
            <w:rFonts w:ascii="Cambria Math" w:eastAsiaTheme="minorEastAsia" w:hAnsi="Cambria Math"/>
          </w:rPr>
          <m:t>s</m:t>
        </m:r>
      </m:oMath>
      <w:r w:rsidRPr="00477D53">
        <w:rPr>
          <w:rFonts w:eastAsiaTheme="minorEastAsia"/>
        </w:rPr>
        <w:t xml:space="preserve"> in time </w:t>
      </w:r>
      <m:oMath>
        <m:r>
          <w:rPr>
            <w:rFonts w:ascii="Cambria Math" w:eastAsiaTheme="minorEastAsia" w:hAnsi="Cambria Math"/>
          </w:rPr>
          <m:t>t</m:t>
        </m:r>
      </m:oMath>
      <w:r w:rsidRPr="00477D53">
        <w:rPr>
          <w:rFonts w:eastAsiaTheme="minorEastAsia"/>
        </w:rPr>
        <w:t xml:space="preserve">. </w:t>
      </w:r>
      <m:oMath>
        <m:r>
          <w:rPr>
            <w:rFonts w:ascii="Cambria Math" w:hAnsi="Cambria Math"/>
          </w:rPr>
          <m:t>β</m:t>
        </m:r>
      </m:oMath>
      <w:r w:rsidRPr="00477D53">
        <w:rPr>
          <w:rFonts w:eastAsiaTheme="minorEastAsia"/>
        </w:rPr>
        <w:t xml:space="preserve"> is the coefficient of interest in this case. The dependent variable used in this circumstance will be the predicted probability of self-employment as identified in the ACS and CPS and the count of nonemployer establishm</w:t>
      </w:r>
      <w:proofErr w:type="spellStart"/>
      <w:r w:rsidRPr="00477D53">
        <w:rPr>
          <w:rFonts w:eastAsiaTheme="minorEastAsia"/>
        </w:rPr>
        <w:t>ents</w:t>
      </w:r>
      <w:proofErr w:type="spellEnd"/>
      <w:r w:rsidRPr="00477D53">
        <w:rPr>
          <w:rFonts w:eastAsiaTheme="minorEastAsia"/>
        </w:rPr>
        <w:t xml:space="preserve"> </w:t>
      </w:r>
      <w:proofErr w:type="gramStart"/>
      <w:r w:rsidRPr="00477D53">
        <w:rPr>
          <w:rFonts w:eastAsiaTheme="minorEastAsia"/>
        </w:rPr>
        <w:t>in a given</w:t>
      </w:r>
      <w:proofErr w:type="gramEnd"/>
      <w:r w:rsidRPr="00477D53">
        <w:rPr>
          <w:rFonts w:eastAsiaTheme="minorEastAsia"/>
        </w:rPr>
        <w:t xml:space="preserve"> state as measured by the NES.</w:t>
      </w:r>
    </w:p>
    <w:p w14:paraId="188784C4" w14:textId="77777777" w:rsidR="000077B5" w:rsidRPr="00477D53" w:rsidRDefault="000077B5" w:rsidP="000077B5">
      <w:pPr>
        <w:spacing w:after="170" w:line="252" w:lineRule="auto"/>
        <w:ind w:left="-15" w:firstLine="189"/>
        <w:jc w:val="both"/>
        <w:rPr>
          <w:rFonts w:eastAsia="Cambria"/>
          <w:color w:val="000000"/>
        </w:rPr>
      </w:pPr>
      <w:r w:rsidRPr="00477D53">
        <w:rPr>
          <w:rFonts w:eastAsia="Cambria"/>
          <w:color w:val="000000"/>
        </w:rPr>
        <w:t>I will also expand on this model by traditional prediction methods and machine learning methods to predict whether an individual is working as an independent contractor. I will train these models on the CWS then predict onto the CPS and compare how Medicaid expansion relates to the predicted measure of independent contracting in comparison to self-employment broadly.</w:t>
      </w:r>
    </w:p>
    <w:p w14:paraId="0C4F46CB" w14:textId="77777777" w:rsidR="00EB7D5A" w:rsidRPr="00EB7D5A" w:rsidRDefault="00EB7D5A" w:rsidP="00EB7D5A">
      <w:pPr>
        <w:jc w:val="both"/>
      </w:pPr>
      <w:bookmarkStart w:id="0" w:name="_GoBack"/>
      <w:bookmarkEnd w:id="0"/>
    </w:p>
    <w:p w14:paraId="5E510CAE" w14:textId="585B9084" w:rsidR="00EB7D5A" w:rsidRDefault="00EB7D5A" w:rsidP="00EB7D5A">
      <w:pPr>
        <w:pStyle w:val="Heading2"/>
      </w:pPr>
      <w:r>
        <w:t>Results</w:t>
      </w:r>
    </w:p>
    <w:p w14:paraId="4BC40FB0" w14:textId="77777777" w:rsidR="00EB7D5A" w:rsidRPr="00EB7D5A" w:rsidRDefault="00EB7D5A" w:rsidP="00EB7D5A">
      <w:pPr>
        <w:jc w:val="both"/>
      </w:pPr>
    </w:p>
    <w:p w14:paraId="1EB10B94" w14:textId="3B9AB6D1" w:rsidR="00EB7D5A" w:rsidRDefault="00EB7D5A" w:rsidP="00EB7D5A">
      <w:pPr>
        <w:pStyle w:val="Heading2"/>
      </w:pPr>
      <w:r>
        <w:t>Conclusion</w:t>
      </w:r>
    </w:p>
    <w:p w14:paraId="39644EA3" w14:textId="77777777" w:rsidR="00EB7D5A" w:rsidRPr="00EB7D5A" w:rsidRDefault="00EB7D5A" w:rsidP="00EB7D5A">
      <w:pPr>
        <w:jc w:val="both"/>
      </w:pPr>
    </w:p>
    <w:sectPr w:rsidR="00EB7D5A" w:rsidRPr="00EB7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D5A"/>
    <w:rsid w:val="000077B5"/>
    <w:rsid w:val="003707B5"/>
    <w:rsid w:val="005D1F86"/>
    <w:rsid w:val="00A70F49"/>
    <w:rsid w:val="00B06514"/>
    <w:rsid w:val="00EB7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18C7"/>
  <w15:chartTrackingRefBased/>
  <w15:docId w15:val="{AC0B12E2-B9A4-4A53-9E37-1ACA9B43C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D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7D5A"/>
    <w:pPr>
      <w:keepNext/>
      <w:keepLines/>
      <w:spacing w:before="40" w:after="0"/>
      <w:jc w:val="center"/>
      <w:outlineLvl w:val="1"/>
    </w:pPr>
    <w:rPr>
      <w:rFonts w:asciiTheme="majorHAnsi" w:eastAsiaTheme="majorEastAsia" w:hAnsiTheme="majorHAnsi" w:cstheme="majorBidi"/>
      <w:i/>
      <w:i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B7D5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D5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B7D5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B7D5A"/>
    <w:rPr>
      <w:rFonts w:asciiTheme="majorHAnsi" w:eastAsiaTheme="majorEastAsia" w:hAnsiTheme="majorHAnsi" w:cstheme="majorBidi"/>
      <w:i/>
      <w:i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glasner@uw.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4687</Words>
  <Characters>26718</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Glasner</dc:creator>
  <cp:keywords/>
  <dc:description/>
  <cp:lastModifiedBy>Ben Glasner</cp:lastModifiedBy>
  <cp:revision>2</cp:revision>
  <dcterms:created xsi:type="dcterms:W3CDTF">2020-01-08T19:16:00Z</dcterms:created>
  <dcterms:modified xsi:type="dcterms:W3CDTF">2020-01-08T19:31:00Z</dcterms:modified>
</cp:coreProperties>
</file>