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widowControl w:val="false"/>
        <w:autoSpaceDE w:val="false"/>
        <w:autoSpaceDN w:val="false"/>
        <w:adjustRightInd w:val="false"/>
        <w:spacing w:after="0" w:line="360" w:lineRule="auto"/>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w:t>
      </w:r>
      <w:bookmarkStart w:id="8" w:name="_GoBack"/>
      <w:bookmarkEnd w:id="8"/>
      <w:r>
        <w:rPr>
          <w:rFonts w:ascii="Verdana" w:hAnsi="Verdana" w:eastAsia="Verdana"/>
        </w:rPr>
        <w:t xml:space="preserve">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9" w:name="_Toc411107502"/>
      <w:bookmarkStart w:id="10" w:name="_Toc411108716"/>
      <w:bookmarkStart w:id="11" w:name="_Toc412461488"/>
      <w:bookmarkStart w:id="12" w:name="_Toc412869403"/>
      <w:bookmarkStart w:id="13"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9"/>
      <w:bookmarkEnd w:id="10"/>
      <w:bookmarkEnd w:id="11"/>
      <w:bookmarkEnd w:id="12"/>
      <w:bookmarkEnd w:id="13"/>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4" w:name="_Toc262470065"/>
      <w:r>
        <w:rPr>
          <w:rFonts w:ascii="Verdana" w:hAnsi="Verdana" w:eastAsia="Verdana"/>
          <w:b/>
        </w:rPr>
        <w:t xml:space="preserve">SCREENING FOR EXCLUDED INDIVIDUALS AND ENTITIES</w:t>
      </w:r>
      <w:bookmarkEnd w:id="14"/>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5"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5"/>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6" w:name="_Toc411107503"/>
      <w:bookmarkStart w:id="17" w:name="_Toc411108717"/>
      <w:bookmarkStart w:id="18" w:name="_Toc412461489"/>
      <w:bookmarkStart w:id="19" w:name="_Toc412869404"/>
      <w:bookmarkStart w:id="20" w:name="_Toc262470058"/>
      <w:r>
        <w:rPr>
          <w:rFonts w:ascii="Verdana" w:hAnsi="Verdana" w:eastAsia="Verdana"/>
          <w:b/>
        </w:rPr>
        <w:t xml:space="preserve">PROCEDURES, DIRECTIVES, POLICIES, AND GUIDANCE</w:t>
      </w:r>
      <w:bookmarkEnd w:id="16"/>
      <w:bookmarkEnd w:id="17"/>
      <w:bookmarkEnd w:id="18"/>
      <w:bookmarkEnd w:id="19"/>
      <w:bookmarkEnd w:id="20"/>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sz w:val="24"/>
          <w:szCs w:val="24"/>
        </w:rPr>
        <w:t xml:space="preserve">)</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pStyle w:val="ListParagraph"/>
        <w:tabs>
          <w:tab w:val="left" w:pos="900"/>
        </w:tabs>
        <w:spacing w:after="0" w:line="240" w:lineRule="auto"/>
        <w:ind w:left="2448"/>
        <w:jc w:val="both"/>
        <w:rPr>
          <w:rFonts w:ascii="Verdana" w:hAnsi="Verdana" w:eastAsia="Verdana"/>
          <w:color w:val="FF0000"/>
          <w:sz w:val="24"/>
          <w:szCs w:val="24"/>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b/>
          <w:bCs/>
          <w:smallCaps/>
          <w:sz w:val="28"/>
          <w:szCs w:val="24"/>
        </w:rPr>
        <w:t xml:space="preserve"> </w:t>
      </w: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5" w:lineRule="auto"/>
        <w:ind w:left="10"/>
        <w:rPr>
          <w:rFonts w:ascii="Verdana" w:hAnsi="Verdana" w:eastAsia="Verdana"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43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233"/>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233"/>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233"/>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233"/>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233"/>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233"/>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52"/>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368"/>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(800) 610-2544.</w:t>
      </w:r>
    </w:p>
    <w:p>
      <w:pPr>
        <w:widowControl w:val="false"/>
        <w:numPr>
          <w:ilvl w:val="1"/>
          <w:numId w:val="36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368"/>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14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33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33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33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337"/>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337"/>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337"/>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337"/>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337"/>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33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33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33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57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0"/>
          <w:numId w:val="32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32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597"/>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59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5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597"/>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597"/>
        </w:numPr>
        <w:autoSpaceDE w:val="false"/>
        <w:autoSpaceDN w:val="false"/>
        <w:adjustRightInd w:val="false"/>
        <w:spacing w:after="0" w:line="240" w:lineRule="auto"/>
        <w:jc w:val="left"/>
        <w:rPr>
          <w:rFonts w:ascii="Verdana" w:hAnsi="Verdana" w:eastAsia="Verdana" w:cs="Times New Roman"/>
          <w:szCs w:val="24"/>
        </w:rPr>
      </w:pPr>
      <w:r>
        <w:rPr>
          <w:rFonts w:ascii="Verdana" w:hAnsi="Verdana" w:eastAsia="Verdana" w:cs="Verdana"/>
          <w:szCs w:val="24"/>
        </w:rPr>
        <w:t xml:space="preserve">Federal False Statements Statute – 42 U.S.C. § 1320a-7b(a)</w:t>
      </w:r>
    </w:p>
    <w:p>
      <w:pPr>
        <w:widowControl w:val="false"/>
        <w:numPr>
          <w:ilvl w:val="1"/>
          <w:numId w:val="59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59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59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597"/>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20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20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20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4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208"/>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208"/>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widowControl w:val="false"/>
        <w:numPr>
          <w:ilvl w:val="0"/>
          <w:numId w:val="545"/>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Fraud Statute – 18 U.S.C. § 1347</w:t>
      </w:r>
    </w:p>
    <w:p>
      <w:pPr>
        <w:widowControl w:val="false"/>
        <w:numPr>
          <w:ilvl w:val="1"/>
          <w:numId w:val="545"/>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545"/>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545"/>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545"/>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5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5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5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77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Federal Criminal False Claims Act – 18 U.S.C.A. §§ 286-287</w:t>
      </w:r>
    </w:p>
    <w:p>
      <w:pPr>
        <w:widowControl w:val="false"/>
        <w:numPr>
          <w:ilvl w:val="1"/>
          <w:numId w:val="77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77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111"/>
        </w:numPr>
        <w:overflowPunct w:val="false"/>
        <w:autoSpaceDE w:val="false"/>
        <w:autoSpaceDN w:val="false"/>
        <w:adjustRightInd w:val="false"/>
        <w:spacing w:after="0" w:line="263" w:lineRule="auto"/>
        <w:jc w:val="left"/>
        <w:rPr>
          <w:rFonts w:ascii="Verdana" w:hAnsi="Verdana" w:eastAsia="Verdana"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111"/>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111"/>
        </w:numPr>
        <w:tabs>
          <w:tab w:val="clear" w:pos="72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1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80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801"/>
        </w:numPr>
        <w:overflowPunct w:val="false"/>
        <w:autoSpaceDE w:val="false"/>
        <w:autoSpaceDN w:val="false"/>
        <w:adjustRightInd w:val="false"/>
        <w:spacing w:after="0" w:line="263"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801"/>
        </w:numPr>
        <w:overflowPunct w:val="false"/>
        <w:autoSpaceDE w:val="false"/>
        <w:autoSpaceDN w:val="false"/>
        <w:adjustRightInd w:val="false"/>
        <w:spacing w:after="0" w:line="245"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80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801"/>
        </w:numPr>
        <w:tabs>
          <w:tab w:val="clear" w:pos="1584"/>
        </w:tabs>
        <w:overflowPunct w:val="false"/>
        <w:autoSpaceDE w:val="false"/>
        <w:autoSpaceDN w:val="false"/>
        <w:adjustRightInd w:val="false"/>
        <w:spacing w:after="0" w:line="250"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801"/>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30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30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30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30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32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32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32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321"/>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321"/>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321"/>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321"/>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321"/>
        </w:numPr>
        <w:overflowPunct w:val="false"/>
        <w:autoSpaceDE w:val="false"/>
        <w:autoSpaceDN w:val="false"/>
        <w:adjustRightInd w:val="false"/>
        <w:spacing w:after="0" w:line="250"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Georgia False Medicaid Claims Act (Ga. Code. Ann. §§ 49-4-168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Georgia False Medicaid Claims Act (the “GA FCA”) prohibits, among other things, knowingly presenting, making, or using (or causing to be presented, made or used) a false or fraudulent claim, record, or statement to the Georgia Medicaid program for payment or approval. In addition, the GA FCA prohibits conspiring to make or receive payments or benefits by filing a false claim, record, or statement.</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Penalty for Unlawful Conduct</w:t>
      </w:r>
    </w:p>
    <w:p>
      <w:pPr>
        <w:pStyle w:val="ListParagraph"/>
        <w:widowControl w:val="false"/>
        <w:numPr>
          <w:ilvl w:val="2"/>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civil penalty for violating the GA FCA is consistent with the civil penalties provision of the federal False Claims Act (see above Section II) for each violation. In addition to the penalty, a provider could be found liable for up to three times the amount of damages, including consequential damages that the Georgia Medicaid program sustains because of such violations. The provider also may be liable for the expenses associated for bringing the action, including attorney’s fees.</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Qui Tam Provisions</w:t>
      </w:r>
    </w:p>
    <w:p>
      <w:pPr>
        <w:pStyle w:val="ListParagraph"/>
        <w:widowControl w:val="false"/>
        <w:numPr>
          <w:ilvl w:val="2"/>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GA FCA also allows individuals to bring a civil action, called a qui tam action, against a provider in the name of the State for a violation of the GA FCA. When a plaintiff files the action, it remains under seal (not public) for at least 60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w:t>
      </w:r>
    </w:p>
    <w:p>
      <w:pPr>
        <w:pStyle w:val="ListParagraph"/>
        <w:widowControl w:val="false"/>
        <w:numPr>
          <w:ilvl w:val="2"/>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In the event the Attorney General proceeds with the lawsuit, the plaintiff may receive 15%-25% of the proceeds of the action or settlement. If the case is primarily based on disclosures other than those made by the plaintiff, the plaintiff’s award may be reduced to less than 10% of the recovery. If the plaintiff proceeds in the action without the Attorney General, the plaintiff may receive 25%-30% of the recovery. In either case, the plaintiff may also receive an amount for reasonable expenses, including attorney’s fees and costs.</w:t>
      </w:r>
    </w:p>
    <w:p>
      <w:pPr>
        <w:pStyle w:val="ListParagraph"/>
        <w:widowControl w:val="false"/>
        <w:numPr>
          <w:ilvl w:val="2"/>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If the plaintiff planned or initiated the violation, the plaintiff’s share of the proceeds may be reduced. If the plaintiff is found guilty of a crime associated with the violation, no share of the recovery will be awarded the plaintiff. If the Attorney General does not proceed with the lawsuit and the court found that the action was clearly frivolous, vexatious, or brought for the sole purpose of harassment, the defendant is entitled to the reasonable costs and attorney’s fees.</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Whistleblower Protection</w:t>
      </w:r>
    </w:p>
    <w:p>
      <w:pPr>
        <w:pStyle w:val="ListParagraph"/>
        <w:widowControl w:val="false"/>
        <w:numPr>
          <w:ilvl w:val="2"/>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GA FCA prohibits employers from retaliating against employees, contractors, or agents. Any employee, contractor, or agent who is discharged, demoted, suspended, threatened, harassed or discriminated against because of lawful acts conducted in furtherance of an action under the law may bring an action seeking two times their back pay plus interest; reinstatement at the seniority level he or she would have had except for the discrimination; compensation for any special damages sustained because of the discrimination; and costs and attorney’s fees for the bringing the action.</w:t>
      </w:r>
    </w:p>
    <w:p>
      <w:pPr>
        <w:pStyle w:val="ListParagraph"/>
        <w:widowControl w:val="false"/>
        <w:numPr>
          <w:ilvl w:val="0"/>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Georgia Criminal Code (Ga. Code. Ann. § 16-10-20)</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It is unlawful for a person to knowingly and willfully falsify, conceal, or cover up by any trick, scheme, or device a material fact; make a false, fictitious, or fraudulent statement or representation; or make or use any false writing or document, knowing the same to contain any false, fictitious, or fraudulent statement or entry, in any matter within the jurisdiction of any department or agency of the Georgia government or of the government of any county, city, or other political subdivision of Georgia. Conviction of such an offense is punishable by a fine of not more than $1,000.00 or by imprisonment for not less than one nor more than five years, or both.</w:t>
      </w:r>
    </w:p>
    <w:p>
      <w:pPr>
        <w:pStyle w:val="ListParagraph"/>
        <w:widowControl w:val="false"/>
        <w:numPr>
          <w:ilvl w:val="0"/>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Georgia Taxpayer Protection False Claims Act (the “GTPFCA”) O.C.G.A. § 23-3-120</w:t>
      </w:r>
      <w:r>
        <w:rPr>
          <w:rFonts w:ascii="Verdana" w:hAnsi="Verdana" w:eastAsia="Verdana" w:cs="Verdana"/>
          <w:i/>
          <w:iCs/>
          <w:sz w:val="24"/>
          <w:szCs w:val="24"/>
        </w:rPr>
        <w:t xml:space="preserve"> et seq.</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 GTPFCA broadened liability for state false claims in order to reach non-Medicaid claims involving the money or property of the State or local governments. The GTPFCA grants sweeping governmental authority to recover damages and penalties from private sector contractors and subcontractors who present erroneous claims to government entities. Violations of the GTPFCA can result in a civil penalty of not less than five thousand five hundred dollars ($5,500) and not more than eleven thousand dollars ($11,000) per false claim, plus up to three times the amount of damages sustained by the Georgia Medicaid program or the State or local government.</w:t>
      </w:r>
    </w:p>
    <w:p>
      <w:pPr>
        <w:pStyle w:val="ListParagraph"/>
        <w:widowControl w:val="false"/>
        <w:numPr>
          <w:ilvl w:val="0"/>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Theft by Deception O.C.G.A. § 16-8-3. </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pPr>
      <w:r>
        <w:rPr>
          <w:rFonts w:ascii="Verdana" w:hAnsi="Verdana" w:eastAsia="Verdana" w:cs="Verdana"/>
          <w:sz w:val="24"/>
          <w:szCs w:val="24"/>
        </w:rPr>
        <w:t xml:space="preserve">Georgia also imposes the threat of criminal liability to every person who obtains property by any deceitful means or artful practice with the intention of depriving the owner of the property. </w:t>
      </w:r>
    </w:p>
    <w:p>
      <w:pPr>
        <w:pStyle w:val="ListParagraph"/>
        <w:widowControl w:val="false"/>
        <w:numPr>
          <w:ilvl w:val="1"/>
          <w:numId w:val="111"/>
        </w:numPr>
        <w:overflowPunct w:val="false"/>
        <w:autoSpaceDE w:val="false"/>
        <w:autoSpaceDN w:val="false"/>
        <w:adjustRightInd w:val="false"/>
        <w:spacing w:after="0" w:line="250" w:lineRule="auto"/>
        <w:jc w:val="both"/>
        <w:rPr>
          <w:rFonts w:ascii="Verdana" w:hAnsi="Verdana" w:eastAsia="Verdana" w:cs="Verdana"/>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 w:val="24"/>
          <w:szCs w:val="24"/>
        </w:rPr>
        <w:t xml:space="preserve">A person deceives intentionally if that person (a) creates or confirms another’s impression of an existing fact or past event which is false and which the accused knows or believes to be false; (b) fails to correct a false impression of an existing fact or past event which he has previously created or confirmed; or (c) prevents another from acquiring information pertinent to the disposition of the property involved.</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Pr>
          <w:rFonts w:ascii="Verdana" w:hAnsi="Verdana" w:eastAsia="Verdana" w:cs="Verdana"/>
          <w:szCs w:val="24"/>
        </w:rPr>
        <w:t xml:space="preserve">,</w:t>
      </w:r>
      <w:r>
        <w:rPr>
          <w:rFonts w:ascii="Verdana" w:hAnsi="Verdana" w:eastAsia="Verdana" w:cs="Verdana"/>
          <w:szCs w:val="24"/>
        </w:rPr>
        <w:t xml:space="preserve"> </w:t>
      </w:r>
      <w:r>
        <w:rPr>
          <w:rFonts w:ascii="Verdana" w:hAnsi="Verdana" w:eastAsia="Verdana" w:cs="Verdana"/>
          <w:szCs w:val="24"/>
        </w:rPr>
        <w:t xml:space="preserve">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misrepresentation of the resident’s status, the submission of false claims and potential enforcement actions.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w:t>
      </w:r>
      <w:r>
        <w:rPr>
          <w:rFonts w:ascii="Verdana" w:hAnsi="Verdana" w:eastAsia="Verdana" w:cs="Verdana"/>
          <w:color w:val="FF0000"/>
          <w:szCs w:val="24"/>
        </w:rPr>
        <w:t xml:space="preserve"> </w:t>
      </w:r>
      <w:r>
        <w:rPr>
          <w:rFonts w:ascii="Verdana" w:hAnsi="Verdana" w:eastAsia="Verdana" w:cs="Verdana"/>
          <w:szCs w:val="24"/>
        </w:rPr>
        <w:t xml:space="preserve">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Georgia</w:t>
      </w:r>
      <w:r>
        <w:rPr>
          <w:rFonts w:ascii="Verdana" w:hAnsi="Verdana" w:eastAsia="Verdana" w:cs="Times New Roman"/>
          <w:lang w:bidi="ar-SA"/>
        </w:rPr>
        <w:t xml:space="preserve"> Medicaid Exclusions List available at </w:t>
      </w:r>
      <w:r>
        <w:rPr/>
        <w:fldChar w:fldCharType="begin"/>
      </w:r>
      <w:r>
        <w:rPr/>
        <w:instrText xml:space="preserve">HYPERLINK "https://dch.georgia.gov/georgia-oig-exclusions-list" </w:instrText>
      </w:r>
      <w:r>
        <w:rPr/>
        <w:fldChar w:fldCharType="separate"/>
      </w:r>
      <w:r>
        <w:rPr>
          <w:rStyle w:val="Hyperlink"/>
          <w:rFonts w:ascii="Verdana" w:hAnsi="Verdana" w:eastAsia="Verdana"/>
          <w:lang w:bidi="ar-SA"/>
        </w:rPr>
        <w:t xml:space="preserve">https://dch.georgia.gov/georgia-oig-exclusions-list</w:t>
      </w:r>
      <w:r>
        <w:rPr/>
        <w:fldChar w:fldCharType="end"/>
      </w:r>
      <w:r>
        <w:rPr>
          <w:rFonts w:ascii="Verdana" w:hAnsi="Verdana" w:eastAsia="Verdana" w:cs="Times New Roman"/>
          <w:color w:val="FF0000"/>
          <w:lang w:bidi="ar-SA"/>
        </w:rPr>
        <w:t xml:space="preserv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Prior to hiring an employment applicant, the Facility shall request a criminal record check from GCIC to determine whether the applicant has a criminal record.  </w:t>
      </w:r>
    </w:p>
    <w:p>
      <w:pPr>
        <w:numPr>
          <w:ilvl w:val="3"/>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 shall make a written determination for each applicant for whom a criminal record check is performed.  </w:t>
      </w:r>
    </w:p>
    <w:p>
      <w:pPr>
        <w:numPr>
          <w:ilvl w:val="3"/>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 shall not employ a person with an unsatisfactory determination. </w:t>
      </w:r>
    </w:p>
    <w:p>
      <w:pPr>
        <w:numPr>
          <w:ilvl w:val="3"/>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Requests for criminal record checks may be submitted to any county sheriff or municipal law enforcement agency having access to GCIC information.</w:t>
      </w:r>
    </w:p>
    <w:p>
      <w:pPr>
        <w:numPr>
          <w:ilvl w:val="3"/>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applications provided by the Facility shall conspicuously state the following: “FOR THIS TYPE OF EMPLOYMENT, STATE LAW REQUIRES A CRIMINAL RECORD CHECK AS A CONDITION OF EMPLOYMENT”.</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Georgia</w:t>
      </w:r>
      <w:r>
        <w:rPr>
          <w:rFonts w:ascii="Verdana" w:hAnsi="Verdana" w:eastAsia="Verdana" w:cs="Times New Roman"/>
          <w:lang w:bidi="ar-SA"/>
        </w:rPr>
        <w:t xml:space="preserve"> Medicaid Exclusions List available at </w:t>
      </w:r>
      <w:r>
        <w:rPr/>
        <w:fldChar w:fldCharType="begin"/>
      </w:r>
      <w:r>
        <w:rPr/>
        <w:instrText xml:space="preserve">HYPERLINK "https://dch.georgia.gov/georgia-oig-exclusions-list" </w:instrText>
      </w:r>
      <w:r>
        <w:rPr/>
        <w:fldChar w:fldCharType="separate"/>
      </w:r>
      <w:r>
        <w:rPr>
          <w:rStyle w:val="Hyperlink"/>
          <w:rFonts w:ascii="Verdana" w:hAnsi="Verdana" w:eastAsia="Verdana"/>
          <w:lang w:bidi="ar-SA"/>
        </w:rPr>
        <w:t xml:space="preserve">https://dch.georgia.gov/georgia-oig-exclusions-list</w:t>
      </w:r>
      <w:r>
        <w:rPr/>
        <w:fldChar w:fldCharType="end"/>
      </w:r>
      <w:r>
        <w:rPr>
          <w:rFonts w:ascii="Verdana" w:hAnsi="Verdana" w:eastAsia="Verdana" w:cs="Times New Roman"/>
          <w:color w:val="FF0000"/>
          <w:lang w:bidi="ar-SA"/>
        </w:rPr>
        <w:t xml:space="preserve">  </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State of </w:t>
      </w:r>
      <w:r>
        <w:rPr>
          <w:rFonts w:ascii="Verdana" w:hAnsi="Verdana" w:eastAsia="Verdana" w:cs="Times New Roman"/>
          <w:b/>
          <w:lang w:bidi="ar-SA"/>
        </w:rPr>
        <w:t xml:space="preserve">Georgia</w:t>
      </w:r>
      <w:r>
        <w:rPr>
          <w:rFonts w:ascii="Verdana" w:hAnsi="Verdana" w:eastAsia="Verdana" w:cs="Times New Roman"/>
          <w:lang w:bidi="ar-SA"/>
        </w:rPr>
        <w:t xml:space="preserve"> Medicaid Exclusions List available at </w:t>
      </w:r>
      <w:r>
        <w:rPr/>
        <w:fldChar w:fldCharType="begin"/>
      </w:r>
      <w:r>
        <w:rPr/>
        <w:instrText xml:space="preserve">HYPERLINK "https://dch.georgia.gov/georgia-oig-exclusions-list" </w:instrText>
      </w:r>
      <w:r>
        <w:rPr/>
        <w:fldChar w:fldCharType="separate"/>
      </w:r>
      <w:r>
        <w:rPr>
          <w:rStyle w:val="Hyperlink"/>
          <w:rFonts w:ascii="Verdana" w:hAnsi="Verdana" w:eastAsia="Verdana"/>
          <w:lang w:bidi="ar-SA"/>
        </w:rPr>
        <w:t xml:space="preserve">https://dch.georgia.gov/georgia-oig-exclusions-list</w:t>
      </w:r>
      <w:r>
        <w:rPr/>
        <w:fldChar w:fldCharType="end"/>
      </w:r>
      <w:r>
        <w:rPr>
          <w:rFonts w:ascii="Verdana" w:hAnsi="Verdana" w:eastAsia="Verdana" w:cs="Times New Roman"/>
          <w:color w:val="FF0000"/>
          <w:lang w:bidi="ar-SA"/>
        </w:rPr>
        <w:t xml:space="preserve"> </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 </w:t>
      </w: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 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 will immediately report the finding to the Department of Community Health, Provider Enrollment Section and the Facility’s </w:t>
      </w:r>
      <w:r>
        <w:rPr>
          <w:rFonts w:ascii="Verdana" w:hAnsi="Verdana" w:eastAsia="Verdana" w:cs="Times New Roman"/>
          <w:lang w:bidi="ar-SA"/>
        </w:rPr>
        <w:t xml:space="preserve">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1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6"/>
        </w:numPr>
        <w:tabs>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6"/>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6"/>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5"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5"/>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540"/>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0"/>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 charge of up to $20 may be collected for search, retrieval, and other direct administrative costs related to providing copies of medical records.  A fee for certifying the medical records may also be charged not to exceed $7.50 for each record certified. The actual cost of postage incurred in mailing the requested records may also be charged. In addition, copying costs for a record which is in paper form shall not exceed $0.75 per page for the first 20 pages; $0.65 per page for pages 21 through 100; and $0.50 for each page copied in excess of 100 pages. Facilities may also recover the full reasonable cost of reproductions of records in non-paper form, such as radiology films. Payment may be required by the facility prior to the records being furnished.  These fees and restrictions shall not apply to records requested in order to make or complete an application for a disability benefits program.</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6" w:name="c_1_i"/>
      <w:bookmarkEnd w:id="3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7" w:name="c_1_i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8" w:name="c_1_i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39" w:name="c_1_iv"/>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0" w:name="c_1_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1" w:name="c_1_vi"/>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2" w:name="i"/>
      <w:bookmarkEnd w:id="42"/>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3" w:name="i_2_vi_B"/>
      <w:bookmarkStart w:id="44" w:name="i_2_ii"/>
      <w:bookmarkEnd w:id="43"/>
      <w:bookmarkEnd w:id="44"/>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5" w:name="i_2_iii"/>
      <w:bookmarkEnd w:id="45"/>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6" w:name="b_2_i"/>
      <w:bookmarkEnd w:id="46"/>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For Use and Disclosure of Protected Health Information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the Facility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the 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 (e.g. life insurance request, social media, legal request) 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Date______________</w:t>
      </w:r>
      <w:r>
        <w:rPr>
          <w:rFonts w:ascii="Verdana" w:hAnsi="Verdana" w:eastAsia="Verdana"/>
          <w:sz w:val="20"/>
          <w:szCs w:val="20"/>
        </w:rPr>
        <w:tab/>
        <w:t xml:space="preserve"/>
      </w:r>
      <w:r>
        <w:rPr>
          <w:rFonts w:ascii="Verdana" w:hAnsi="Verdana" w:eastAsia="Verdana"/>
          <w:sz w:val="20"/>
          <w:szCs w:val="20"/>
        </w:rPr>
        <w:t xml:space="preserve">__ Expiration Event________________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the Facility’s Policies and Procedures, I have the right to revoke this authorization, in writing, at any time, except to the extent that the Facility has acted in reliance upon it, by sending written notification to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sz w:val="20"/>
          <w:szCs w:val="20"/>
        </w:rPr>
      </w:pPr>
      <w:r>
        <w:rPr>
          <w:rFonts w:ascii="Verdana" w:hAnsi="Verdana" w:eastAsia="Verdana" w:cs="Lucida Sans Unicode"/>
          <w:sz w:val="20"/>
          <w:szCs w:val="20"/>
        </w:rPr>
        <w:t xml:space="preserve">____________________________</w:t>
      </w:r>
      <w:r>
        <w:rPr>
          <w:rFonts w:ascii="Verdana" w:hAnsi="Verdana" w:eastAsia="Verdana" w:cs="Lucida Sans Unicode"/>
          <w:sz w:val="20"/>
          <w:szCs w:val="20"/>
        </w:rPr>
        <w:tab/>
        <w:t xml:space="preserve"/>
      </w:r>
      <w:r>
        <w:rPr>
          <w:rFonts w:ascii="Verdana" w:hAnsi="Verdana" w:eastAsia="Verdana" w:cs="Lucida Sans Unicode"/>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of 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w:t>
      </w:r>
      <w:r>
        <w:rPr>
          <w:rFonts w:ascii="Verdana" w:hAnsi="Verdana" w:eastAsia="Verdana" w:cs="ArialMTPro"/>
          <w:szCs w:val="24"/>
        </w:rPr>
        <w:t xml:space="preserve">ten</w:t>
      </w:r>
      <w:r>
        <w:rPr>
          <w:rFonts w:ascii="Verdana" w:hAnsi="Verdana" w:eastAsia="Verdana" w:cs="ArialMTPro"/>
          <w:szCs w:val="24"/>
        </w:rPr>
        <w:t xml:space="preserve"> (</w:t>
      </w:r>
      <w:r>
        <w:rPr>
          <w:rFonts w:ascii="Verdana" w:hAnsi="Verdana" w:eastAsia="Verdana" w:cs="ArialMTPro"/>
          <w:szCs w:val="24"/>
        </w:rPr>
        <w:t xml:space="preserve">10</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If the person filing the grievance is not satisfied by the action taken by the Compliance and Ethics Officer or a designated Associate, the complainant shall submit an oral or written complaint to the state or community ombudsman, pursuant to applicable state regulations.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If the ombudsman does not resolve the grievance to the complainant’s satisfaction within ten days, the complainant may submit the grievance to an impartial referee, jointly chosen by the Compliance and Ethics Officer or a designated Associate and the complainant, who will conduct a hearing.</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referee’s hearing shall be held at the facility within 14 days after submission of the grievance to him, at a time convenient to the referee, the complainant, and the Compliance and Ethics Officer or designated Associate. The complainant and the Compliance and Ethics Officer or a designated Associate may review relevant records and documents, present evidence, call witnesses, cross-examine witnesses, make oral arguments, and be represented by any person of their choice. The referee may ask questions of any person, review relevant records and documents, call witnesses, and receive other evidence as appropriate. The referee shall keep a record of the proceedings, which record may be a sound recording. Within 72 hours after the grievance review, the referee shall render a decision and shall give to the complainant and to the administrator of the Facility a written statement of the decision and reasons therefor, which statement shall also describe the appeal rights set forth in Georgia Code Section 31-8-125. Such decision shall be binding on the parties unless reversed upon appeal.</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w:t>
      </w:r>
      <w:r>
        <w:rPr>
          <w:rFonts w:ascii="Verdana" w:hAnsi="Verdana" w:eastAsia="Verdana"/>
          <w:sz w:val="24"/>
          <w:szCs w:val="24"/>
        </w:rPr>
        <w:t xml:space="preserve">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If the person filing the grievance is not satisfied by the action taken by the Compliance and Ethics Officer or a designated Associate, the complainant shall submit an oral or written complaint to the state or community ombudsman, pursuant to applicable state regulations.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If the ombudsman does not resolve the grievance to the complainant’s satisfaction within ten days, the complainant may submit the grievance to an impartial referee, jointly chosen by the Compliance and Ethics Officer or a designated Associate and the complainant, who will conduct a hearing.</w:t>
      </w:r>
    </w:p>
    <w:p>
      <w:pPr>
        <w:pStyle w:val="ListParagraph"/>
        <w:numPr>
          <w:ilvl w:val="0"/>
          <w:numId w:val="379"/>
        </w:numPr>
        <w:spacing/>
        <w:contextualSpacing/>
        <w:jc w:val="both"/>
        <w:rPr>
          <w:rFonts w:ascii="Verdana" w:hAnsi="Verdana" w:eastAsia="Verdana"/>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referee’s hearing shall be held at the facility within 14 days after submission of the grievance to him, at a time convenient to the referee, the complainant, and the Compliance and Ethics Officer or designated Associate. The complainant and the Compliance and Ethics Officer or a designated Associate may review relevant records and documents, present evidence, call witnesses, cross-examine witnesses, make oral arguments, and be represented by any person of their choice. The referee may ask questions of any person, review relevant records and documents, call witnesses, and receive other evidence as appropriate. The referee shall keep a record of the proceedings, which record may be a sound recording. Within 72 hours after the grievance review, the referee shall render a decision and shall give to the complainant and to the administrator of the Facility a written statement of the decision and reasons therefor, which statement shall also describe the appeal rights set forth in Georgia Code Section 31-8-125. Such decision shall be binding on the parties unless reversed upon appeal.</w:t>
      </w: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 </w:t>
      </w:r>
      <w:r>
        <w:rPr>
          <w:rFonts w:ascii="Verdana" w:hAnsi="Verdana" w:eastAsia="Verdana"/>
        </w:rPr>
        <w:t xml:space="preserve">$50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w:t>
      </w:r>
      <w:r>
        <w:rPr>
          <w:rFonts w:ascii="Verdana" w:hAnsi="Verdana" w:eastAsia="Verdana"/>
        </w:rPr>
        <w:t xml:space="preserve"> </w:t>
      </w:r>
      <w:r>
        <w:rPr>
          <w:rFonts w:ascii="Verdana" w:hAnsi="Verdana" w:eastAsia="Verdana"/>
        </w:rPr>
        <w:t xml:space="preserve">$50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0"/>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public spaces and may not include bedrooms.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2"/>
          <w:numId w:val="831"/>
        </w:numPr>
        <w:spacing/>
        <w:contextualSpacing/>
        <w:jc w:val="both"/>
        <w:rPr>
          <w:rFonts w:ascii="Verdana" w:hAnsi="Verdana" w:eastAsia="Verdana"/>
          <w:sz w:val="24"/>
          <w:szCs w:val="24"/>
        </w:rPr>
      </w:pPr>
      <w:bookmarkStart w:id="47" w:name="_Hlk531078076"/>
      <w:r>
        <w:rPr>
          <w:rFonts w:ascii="Verdana" w:hAnsi="Verdana" w:eastAsia="Verdana"/>
          <w:color w:val="FF0000"/>
          <w:sz w:val="24"/>
          <w:szCs w:val="24"/>
        </w:rPr>
        <w:t xml:space="preserve"> </w:t>
      </w:r>
      <w:r>
        <w:rPr>
          <w:rFonts w:ascii="Verdana" w:hAnsi="Verdana" w:eastAsia="Verdana"/>
          <w:sz w:val="24"/>
          <w:szCs w:val="24"/>
        </w:rPr>
        <w:t xml:space="preserve">“No Smoking” signs or the international “No Smoking” symbol consisting of a pictorial representation of a burning cigarette enclosed in a red circle with a red bar across it may be clearly and conspicuously posted by the Facility where smoking is prohibited. Smoking is prohibited in any place in which these signs are posted.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Ashtrays shall be removed from any area where smoking is prohibited, unless such ashtray is permanently affixed to an existing structure.</w:t>
      </w:r>
      <w:bookmarkEnd w:id="47"/>
    </w:p>
    <w:p>
      <w:pPr>
        <w:pStyle w:val="ListParagraph"/>
        <w:numPr>
          <w:ilvl w:val="0"/>
          <w:numId w:val="831"/>
        </w:numPr>
        <w:spacing/>
        <w:contextualSpacing/>
        <w:jc w:val="both"/>
        <w:rPr>
          <w:rFonts w:ascii="Verdana" w:hAnsi="Verdana" w:eastAsia="Verdana"/>
          <w:color w:val="FF0000"/>
          <w:sz w:val="24"/>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w:t>
      </w:r>
      <w:r>
        <w:rPr>
          <w:rFonts w:ascii="Verdana" w:hAnsi="Verdana" w:eastAsia="Verdana"/>
          <w:sz w:val="24"/>
          <w:szCs w:val="24"/>
        </w:rPr>
        <w:t xml:space="preserve">rightsincluding</w:t>
      </w:r>
      <w:r>
        <w:rPr>
          <w:rFonts w:ascii="Verdana" w:hAnsi="Verdana" w:eastAsia="Verdana"/>
          <w:sz w:val="24"/>
          <w:szCs w:val="24"/>
        </w:rPr>
        <w:t xml:space="preserve">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2" w:name="Bookmark__f_4_vi_c"/>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4"/>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w:t>
      </w:r>
      <w:r>
        <w:rPr>
          <w:rFonts w:ascii="Verdana" w:hAnsi="Verdana" w:eastAsia="Verdana"/>
          <w:sz w:val="24"/>
          <w:szCs w:val="24"/>
        </w:rPr>
        <w:t xml:space="preserve">. Any changes to or termination of the advance directive shall also be documented in the medical record. It is the responsibility of the resident or the resident’s representative to notify the Facility of the existence of the advance directive.</w:t>
      </w:r>
    </w:p>
    <w:bookmarkEnd w:id="254"/>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w:t>
      </w:r>
      <w:r>
        <w:rPr>
          <w:rFonts w:ascii="Verdana" w:hAnsi="Verdana" w:eastAsia="Verdana"/>
          <w:sz w:val="24"/>
          <w:szCs w:val="24"/>
        </w:rPr>
        <w:t xml:space="preserve">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A health care decision made by the resident’s representative in accordance with the terms of an advance directive shall be complied with by every health care provider to whom the decision is communicated, subject to the health care provider's right to administer treatment for the declarant's comfort or alleviation of pain; provided, however, that if the health care provider is unwilling to comply with the health care agent's decision, the health care provider shall promptly inform the health care agent who shall then be responsible for arranging for the declarant's transfer to another health care provider. A health care provider who is unwilling to comply with the health care agent's decision shall provide reasonably necessary consultation and care in connection with the pending transfer.</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RESIDENT AND FAMILY GROUPS/COUNCILS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will ensure that residents are able to form, join, and administer a resident or family group/council (“group/council”). </w:t>
      </w:r>
      <w:r>
        <w:rPr>
          <w:rFonts w:ascii="Verdana" w:hAnsi="Verdana" w:eastAsia="Verdana"/>
          <w:color w:val="000000"/>
        </w:rPr>
        <w:t xml:space="preserve">The group/council will promote the preservation of every resident’s right to a dignified existence, self-determination, and communication inside and outside the Facility, while</w:t>
      </w:r>
      <w:r>
        <w:rPr>
          <w:rFonts w:ascii="Verdana" w:hAnsi="Verdana" w:eastAsia="Verdana" w:cs="Calibri"/>
          <w:szCs w:val="24"/>
        </w:rPr>
        <w:t xml:space="preserve"> living in the 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856"/>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856"/>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856"/>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856"/>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liaison is responsible for ensuring that all written submissions from the group/council, including recommendations and grievances, receive a formal response. Views, grievances or recommendations made by the group/council will be considered, addressed, and acted upon</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856"/>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Attachment A (Resident and Family Groups/Councils Information Page) to document the Facility’s resident or family groups/councils.</w:t>
      </w: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Resident and Family Groups/Councils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group/council:</w:t>
      </w:r>
    </w:p>
    <w:p>
      <w:pPr>
        <w:spacing w:after="0"/>
        <w:rPr>
          <w:rFonts w:ascii="Century Schoolbook" w:hAnsi="Century Schoolbook" w:eastAsia="Century Schoolbook"/>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 members: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 liaison: _________________________________________________</w:t>
      </w:r>
    </w:p>
    <w:p>
      <w:pPr>
        <w:spacing/>
        <w:rPr>
          <w:rFonts w:ascii="Verdana" w:hAnsi="Verdana" w:eastAsia="Verdana"/>
          <w:sz w:val="22"/>
        </w:rPr>
      </w:pPr>
      <w:r>
        <w:rPr>
          <w:rFonts w:ascii="Verdana" w:hAnsi="Verdana" w:eastAsia="Verdana"/>
          <w:sz w:val="22"/>
        </w:rPr>
        <w:t xml:space="preserve">Provide documentation, if available, demonstrating that the liaison or other staff members have been invited by the residents to join the group/council. </w:t>
      </w:r>
    </w:p>
    <w:p>
      <w:pPr>
        <w:spacing/>
        <w:rPr>
          <w:rFonts w:ascii="Verdana" w:hAnsi="Verdana" w:eastAsia="Verdana"/>
          <w:sz w:val="22"/>
        </w:rPr>
      </w:pPr>
      <w:r>
        <w:rPr>
          <w:rFonts w:ascii="Verdana" w:hAnsi="Verdana" w:eastAsia="Verdana"/>
          <w:sz w:val="22"/>
        </w:rPr>
        <w:t xml:space="preserve">Provide a description of the private meeting space assigned to the group/council: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notifications are provided to residents/family members regarding meetings and updates: _____________________________________________</w:t>
      </w:r>
    </w:p>
    <w:p>
      <w:pPr>
        <w:spacing/>
        <w:rPr>
          <w:rFonts w:ascii="Verdana" w:hAnsi="Verdana" w:eastAsia="Verdana"/>
          <w:sz w:val="22"/>
        </w:rPr>
      </w:pPr>
      <w:r>
        <w:rPr>
          <w:rFonts w:ascii="Verdana" w:hAnsi="Verdana" w:eastAsia="Verdana"/>
          <w:sz w:val="22"/>
        </w:rPr>
        <w:t xml:space="preserve">Detail how often each group/council meets: ____________________________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42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987350637"/>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17259910"/>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00531</w:t>
    </w:r>
    <w:sdt>
      <w:sdtPr>
        <w:rPr>
          <w:rFonts w:ascii="Verdana" w:hAnsi="Verdana" w:eastAsia="Verdana"/>
          <w:sz w:val="12"/>
          <w:szCs w:val="12"/>
        </w:rPr>
        <w:id w:val="-1961570586"/>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226734840"/>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w:t>
    </w:r>
    <w:r>
      <w:rPr>
        <w:rFonts w:ascii="Verdana" w:hAnsi="Verdana" w:eastAsia="Verdana"/>
        <w:sz w:val="12"/>
        <w:szCs w:val="12"/>
      </w:rPr>
      <w:t xml:space="preserve">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p>
    <w:pPr>
      <w:pStyle w:val="NoSpacing"/>
      <w:tabs>
        <w:tab w:val="center" w:pos="4680"/>
        <w:tab w:val="right" w:pos="9270"/>
      </w:tabs>
      <w:spacing/>
      <w:jc w:val="center"/>
      <w:rPr>
        <w:rFonts w:ascii="Verdana" w:hAnsi="Verdana" w:eastAsia="Verdana"/>
        <w:sz w:val="12"/>
        <w:szCs w:val="12"/>
      </w:rPr>
    </w:pPr>
  </w:p>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0519aede-7fe8-4e10-b40c-eddd87238190" type="##_x0000_t75" o:allowincell="f" style="position:absolute;margin-left:0pt;margin-top:0pt;width:467.2pt;height:293.8pt;mso-position-horizontal-relative:margin;mso-position-vertical-relative:margin;mso-position-horizontal:center;mso-position-vertical:center;z-index:-251654118;visibility:visible">
          <v:imagedata r:id="rId446"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68afd111-6330-45d1-b0a3-3b36f9715a15" type="##_x0000_t75" o:allowincell="f" style="position:absolute;margin-left:0pt;margin-top:0pt;width:467.2pt;height:293.8pt;mso-position-horizontal-relative:margin;mso-position-vertical-relative:margin;mso-position-horizontal:center;mso-position-vertical:center;z-index:-251653094;visibility:visible">
          <v:imagedata r:id="rId446"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662a3818-7ac7-403a-bfb6-80a2ff6eb158" type="##_x0000_t75" o:allowincell="f" style="position:absolute;margin-left:0pt;margin-top:0pt;width:467.2pt;height:293.8pt;mso-position-horizontal-relative:margin;mso-position-vertical-relative:margin;mso-position-horizontal:center;mso-position-vertical:center;z-index:-251652070;visibility:visible">
          <v:imagedata r:id="rId446"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75CF45C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196DC24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68BB170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3E68210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6C6C0A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2A365E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288A376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41D2DC6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0EDF62A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44702E90"/>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7022B97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4828BCF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099E42E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3554222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02FF9DC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045A4E0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679C7AD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3205FAD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60DDC3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color w:val="auto"/>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4CCAE0B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26C9AAC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5837992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4F4650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38189EC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04CF0B6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050EC7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7C689E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0870B8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6A8837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2321808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318634B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1C3800E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42F1C9B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336ED0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0EB35E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586C0C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15F4D3F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65A88B6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4662E3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0B72CD0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6DA43F1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267299C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54FF0B6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72CA116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1B3FDA7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3ADE221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19774E9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446E4C7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2DE357E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3B804DE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5FE141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6FA5EA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3D75362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3B818B4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08B9603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78EC01A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78F798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9">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1">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
    <w:lvlOverride w:ilvl="0">
      <w:startOverride w:val="1"/>
    </w:lvlOverride>
    <w:lvlOverride w:ilvl="1">
      <w:startOverride w:val="1"/>
    </w:lvlOverride>
    <w:lvlOverride w:ilvl="2">
      <w:startOverride w:val="1"/>
    </w:lvlOverride>
    <w:lvlOverride w:ilvl="3">
      <w:startOverride w:val="1"/>
    </w:lvlOverride>
  </w:num>
  <w:num w:numId="823">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7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dirty"/>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7" Type="http://schemas.openxmlformats.org/officeDocument/2006/relationships/styles" Target="styles.xml" /><Relationship Id="rId448" Type="http://schemas.openxmlformats.org/officeDocument/2006/relationships/settings" Target="settings.xml" /><Relationship Id="rId449" Type="http://schemas.openxmlformats.org/officeDocument/2006/relationships/theme" Target="theme/theme1.xml" /><Relationship Id="rId450" Type="http://schemas.openxmlformats.org/officeDocument/2006/relationships/numbering" Target="numbering.xml" /><Relationship Id="rId45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5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3"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8C2E7-17CF-4E85-A9CD-91C756E667D5}">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1711</TotalTime>
  <Pages>49</Pages>
  <Words>141842</Words>
  <Characters>808506</Characters>
  <Application>Microsoft Office Word</Application>
  <DocSecurity>0</DocSecurity>
  <Lines>6737</Lines>
  <Paragraphs>1896</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2019-12-08T22:47:00Z</cp:lastPrinted>
  <cp:revision>42</cp:revision>
  <dcterms:created xsi:type="dcterms:W3CDTF">2019-07-09T16:54:00Z</dcterms:created>
  <dcterms:modified xsi:type="dcterms:W3CDTF">2019-12-12T21:01:00Z</dcterms:modified>
</cp:coreProperties>
</file>