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widowControl w:val="false"/>
        <w:autoSpaceDE w:val="false"/>
        <w:autoSpaceDN w:val="false"/>
        <w:adjustRightInd w:val="false"/>
        <w:spacing w:after="0" w:line="360" w:lineRule="auto"/>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 </w:t>
      </w: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66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381"/>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381"/>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381"/>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381"/>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38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38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54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33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333"/>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333"/>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588"/>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r>
        <w:rPr>
          <w:rFonts w:cs="Times New Roman"/>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7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78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7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78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78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78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781"/>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78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7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7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7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15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1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1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163"/>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163"/>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1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163"/>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16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16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16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6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16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68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68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680"/>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22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22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22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22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1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1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1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1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42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42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42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71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71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71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w:t>
      </w:r>
      <w:r>
        <w:rPr>
          <w:rFonts w:ascii="Verdana" w:hAnsi="Verdana" w:eastAsia="Verdana" w:cs="Verdana"/>
          <w:szCs w:val="24"/>
        </w:rPr>
        <w:t xml:space="preserve">fine. </w:t>
      </w:r>
    </w:p>
    <w:p>
      <w:pPr>
        <w:widowControl w:val="false"/>
        <w:numPr>
          <w:ilvl w:val="0"/>
          <w:numId w:val="156"/>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156"/>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156"/>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1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575"/>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57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57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57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575"/>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57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65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658"/>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65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658"/>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13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137"/>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13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13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13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13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w:t>
      </w:r>
      <w:r>
        <w:rPr>
          <w:rFonts w:ascii="Verdana" w:hAnsi="Verdana" w:eastAsia="Verdana" w:cs="Verdana"/>
          <w:szCs w:val="24"/>
        </w:rPr>
        <w:t xml:space="preserve">and financial condition of the person presenting the claims; and such other matters as justice may require.</w:t>
      </w:r>
    </w:p>
    <w:p>
      <w:pPr>
        <w:widowControl w:val="false"/>
        <w:numPr>
          <w:ilvl w:val="1"/>
          <w:numId w:val="137"/>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pPr>
        <w:widowControl w:val="false"/>
        <w:numPr>
          <w:ilvl w:val="1"/>
          <w:numId w:val="137"/>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numPr>
          <w:ilvl w:val="0"/>
          <w:numId w:val="156"/>
        </w:numPr>
        <w:spacing w:after="0"/>
        <w:rPr>
          <w:rFonts w:ascii="Verdana" w:hAnsi="Verdana" w:eastAsia="Verdana" w:cs="Times New Roman"/>
          <w:sz w:val="24"/>
          <w:szCs w:val="24"/>
        </w:rPr>
      </w:pPr>
      <w:r>
        <w:rPr>
          <w:rFonts w:ascii="Verdana" w:hAnsi="Verdana" w:eastAsia="Verdana" w:cs="Times New Roman"/>
          <w:sz w:val="24"/>
          <w:szCs w:val="24"/>
        </w:rPr>
        <w:t xml:space="preserve">Iowa False Claims Act</w:t>
      </w:r>
      <w:r>
        <w:rPr/>
        <w:t xml:space="preserve"> </w:t>
      </w:r>
      <w:r>
        <w:rPr>
          <w:rFonts w:ascii="Verdana" w:hAnsi="Verdana" w:eastAsia="Verdana" w:cs="Times New Roman"/>
          <w:sz w:val="24"/>
          <w:szCs w:val="24"/>
        </w:rPr>
        <w:t xml:space="preserve">(Iowa Code § 685.1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numPr>
          <w:ilvl w:val="1"/>
          <w:numId w:val="156"/>
        </w:numPr>
        <w:spacing w:after="0"/>
        <w:ind w:left="1080"/>
        <w:jc w:val="both"/>
        <w:rPr>
          <w:rFonts w:ascii="Verdana" w:hAnsi="Verdana" w:eastAsia="Verdana" w:cs="Times New Roman"/>
          <w:sz w:val="24"/>
          <w:szCs w:val="24"/>
        </w:rPr>
      </w:pPr>
      <w:r>
        <w:rPr>
          <w:rFonts w:ascii="Verdana" w:hAnsi="Verdana" w:eastAsia="Verdana" w:cs="Times New Roman"/>
          <w:sz w:val="24"/>
          <w:szCs w:val="24"/>
        </w:rPr>
        <w:t xml:space="preserve">The Iowa False Claims Act (“IFCA”) is a civil statute designed to help the state government combat fraud and recover losses resulting from fraud against public agencies. The IFCA is similar to the federal False Claims Act and imposes liability on persons or corporations who knowingly present false or fraudulent claims for payment to the state, misappropriate state property, or conceal, avoid or decrease an obligation to pay or transmit property to the State of Iowa.</w:t>
      </w:r>
    </w:p>
    <w:p>
      <w:pPr>
        <w:pStyle w:val="ListParagraph"/>
        <w:numPr>
          <w:ilvl w:val="1"/>
          <w:numId w:val="156"/>
        </w:numPr>
        <w:spacing w:after="0"/>
        <w:ind w:left="1080"/>
        <w:jc w:val="both"/>
        <w:rPr>
          <w:rFonts w:ascii="Verdana" w:hAnsi="Verdana" w:eastAsia="Verdana" w:cs="Times New Roman"/>
          <w:sz w:val="24"/>
          <w:szCs w:val="24"/>
        </w:rPr>
      </w:pPr>
      <w:r>
        <w:rPr>
          <w:rFonts w:ascii="Verdana" w:hAnsi="Verdana" w:eastAsia="Verdana" w:cs="Times New Roman"/>
          <w:sz w:val="24"/>
          <w:szCs w:val="24"/>
        </w:rPr>
        <w:t xml:space="preserve">Violations of the IFCA include: (1) knowingly presenting or causing to be presented a false or fraudulent claim for payment or approval; (2) knowingly making or using, or causing to be made or used, a false record or statement material to false or fraudulent claim; (3) having possession or control over property or money used, or to be used, by the state and delivering less than all of that money or property; (4) an authorized individual making or delivering a document certifying receipt of property used by the state without completely knowing that the information on the receipt is true; (5) knowingly buying public property from an officer or employee of the state or a member of the Iowa national guard who may not sell or pledge property; (6) knowingly concealing or improperly avoiding or decreasing an obligation to pay or transmit money or property to the state; and (7) conspiring to commit any of the above violations.</w:t>
      </w:r>
    </w:p>
    <w:p>
      <w:pPr>
        <w:pStyle w:val="ListParagraph"/>
        <w:numPr>
          <w:ilvl w:val="1"/>
          <w:numId w:val="156"/>
        </w:numPr>
        <w:spacing w:after="0"/>
        <w:ind w:left="1080"/>
        <w:jc w:val="both"/>
        <w:rPr>
          <w:rFonts w:ascii="Verdana" w:hAnsi="Verdana" w:eastAsia="Verdana" w:cs="Times New Roman"/>
          <w:sz w:val="24"/>
          <w:szCs w:val="24"/>
        </w:rPr>
      </w:pPr>
      <w:r>
        <w:rPr>
          <w:rFonts w:ascii="Verdana" w:hAnsi="Verdana" w:eastAsia="Verdana" w:cs="Times New Roman"/>
          <w:sz w:val="24"/>
          <w:szCs w:val="24"/>
        </w:rPr>
        <w:t xml:space="preserve">Qui Tam Provisions and Whistleblower Protections. </w:t>
      </w:r>
    </w:p>
    <w:p>
      <w:pPr>
        <w:pStyle w:val="ListParagraph"/>
        <w:numPr>
          <w:ilvl w:val="2"/>
          <w:numId w:val="156"/>
        </w:numPr>
        <w:spacing w:after="0"/>
        <w:jc w:val="both"/>
        <w:rPr>
          <w:rFonts w:ascii="Verdana" w:hAnsi="Verdana" w:eastAsia="Verdana" w:cs="Times New Roman"/>
          <w:sz w:val="24"/>
          <w:szCs w:val="24"/>
        </w:rPr>
      </w:pPr>
      <w:r>
        <w:rPr>
          <w:rFonts w:ascii="Verdana" w:hAnsi="Verdana" w:eastAsia="Verdana" w:cs="Times New Roman"/>
          <w:sz w:val="24"/>
          <w:szCs w:val="24"/>
        </w:rPr>
        <w:t xml:space="preserve">The IFCA contains provisions that allow individuals (or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plaintiffs) to file a lawsuit to enforce the IFCA on behalf of the state. Once filed, the Iowa Attorney General may choose to intervene and conduct the lawsuit. If the Attorney </w:t>
      </w:r>
      <w:r>
        <w:rPr>
          <w:rFonts w:ascii="Verdana" w:hAnsi="Verdana" w:eastAsia="Verdana" w:cs="Times New Roman"/>
          <w:sz w:val="24"/>
          <w:szCs w:val="24"/>
        </w:rPr>
        <w:t xml:space="preserve">General conducts the lawsuit, the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 shall receive between 15% and 25% of the proceeds from the action or settlement of the claim, depending on the extent to which the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 contributes to the prosecution of the lawsuit. Furthermore, the state has the authority to limit the plaintiff’s participation if it would interfere or unduly delay the state’s prosecution of the case If the court determines the action is based primarily on disclosures of specific information from hearings, government audits, or from the news media, and not based on information provided by the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 the court will award the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 no more than 10% of the proceeds from the action or settlement of the claim. If the Attorney General does not conduct the lawsuit, the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 may pursue the lawsuit and, if successful, shall receive between 25% and 30% of the proceeds from the action or settlement, and shall have reasonable and necessary court costs and attorney fees reimbursed by the defendant.</w:t>
      </w:r>
    </w:p>
    <w:p>
      <w:pPr>
        <w:pStyle w:val="ListParagraph"/>
        <w:spacing w:after="0"/>
        <w:ind w:left="2088"/>
        <w:jc w:val="both"/>
        <w:rPr>
          <w:rFonts w:ascii="Verdana" w:hAnsi="Verdana" w:eastAsia="Verdana" w:cs="Times New Roman"/>
          <w:sz w:val="24"/>
          <w:szCs w:val="24"/>
        </w:rPr>
      </w:pPr>
      <w:r>
        <w:rPr>
          <w:rFonts w:ascii="Verdana" w:hAnsi="Verdana" w:eastAsia="Verdana" w:cs="Times New Roman"/>
          <w:sz w:val="24"/>
          <w:szCs w:val="24"/>
        </w:rPr>
        <w:t xml:space="preserve">The IFCA protects employees, contractors, or agents who are discharged, demoted, suspended, harassed, or otherwise discriminated against in terms of their employment, because they took lawful acts to stop a violation of the IFCA. Such employees, contractors, or agents are entitled to all relief necessary to make them whole, including reinstatement with the seniority status they would have had, two times the amount of back pay, interest on the back pay, and compensation for any special damages sustained as a result of the discrimination. A civil action under the IFCA may not be brought more than three years after the date when the retaliation occurred.</w:t>
      </w:r>
    </w:p>
    <w:p>
      <w:pPr>
        <w:pStyle w:val="ListParagraph"/>
        <w:numPr>
          <w:ilvl w:val="1"/>
          <w:numId w:val="156"/>
        </w:numPr>
        <w:spacing w:after="0"/>
        <w:ind w:left="1080"/>
        <w:jc w:val="both"/>
        <w:rPr>
          <w:rFonts w:ascii="Verdana" w:hAnsi="Verdana" w:eastAsia="Verdana" w:cs="Times New Roman"/>
          <w:sz w:val="24"/>
          <w:szCs w:val="24"/>
        </w:rPr>
      </w:pPr>
      <w:r>
        <w:rPr>
          <w:rFonts w:ascii="Verdana" w:hAnsi="Verdana" w:eastAsia="Verdana" w:cs="Times New Roman"/>
          <w:sz w:val="24"/>
          <w:szCs w:val="24"/>
        </w:rPr>
        <w:t xml:space="preserve">Penalties. </w:t>
      </w:r>
    </w:p>
    <w:p>
      <w:pPr>
        <w:pStyle w:val="ListParagraph"/>
        <w:numPr>
          <w:ilvl w:val="2"/>
          <w:numId w:val="156"/>
        </w:numPr>
        <w:spacing w:after="0"/>
        <w:jc w:val="both"/>
        <w:rPr>
          <w:rFonts w:ascii="Verdana" w:hAnsi="Verdana" w:eastAsia="Verdana" w:cs="Times New Roman"/>
          <w:sz w:val="24"/>
          <w:szCs w:val="24"/>
        </w:rPr>
      </w:pPr>
      <w:r>
        <w:rPr>
          <w:rFonts w:ascii="Verdana" w:hAnsi="Verdana" w:eastAsia="Verdana" w:cs="Times New Roman"/>
          <w:sz w:val="24"/>
          <w:szCs w:val="24"/>
        </w:rPr>
        <w:t xml:space="preserve">The IFCA establishes financial penalties of $5,000 to $10,000 for each violation plus three times the amount of damages sustained by the state as a result of the violation. In addition, persons found to have violated the IFCA are liable to the state or to the qui tam plaintiff for the costs of the action. If a court finds that the person who committed the violation cooperated with the state investigation of the violation, </w:t>
      </w:r>
      <w:r>
        <w:rPr>
          <w:rFonts w:ascii="Verdana" w:hAnsi="Verdana" w:eastAsia="Verdana" w:cs="Times New Roman"/>
          <w:sz w:val="24"/>
          <w:szCs w:val="24"/>
        </w:rPr>
        <w:t xml:space="preserve">including furnishing the state with all information known about the violation within 30 days, the court may lower the amount to two times the amount of damages sustained by the state.</w:t>
      </w:r>
    </w:p>
    <w:p>
      <w:pPr>
        <w:pStyle w:val="ListParagraph"/>
        <w:widowControl w:val="false"/>
        <w:numPr>
          <w:ilvl w:val="0"/>
          <w:numId w:val="15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Times New Roman"/>
          <w:sz w:val="24"/>
          <w:szCs w:val="24"/>
        </w:rPr>
        <w:t xml:space="preserve">Iowa Insurance Fraud Act (Iowa Code § 507E.2-3)</w:t>
      </w:r>
    </w:p>
    <w:p>
      <w:pPr>
        <w:pStyle w:val="ListParagraph"/>
        <w:widowControl w:val="false"/>
        <w:numPr>
          <w:ilvl w:val="1"/>
          <w:numId w:val="156"/>
        </w:numPr>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cs="Times New Roman"/>
          <w:sz w:val="24"/>
          <w:szCs w:val="24"/>
        </w:rPr>
        <w:t xml:space="preserve">Under the Iowa Insurance Fraud Act (“IIFA”) </w:t>
      </w:r>
      <w:r>
        <w:rPr>
          <w:rFonts w:ascii="Verdana" w:hAnsi="Verdana" w:eastAsia="Verdana" w:cs="Verdana"/>
          <w:sz w:val="24"/>
          <w:szCs w:val="24"/>
        </w:rPr>
        <w:t xml:space="preserve">2.  A person commits a class “D” felony if the person, with the intent to defraud an insurer, does any of the following:</w:t>
      </w:r>
    </w:p>
    <w:p>
      <w:pPr>
        <w:pStyle w:val="ListParagraph"/>
        <w:widowControl w:val="false"/>
        <w:numPr>
          <w:ilvl w:val="2"/>
          <w:numId w:val="15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Presents or causes to be presented to an insurer, any written document or oral statement, including a computer-generated document, as part of, or in support of, a claim for payment or other benefit pursuant to an insurance policy, knowing that such document or statement contains any false information concerning a material fact.</w:t>
      </w:r>
    </w:p>
    <w:p>
      <w:pPr>
        <w:pStyle w:val="ListParagraph"/>
        <w:widowControl w:val="false"/>
        <w:numPr>
          <w:ilvl w:val="2"/>
          <w:numId w:val="15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Assists, abets, solicits, or conspires with another to present or cause to be presented to an insurer, any written document or oral statement, including a computer-generated document, that is intended to be presented to any insurer in connection with, or in support of, any claim for payment or other benefit pursuant to an insurance policy, knowing that such document or statement contains any false information concerning a material fact.</w:t>
      </w:r>
    </w:p>
    <w:p>
      <w:pPr>
        <w:pStyle w:val="ListParagraph"/>
        <w:widowControl w:val="false"/>
        <w:numPr>
          <w:ilvl w:val="2"/>
          <w:numId w:val="15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Presents or causes to be presented to an insurer, any written document or oral statement, including a computer-generated document, as part of, or in, an application for insurance coverage, knowing that such document or statement contains false information concerning a material fact.</w:t>
      </w:r>
    </w:p>
    <w:p>
      <w:pPr>
        <w:pStyle w:val="ListParagraph"/>
        <w:widowControl w:val="false"/>
        <w:numPr>
          <w:ilvl w:val="0"/>
          <w:numId w:val="15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Times New Roman"/>
          <w:sz w:val="24"/>
          <w:szCs w:val="24"/>
        </w:rPr>
        <w:t xml:space="preserve">Iowa Medicaid Fraud Statute (Iowa Code § 249A.51).</w:t>
      </w:r>
    </w:p>
    <w:p>
      <w:pPr>
        <w:widowControl w:val="false"/>
        <w:autoSpaceDE w:val="false"/>
        <w:autoSpaceDN w:val="false"/>
        <w:adjustRightInd w:val="false"/>
        <w:spacing w:after="0"/>
        <w:rPr>
          <w:rFonts w:ascii="Verdana" w:hAnsi="Verdana" w:eastAsia="Verdana" w:cs="Times New Roman"/>
          <w:color w:val="FF0000"/>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Iowa law provides that a person who knowingly makes or causes to be made a false statement or misrepresentation of material fact or knowingly fails to disclose material facts in an application or claim for payment of services or merchandise rendered or purportedly rendered by a provider participating in the Iowa medical assistance program (Medicaid) commits a fraudulent practice.</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Iowa’s</w:t>
      </w:r>
      <w:r>
        <w:rPr>
          <w:rFonts w:ascii="Verdana" w:hAnsi="Verdana" w:eastAsia="Verdana" w:cs="Times New Roman"/>
          <w:lang w:bidi="ar-SA"/>
        </w:rPr>
        <w:t xml:space="preserve"> Medicaid Provider Sanctions List, which is available for download at </w:t>
      </w:r>
      <w:r>
        <w:rPr/>
        <w:fldChar w:fldCharType="begin"/>
      </w:r>
      <w:r>
        <w:rPr/>
        <w:instrText xml:space="preserve">HYPERLINK "https://dhs.iowa.gov/ime/about/aboutime/program-integrity" </w:instrText>
      </w:r>
      <w:r>
        <w:rPr/>
        <w:fldChar w:fldCharType="separate"/>
      </w:r>
      <w:r>
        <w:rPr>
          <w:rStyle w:val="Hyperlink"/>
          <w:rFonts w:ascii="Verdana" w:hAnsi="Verdana" w:eastAsia="Verdana"/>
          <w:lang w:bidi="ar-SA"/>
        </w:rPr>
        <w:t xml:space="preserve">https://dhs.iowa.gov/ime/about/aboutime/program-integrity</w:t>
      </w:r>
      <w:r>
        <w:rPr/>
        <w:fldChar w:fldCharType="end"/>
      </w:r>
      <w:r>
        <w:rPr>
          <w:rFonts w:ascii="Verdana" w:hAnsi="Verdana" w:eastAsia="Verdana" w:cs="Times New Roman"/>
          <w:lang w:bidi="ar-SA"/>
        </w:rPr>
        <w:t xml:space="preserve">.</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w:t>
      </w:r>
      <w:r>
        <w:rPr>
          <w:rFonts w:ascii="Verdana" w:hAnsi="Verdana" w:eastAsia="Verdana" w:cs="Times New Roman"/>
          <w:lang w:bidi="ar-SA"/>
        </w:rPr>
        <w:t xml:space="preserve">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State of Iowa’s Medicaid Provider Sanctions List, which is available for download at </w:t>
      </w:r>
      <w:r>
        <w:rPr/>
        <w:fldChar w:fldCharType="begin"/>
      </w:r>
      <w:r>
        <w:rPr/>
        <w:instrText xml:space="preserve">HYPERLINK "https://dhs.iowa.gov/ime/about/aboutime/program-integrity" </w:instrText>
      </w:r>
      <w:r>
        <w:rPr/>
        <w:fldChar w:fldCharType="separate"/>
      </w:r>
      <w:r>
        <w:rPr>
          <w:rStyle w:val="Hyperlink"/>
          <w:rFonts w:ascii="Verdana" w:hAnsi="Verdana" w:eastAsia="Verdana"/>
          <w:lang w:bidi="ar-SA"/>
        </w:rPr>
        <w:t xml:space="preserve">https://dhs.iowa.gov/ime/about/aboutime/program-integrity</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w:t>
      </w:r>
      <w:r>
        <w:rPr>
          <w:rFonts w:ascii="Verdana" w:hAnsi="Verdana" w:eastAsia="Verdana" w:cs="Times New Roman"/>
          <w:lang w:bidi="ar-SA"/>
        </w:rPr>
        <w:t xml:space="preserve">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Iowa’s</w:t>
      </w:r>
      <w:r>
        <w:rPr>
          <w:rFonts w:ascii="Verdana" w:hAnsi="Verdana" w:eastAsia="Verdana" w:cs="Times New Roman"/>
          <w:lang w:bidi="ar-SA"/>
        </w:rPr>
        <w:t xml:space="preserve"> Medicaid Provider Sanctions List, which is available for download at </w:t>
      </w:r>
      <w:r>
        <w:rPr/>
        <w:fldChar w:fldCharType="begin"/>
      </w:r>
      <w:r>
        <w:rPr/>
        <w:instrText xml:space="preserve">HYPERLINK "https://dhs.iowa.gov/ime/about/aboutime/program-integrity" </w:instrText>
      </w:r>
      <w:r>
        <w:rPr/>
        <w:fldChar w:fldCharType="separate"/>
      </w:r>
      <w:r>
        <w:rPr>
          <w:rStyle w:val="Hyperlink"/>
          <w:rFonts w:ascii="Verdana" w:hAnsi="Verdana" w:eastAsia="Verdana"/>
          <w:lang w:bidi="ar-SA"/>
        </w:rPr>
        <w:t xml:space="preserve">https://dhs.iowa.gov/ime/about/aboutime/program-integrity</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spacing w:after="200"/>
        <w:ind w:left="1440"/>
        <w:contextualSpacing/>
        <w:rPr>
          <w:rFonts w:ascii="Verdana" w:hAnsi="Verdana" w:eastAsia="Verdana" w:cs="Times New Roman"/>
          <w:lang w:bidi="ar-SA"/>
        </w:rPr>
      </w:pP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6"/>
        </w:numPr>
        <w:tabs>
          <w:tab w:val="left"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6"/>
        </w:numPr>
        <w:tabs>
          <w:tab w:val="left"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6"/>
        </w:numPr>
        <w:tabs>
          <w:tab w:val="num" w:pos="360"/>
          <w:tab w:val="num" w:pos="45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6"/>
        </w:numPr>
        <w:tabs>
          <w:tab w:val="num" w:pos="360"/>
          <w:tab w:val="num" w:pos="450"/>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6"/>
        </w:numPr>
        <w:tabs>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5"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5"/>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ind w:hanging="828"/>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w:t>
      </w:r>
      <w:r>
        <w:rPr>
          <w:rFonts w:ascii="Verdana" w:hAnsi="Verdana" w:eastAsia="Verdana" w:cs="ArialMTPro"/>
          <w:iCs/>
          <w:color w:val="000000"/>
          <w:szCs w:val="24"/>
        </w:rPr>
        <w:t xml:space="preserve">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w:t>
      </w:r>
      <w:r>
        <w:rPr>
          <w:rFonts w:ascii="Verdana" w:hAnsi="Verdana" w:eastAsia="Verdana" w:cs="ArialMTPro"/>
          <w:color w:val="000000"/>
          <w:sz w:val="24"/>
          <w:szCs w:val="24"/>
        </w:rPr>
        <w:t xml:space="preserve">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6" w:name="c_1_i"/>
      <w:bookmarkEnd w:id="3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7" w:name="c_1_i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8" w:name="c_1_i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39" w:name="c_1_iv"/>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0" w:name="c_1_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1" w:name="c_1_vi"/>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2" w:name="i"/>
      <w:bookmarkEnd w:id="42"/>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3" w:name="i_2_vi_B"/>
      <w:bookmarkStart w:id="44" w:name="i_2_ii"/>
      <w:bookmarkEnd w:id="43"/>
      <w:bookmarkEnd w:id="44"/>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5" w:name="i_2_iii"/>
      <w:bookmarkEnd w:id="45"/>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6" w:name="b_2_i"/>
      <w:bookmarkEnd w:id="46"/>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 </w:t>
      </w:r>
      <w:r>
        <w:rPr>
          <w:rFonts w:ascii="Verdana" w:hAnsi="Verdana" w:eastAsia="Verdana"/>
        </w:rPr>
        <w:t xml:space="preserve">$50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w:t>
      </w:r>
      <w:r>
        <w:rPr>
          <w:rFonts w:ascii="Verdana" w:hAnsi="Verdana" w:eastAsia="Verdana"/>
        </w:rPr>
        <w:t xml:space="preserve"> </w:t>
      </w:r>
      <w:r>
        <w:rPr>
          <w:rFonts w:ascii="Verdana" w:hAnsi="Verdana" w:eastAsia="Verdana"/>
        </w:rPr>
        <w:t xml:space="preserve">$50 in </w:t>
      </w:r>
      <w:r>
        <w:rPr>
          <w:rFonts w:ascii="Verdana" w:hAnsi="Verdana" w:eastAsia="Verdana"/>
        </w:rPr>
        <w:t xml:space="preserve">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0"/>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located outdoors, in a non-enclosed shelter (e.g. three walls and a roof</w:t>
      </w:r>
      <w:r>
        <w:rPr>
          <w:rFonts w:ascii="Verdana" w:hAnsi="Verdana" w:eastAsia="Verdana"/>
          <w:szCs w:val="24"/>
        </w:rPr>
        <w:t xml:space="preserve">) and</w:t>
      </w:r>
      <w:r>
        <w:rPr>
          <w:rFonts w:ascii="Verdana" w:hAnsi="Verdana" w:eastAsia="Verdana"/>
          <w:szCs w:val="24"/>
        </w:rPr>
        <w:t xml:space="preserve"> may not include bedrooms.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831"/>
        </w:numPr>
        <w:spacing/>
        <w:contextualSpacing/>
        <w:jc w:val="both"/>
        <w:rPr>
          <w:rFonts w:ascii="Verdana" w:hAnsi="Verdana" w:eastAsia="Verdana"/>
          <w:color w:val="FF0000"/>
          <w:sz w:val="24"/>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47" w:name="Bookmark__b"/>
      <w:bookmarkEnd w:id="47"/>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8" w:name="Bookmark__b_1"/>
      <w:bookmarkEnd w:id="48"/>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49" w:name="Bookmark__b_2"/>
      <w:bookmarkEnd w:id="49"/>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0" w:name="Bookmark__b_3"/>
      <w:bookmarkEnd w:id="50"/>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1" w:name="Bookmark__b_3_i"/>
      <w:bookmarkEnd w:id="51"/>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2" w:name="Bookmark__b_3_i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3" w:name="Bookmark__b_4"/>
      <w:bookmarkEnd w:id="53"/>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4" w:name="Bookmark__b_5"/>
      <w:bookmarkEnd w:id="54"/>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5" w:name="Bookmark__b_6"/>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6" w:name="Bookmark__b_7"/>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7" w:name="Bookmark__b_7_i"/>
      <w:bookmarkEnd w:id="57"/>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8" w:name="Bookmark__b_7_i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59" w:name="Bookmark__b_7_i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0" w:name="Bookmark__c"/>
      <w:bookmarkEnd w:id="60"/>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1" w:name="Bookmark__c_1"/>
      <w:bookmarkEnd w:id="6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2" w:name="Bookmark__c_2"/>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3" w:name="Bookmark__c_2_i"/>
      <w:bookmarkEnd w:id="6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4" w:name="Bookmark__c_2_i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5" w:name="Bookmark__c_2_i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6" w:name="Bookmark__c_2_iv"/>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7" w:name="Bookmark__c_2_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8" w:name="Bookmark__c_3"/>
      <w:bookmarkEnd w:id="6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69" w:name="Bookmark__c_3_i"/>
      <w:bookmarkEnd w:id="69"/>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0" w:name="Bookmark__c_3_ii"/>
      <w:bookmarkEnd w:id="7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1" w:name="Bookmark__c_3_i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2" w:name="Bookmark__c_4"/>
      <w:bookmarkEnd w:id="7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3" w:name="Bookmark__c_5"/>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4" w:name="Bookmark__c_6"/>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5" w:name="Bookmark__c_7"/>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6" w:name="Bookmark__c_8"/>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7" w:name="Bookmark__d"/>
      <w:bookmarkEnd w:id="77"/>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8" w:name="Bookmark__d_1"/>
      <w:bookmarkEnd w:id="78"/>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79" w:name="Bookmark__d_2"/>
      <w:bookmarkEnd w:id="79"/>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0" w:name="Bookmark__d_3"/>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1" w:name="Bookmark__d_5"/>
      <w:bookmarkEnd w:id="81"/>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2" w:name="Bookmark__e"/>
      <w:bookmarkEnd w:id="82"/>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3" w:name="Bookmark__e_1"/>
      <w:bookmarkEnd w:id="8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4" w:name="Bookmark__e_2"/>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5" w:name="Bookmark__e_3"/>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6" w:name="Bookmark__e_4"/>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7" w:name="Bookmark__e_5"/>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8" w:name="Bookmark__e_6"/>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89" w:name="Bookmark__e_7"/>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0" w:name="Bookmark__e_7_i"/>
      <w:bookmarkEnd w:id="90"/>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1" w:name="Bookmark__e_7_i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2" w:name="Bookmark__e_7_i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3" w:name="Bookmark__e_8"/>
      <w:bookmarkEnd w:id="9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4" w:name="Bookmark__f"/>
      <w:bookmarkEnd w:id="94"/>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5" w:name="Bookmark__f_1"/>
      <w:bookmarkEnd w:id="9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6" w:name="Bookmark__f_2"/>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7" w:name="Bookmark__f_3"/>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8" w:name="Bookmark__f_4"/>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99" w:name="Bookmark__f_4_i"/>
      <w:bookmarkEnd w:id="99"/>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0" w:name="Bookmark__f_4_i_a"/>
      <w:bookmarkEnd w:id="100"/>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1" w:name="Bookmark__f_4_i_b"/>
      <w:bookmarkEnd w:id="10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2" w:name="Bookmark__f_4_i_c"/>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3" w:name="Bookmark__f_4_i_d"/>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4" w:name="Bookmark__f_4_i_e"/>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5" w:name="Bookmark__f_4_i_f"/>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6" w:name="Bookmark__f_4_i_g"/>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7" w:name="Bookmark__f_4_ii"/>
      <w:bookmarkEnd w:id="10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8" w:name="Bookmark__f_4_iii"/>
      <w:bookmarkEnd w:id="108"/>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09" w:name="Bookmark__f_4_vi_a"/>
      <w:bookmarkEnd w:id="10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0" w:name="Bookmark__f_4_vi_b"/>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1" w:name="Bookmark__f_4_vi_c"/>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2" w:name="Bookmark__f_4_vi_d"/>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3" w:name="Bookmark__f_5"/>
      <w:bookmarkEnd w:id="113"/>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4" w:name="Bookmark__f_5_ii"/>
      <w:bookmarkEnd w:id="11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5" w:name="Bookmark__f_5_iv_b"/>
      <w:bookmarkEnd w:id="11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6" w:name="Bookmark__f_6"/>
      <w:bookmarkEnd w:id="116"/>
    </w:p>
    <w:p>
      <w:pPr>
        <w:pStyle w:val="Normal0"/>
        <w:numPr>
          <w:ilvl w:val="0"/>
          <w:numId w:val="444"/>
        </w:numPr>
        <w:spacing w:before="120" w:line="260" w:lineRule="atLeast"/>
        <w:ind w:left="1080"/>
        <w:jc w:val="both"/>
        <w:rPr>
          <w:rFonts w:ascii="Verdana" w:hAnsi="Verdana" w:eastAsia="Verdana"/>
          <w:sz w:val="24"/>
        </w:rPr>
      </w:pPr>
      <w:bookmarkStart w:id="117" w:name="Bookmark__f_7"/>
      <w:bookmarkEnd w:id="117"/>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8" w:name="Bookmark__f_8"/>
      <w:bookmarkEnd w:id="11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19" w:name="Bookmark__f_9"/>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0" w:name="Bookmark__f_9_i"/>
      <w:bookmarkEnd w:id="12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1" w:name="Bookmark__f_9_i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2" w:name="Bookmark__f_9_i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3" w:name="Bookmark__f_9_iv"/>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4" w:name="Bookmark__f_10"/>
      <w:bookmarkEnd w:id="12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5" w:name="Bookmark__f_10_i"/>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6" w:name="Bookmark__f_10_i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7" w:name="Bookmark__f_10_ii_b"/>
      <w:bookmarkEnd w:id="12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8" w:name="Bookmark__f_10_iii"/>
      <w:bookmarkEnd w:id="128"/>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29" w:name="Bookmark__f_10_iii_b"/>
      <w:bookmarkEnd w:id="12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0" w:name="Bookmark__f_10_iii_c"/>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1" w:name="Bookmark__f_10_iv"/>
      <w:bookmarkEnd w:id="13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2" w:name="Bookmark__f_10_iv_a"/>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3" w:name="Bookmark__f_10_iv_b"/>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4" w:name="Bookmark__f_10_v"/>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5" w:name="Bookmark__f_10_vi"/>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6" w:name="Bookmark__f_11"/>
      <w:bookmarkEnd w:id="136"/>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7" w:name="Bookmark__f_11_i"/>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8" w:name="Bookmark__f_11_i_a"/>
      <w:bookmarkEnd w:id="138"/>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39" w:name="Bookmark__f_11_i_b"/>
      <w:bookmarkEnd w:id="139"/>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0" w:name="Bookmark__f_11_i_c"/>
      <w:bookmarkEnd w:id="14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1" w:name="Bookmark__f_11_i_d"/>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2" w:name="Bookmark__f_11_i_e"/>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3" w:name="Bookmark__f_11_i_f"/>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4" w:name="Bookmark__f_11_i_g"/>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5" w:name="Bookmark__f_11_ii"/>
      <w:bookmarkEnd w:id="14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6" w:name="Bookmark__f_11_ii_a"/>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7" w:name="Bookmark__f_11_ii_b"/>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8" w:name="Bookmark__f_11_ii_c"/>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49" w:name="Bookmark__f_11_ii_d"/>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0" w:name="Bookmark__f_11_ii_e"/>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1" w:name="Bookmark__f_11_ii_f"/>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2" w:name="Bookmark__f_11_ii_g"/>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3" w:name="Bookmark__f_11_ii_h"/>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4" w:name="Bookmark__f_11_ii_i"/>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5" w:name="Bookmark__f_11_ii_j"/>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6" w:name="Bookmark__f_11_ii_k"/>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7" w:name="Bookmark__f_11_ii_l"/>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8" w:name="Bookmark__f_11_ii_l_1"/>
      <w:bookmarkEnd w:id="158"/>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59" w:name="Bookmark__f_11_ii_l_2"/>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0" w:name="Bookmark__f_11_iii"/>
      <w:bookmarkEnd w:id="16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1" w:name="Bookmark__g"/>
      <w:bookmarkStart w:id="162" w:name="Bookmark__g_1"/>
      <w:bookmarkEnd w:id="161"/>
      <w:bookmarkEnd w:id="162"/>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3" w:name="Bookmark__g_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4" w:name="Bookmark__g_2_ii_a"/>
      <w:bookmarkEnd w:id="16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5" w:name="Bookmark__g_2_ii_b"/>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6" w:name="Bookmark__g_2_ii_c"/>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7" w:name="Bookmark__g_3"/>
      <w:bookmarkEnd w:id="167"/>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8" w:name="Bookmark__g_4"/>
      <w:bookmarkEnd w:id="16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69" w:name="Bookmark__g_4_i"/>
      <w:bookmarkEnd w:id="16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0" w:name="Bookmark__g_4_i_a"/>
      <w:bookmarkEnd w:id="170"/>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1" w:name="Bookmark__g_4_i_b"/>
      <w:bookmarkEnd w:id="17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2" w:name="Bookmark__g_4_i_c"/>
      <w:bookmarkEnd w:id="17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3" w:name="Bookmark__g_4_i_d"/>
      <w:bookmarkEnd w:id="17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4" w:name="Bookmark__g_4_ii"/>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5" w:name="Bookmark__g_4_iii"/>
      <w:bookmarkEnd w:id="17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6" w:name="Bookmark__g_4_iv"/>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7" w:name="Bookmark__g_4_v"/>
      <w:bookmarkEnd w:id="177"/>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8" w:name="Bookmark__g_4_vi"/>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9" w:name="Bookmark__g_5"/>
      <w:bookmarkEnd w:id="17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0" w:name="Bookmark__g_5_i"/>
      <w:bookmarkEnd w:id="18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1" w:name="Bookmark__g_5_i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2" w:name="Bookmark__g_7"/>
      <w:bookmarkEnd w:id="18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3" w:name="Bookmark__g_7_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4" w:name="Bookmark__g_7_i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5" w:name="Bookmark__g_7_i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6" w:name="Bookmark__g_8"/>
      <w:bookmarkEnd w:id="18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7" w:name="Bookmark__g_8_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8" w:name="Bookmark__g_8_i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89" w:name="Bookmark__g_9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0" w:name="Bookmark__g_9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1" w:name="Bookmark__g_9_i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2" w:name="Bookmark__g_10"/>
      <w:bookmarkEnd w:id="19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3" w:name="Bookmark__g_10_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4" w:name="Bookmark__g_10_i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5" w:name="Bookmark__g_11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6" w:name="Bookmark__g_11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7" w:name="Bookmark__g_11_i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8" w:name="Bookmark__g_11_iv"/>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199" w:name="Bookmark__g_12"/>
      <w:bookmarkEnd w:id="19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0" w:name="Bookmark__g_12_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1" w:name="Bookmark__g_12_i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2" w:name="Bookmark__g_12_i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3" w:name="Bookmark__g_12_iv"/>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4" w:name="Bookmark__g_12_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5" w:name="Bookmark__g_13"/>
      <w:bookmarkEnd w:id="20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6" w:name="Bookmark__g_14"/>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7" w:name="Bookmark__g_14_a"/>
      <w:bookmarkEnd w:id="20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8" w:name="Bookmark__g_14_b"/>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09" w:name="Bookmark__g_14_c"/>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0" w:name="Bookmark__g_14_d"/>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1" w:name="Bookmark__g_14_d_ii"/>
      <w:bookmarkEnd w:id="21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2" w:name="Bookmark__g_14_d_iii_a"/>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3" w:name="Bookmark__g_14_d_iii_b"/>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4" w:name="Bookmark__g_15"/>
      <w:bookmarkEnd w:id="21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5" w:name="Bookmark__g_16_iii"/>
      <w:bookmarkEnd w:id="21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6" w:name="Bookmark__g_17"/>
      <w:bookmarkEnd w:id="216"/>
      <w:r>
        <w:rPr>
          <w:rFonts w:ascii="Verdana" w:hAnsi="Verdana" w:eastAsia="Verdana"/>
          <w:color w:val="000000"/>
          <w:sz w:val="24"/>
        </w:rPr>
        <w:t xml:space="preserve">The Facility</w:t>
      </w:r>
      <w:r>
        <w:rPr>
          <w:rFonts w:ascii="Verdana" w:hAnsi="Verdana" w:eastAsia="Verdana"/>
          <w:color w:val="000000"/>
          <w:sz w:val="24"/>
        </w:rPr>
        <w:t xml:space="preserve"> will</w:t>
      </w:r>
      <w:bookmarkStart w:id="217" w:name="Bookmark__g_17_i"/>
      <w:bookmarkEnd w:id="217"/>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8" w:name="Bookmark__g_17_i_a"/>
      <w:bookmarkEnd w:id="218"/>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19" w:name="Bookmark__g_17_i_b"/>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0" w:name="Bookmark__g_17_ii"/>
      <w:bookmarkEnd w:id="220"/>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1" w:name="Bookmark__g_18"/>
      <w:bookmarkEnd w:id="221"/>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2" w:name="Bookmark__g_18_i"/>
      <w:bookmarkEnd w:id="22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3" w:name="Bookmark__g_18_i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4" w:name="Bookmark__g_18_i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5" w:name="Bookmark__g_18_iv"/>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6" w:name="Bookmark__g_18_v"/>
      <w:bookmarkStart w:id="227" w:name="Bookmark__h"/>
      <w:bookmarkEnd w:id="226"/>
      <w:bookmarkEnd w:id="227"/>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8" w:name="Bookmark__h_1"/>
      <w:bookmarkEnd w:id="228"/>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29" w:name="Bookmark__h_2"/>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0" w:name="Bookmark__h_3_i"/>
      <w:bookmarkEnd w:id="230"/>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1" w:name="Bookmark__h_3_ii"/>
      <w:bookmarkEnd w:id="231"/>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2" w:name="Bookmark__i"/>
      <w:bookmarkEnd w:id="232"/>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3" w:name="Bookmark__i_1"/>
      <w:bookmarkEnd w:id="233"/>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4" w:name="Bookmark__i_1_i"/>
      <w:bookmarkEnd w:id="234"/>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5" w:name="Bookmark__i_2"/>
      <w:bookmarkEnd w:id="235"/>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6" w:name="Bookmark__i_3"/>
      <w:bookmarkEnd w:id="23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7" w:name="Bookmark__i_4"/>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8" w:name="Bookmark__i_5"/>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39" w:name="Bookmark__i_6"/>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0" w:name="Bookmark__i_7"/>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1" w:name="Bookmark__j"/>
      <w:bookmarkStart w:id="242" w:name="Bookmark__j_1"/>
      <w:bookmarkEnd w:id="241"/>
      <w:bookmarkEnd w:id="242"/>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3" w:name="Bookmark__j_2"/>
      <w:bookmarkEnd w:id="243"/>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4" w:name="Bookmark__j_4_i"/>
      <w:bookmarkEnd w:id="244"/>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5" w:name="Bookmark__j_4_ii"/>
      <w:bookmarkEnd w:id="24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6" w:name="Bookmark__j_4_ii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7" w:name="Bookmark__j_4_iv"/>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8" w:name="Bookmark__j_4_v"/>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49" w:name="Bookmark__j_4_vi"/>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0" w:name="Bookmark__j_4_vii"/>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1" w:name="Bookmark__k"/>
      <w:bookmarkEnd w:id="251"/>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2"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color w:val="FF0000"/>
          <w:sz w:val="24"/>
          <w:szCs w:val="24"/>
        </w:rPr>
      </w:pPr>
      <w:bookmarkStart w:id="253"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3"/>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4" w:name="_Hlk507585456"/>
      <w:r>
        <w:rPr>
          <w:rFonts w:ascii="Verdana" w:hAnsi="Verdana" w:eastAsia="Verdana"/>
          <w:sz w:val="24"/>
          <w:szCs w:val="24"/>
        </w:rPr>
        <w:t xml:space="preserve">The Facility will provide for education of staff concerning its policies and procedures on advance directives.</w:t>
      </w:r>
    </w:p>
    <w:bookmarkEnd w:id="254"/>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2"/>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5" w:name="_Hlk20392876"/>
      <w:r>
        <w:rPr>
          <w:rFonts w:ascii="Verdana" w:hAnsi="Verdana" w:eastAsia="Verdana"/>
          <w:bCs/>
          <w:color w:val="333333"/>
          <w:sz w:val="24"/>
          <w:shd w:val="clear" w:color="auto" w:fill="FFFFFF"/>
        </w:rPr>
        <w:t xml:space="preserve">Each resident must remain under the care of a physician</w:t>
      </w:r>
      <w:bookmarkEnd w:id="255"/>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RESIDENT AND FAMILY GROUPS/COUNCILS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will ensure that residents are able to form, join, and administer a resident or family group/council (“group/council”). </w:t>
      </w:r>
      <w:r>
        <w:rPr>
          <w:rFonts w:ascii="Verdana" w:hAnsi="Verdana" w:eastAsia="Verdana"/>
          <w:color w:val="000000"/>
        </w:rPr>
        <w:t xml:space="preserve">The group/council will promote the preservation of every resident’s right to a dignified existence, self-determination, and communication inside and outside the Facility, while</w:t>
      </w:r>
      <w:r>
        <w:rPr>
          <w:rFonts w:ascii="Verdana" w:hAnsi="Verdana" w:eastAsia="Verdana" w:cs="Calibri"/>
          <w:szCs w:val="24"/>
        </w:rPr>
        <w:t xml:space="preserve"> living in the 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856"/>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856"/>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856"/>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liaison is responsible for ensuring that all written submissions from the group/council, including recommendations and grievances, receive a formal response. Views, grievances or recommendations made by the group/council will be considered, addressed, and acted upon</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Attachment A (Resident and Family Groups/Councils Information Page) to document the Facility’s resident or family groups/councils.</w:t>
      </w:r>
    </w:p>
    <w:p>
      <w:pPr>
        <w:pStyle w:val="Normal0"/>
        <w:spacing w:line="260" w:lineRule="atLeast"/>
        <w:jc w:val="both"/>
        <w:rPr>
          <w:rFonts w:ascii="Verdana" w:hAnsi="Verdana" w:eastAsia="Verdana"/>
          <w:i/>
          <w:iCs/>
          <w:color w:val="FF0000"/>
          <w:sz w:val="24"/>
        </w:rPr>
      </w:pPr>
    </w:p>
    <w:p>
      <w:pPr>
        <w:pStyle w:val="Normal0"/>
        <w:spacing w:before="120" w:line="260" w:lineRule="atLeast"/>
        <w:jc w:val="both"/>
        <w:rPr>
          <w:rFonts w:ascii="Verdana" w:hAnsi="Verdana" w:eastAsia="Verdana"/>
          <w:b/>
          <w:sz w:val="24"/>
        </w:rPr>
      </w:pPr>
      <w:r>
        <w:rPr>
          <w:rFonts w:ascii="Verdana" w:hAnsi="Verdana" w:eastAsia="Verdana"/>
        </w:rPr>
        <w:t xml:space="preserve">42 CFR §483.10(f)(5)-(7)</w:t>
      </w: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Resident and Family Groups/Councils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group/council:</w:t>
      </w:r>
    </w:p>
    <w:p>
      <w:pPr>
        <w:spacing w:after="0"/>
        <w:rPr>
          <w:rFonts w:ascii="Century Schoolbook" w:hAnsi="Century Schoolbook" w:eastAsia="Century Schoolbook"/>
        </w:rPr>
      </w:pPr>
    </w:p>
    <w:p>
      <w:pPr>
        <w:spacing w:after="0"/>
        <w:rPr/>
      </w:pPr>
      <w:bookmarkStart w:id="256"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____________________________________</w:t>
      </w:r>
      <w:bookmarkEnd w:id="256"/>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 members: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 liaison: _________________________________________________</w:t>
      </w:r>
    </w:p>
    <w:p>
      <w:pPr>
        <w:spacing/>
        <w:rPr>
          <w:rFonts w:ascii="Verdana" w:hAnsi="Verdana" w:eastAsia="Verdana"/>
          <w:sz w:val="22"/>
        </w:rPr>
      </w:pPr>
      <w:r>
        <w:rPr>
          <w:rFonts w:ascii="Verdana" w:hAnsi="Verdana" w:eastAsia="Verdana"/>
          <w:sz w:val="22"/>
        </w:rPr>
        <w:t xml:space="preserve">Provide documentation, if available, demonstrating that the liaison or other staff members have been invited by the residents to join the group/council. </w:t>
      </w:r>
    </w:p>
    <w:p>
      <w:pPr>
        <w:spacing/>
        <w:rPr>
          <w:rFonts w:ascii="Verdana" w:hAnsi="Verdana" w:eastAsia="Verdana"/>
          <w:sz w:val="22"/>
        </w:rPr>
      </w:pPr>
      <w:r>
        <w:rPr>
          <w:rFonts w:ascii="Verdana" w:hAnsi="Verdana" w:eastAsia="Verdana"/>
          <w:sz w:val="22"/>
        </w:rPr>
        <w:t xml:space="preserve">Provide a description of the private meeting space assigned to the group/council: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notifications are provided to residents/family members regarding meetings and updates: _____________________________________________</w:t>
      </w:r>
    </w:p>
    <w:p>
      <w:pPr>
        <w:spacing/>
        <w:rPr>
          <w:rFonts w:ascii="Verdana" w:hAnsi="Verdana" w:eastAsia="Verdana"/>
          <w:sz w:val="22"/>
        </w:rPr>
      </w:pPr>
      <w:r>
        <w:rPr>
          <w:rFonts w:ascii="Verdana" w:hAnsi="Verdana" w:eastAsia="Verdana"/>
          <w:sz w:val="22"/>
        </w:rPr>
        <w:t xml:space="preserve">Detail how often each group/council meets: ____________________________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213277392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2032798503"/>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Times New Roman"/>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Times New Roman"/>
        <w:sz w:val="12"/>
        <w:szCs w:val="12"/>
      </w:rPr>
      <w:t xml:space="preserve">00531</w:t>
    </w:r>
    <w:sdt>
      <w:sdtPr>
        <w:rPr>
          <w:rFonts w:ascii="Verdana" w:hAnsi="Verdana" w:eastAsia="Verdana"/>
          <w:sz w:val="12"/>
          <w:szCs w:val="12"/>
        </w:rPr>
        <w:id w:val="-1791362993"/>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84591161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8454985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9bd0d555-6a1f-4329-b3a5-9cbcc213de38" type="##_x0000_t75" o:allowincell="f" style="position:absolute;margin-left:0pt;margin-top:0pt;width:467.2pt;height:293.8pt;mso-position-horizontal-relative:margin;mso-position-vertical-relative:margin;mso-position-horizontal:center;mso-position-vertical:center;z-index:-251654118;visibility:visible">
          <v:imagedata r:id="rId446" gain="19661f" blacklevel="22938f"/>
        </v:shape>
      </w:pict>
    </w:r>
    <w:bookmarkStart w:id="257"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7"/>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7b3d6364-1a20-49fe-8676-341f34e26e79" type="##_x0000_t75" o:allowincell="f" style="position:absolute;margin-left:0pt;margin-top:0pt;width:467.2pt;height:293.8pt;mso-position-horizontal-relative:margin;mso-position-vertical-relative:margin;mso-position-horizontal:center;mso-position-vertical:center;z-index:-251653094;visibility:visible">
          <v:imagedata r:id="rId446"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5971e36e-a4f3-4c43-a3d9-46a393d98e7f" type="##_x0000_t75" o:allowincell="f" style="position:absolute;margin-left:0pt;margin-top:0pt;width:467.2pt;height:293.8pt;mso-position-horizontal-relative:margin;mso-position-vertical-relative:margin;mso-position-horizontal:center;mso-position-vertical:center;z-index:-251652070;visibility:visible">
          <v:imagedata r:id="rId446"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01D595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11A731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4113156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490922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6D7DFDE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1F54A5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6B5168E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2A7540A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3C33F89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566CC34E"/>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1F73E90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6ED906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5109E4D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69BEDE9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5013E4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61369F9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57E644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173493D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4537022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color w:val="auto"/>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0815F49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2C51C38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3C3296C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06B3478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67CC27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7F5383C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6DAC18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324DD0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360F10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5A90147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1E9223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7F3EB4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0B091B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6002E01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7F55DD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5068C6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4EA3DD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4045098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0EC8E5C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706B276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501B9B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66C4F71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17AF90E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167EE9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26DF924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405DC46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13759BB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5E88DE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76F1823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26E7449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41229A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7B304A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27D2170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3E9B884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67BBF6E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69A613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45A2FEE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0AF3E9A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9">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1">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
    <w:lvlOverride w:ilvl="0">
      <w:startOverride w:val="1"/>
    </w:lvlOverride>
    <w:lvlOverride w:ilvl="1">
      <w:startOverride w:val="1"/>
    </w:lvlOverride>
    <w:lvlOverride w:ilvl="2">
      <w:startOverride w:val="1"/>
    </w:lvlOverride>
    <w:lvlOverride w:ilvl="3">
      <w:startOverride w:val="1"/>
    </w:lvlOverride>
  </w:num>
  <w:num w:numId="823">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7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7" Type="http://schemas.openxmlformats.org/officeDocument/2006/relationships/styles" Target="styles.xml" /><Relationship Id="rId448" Type="http://schemas.openxmlformats.org/officeDocument/2006/relationships/settings" Target="settings.xml" /><Relationship Id="rId449" Type="http://schemas.openxmlformats.org/officeDocument/2006/relationships/theme" Target="theme/theme1.xml" /><Relationship Id="rId450" Type="http://schemas.openxmlformats.org/officeDocument/2006/relationships/numbering" Target="numbering.xml" /><Relationship Id="rId45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5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3"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0B1FE-3332-4C81-A91B-CB3A04A34ECA}">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1705</TotalTime>
  <Pages>527</Pages>
  <Words>140966</Words>
  <Characters>803510</Characters>
  <Application>Microsoft Office Word</Application>
  <DocSecurity>0</DocSecurity>
  <Lines>6695</Lines>
  <Paragraphs>1885</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2019-12-08T22:45:00Z</cp:lastPrinted>
  <cp:revision>39</cp:revision>
  <dcterms:created xsi:type="dcterms:W3CDTF">2019-07-09T16:54:00Z</dcterms:created>
  <dcterms:modified xsi:type="dcterms:W3CDTF">2019-12-12T21:04:00Z</dcterms:modified>
</cp:coreProperties>
</file>