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90.xml" ContentType="application/vnd.openxmlformats-officedocument.wordprocessingml.footer+xml"/>
  <Override PartName="/word/footer204.xml" ContentType="application/vnd.openxmlformats-officedocument.wordprocessingml.footer+xml"/>
  <Override PartName="/word/footer235.xml" ContentType="application/vnd.openxmlformats-officedocument.wordprocessingml.footer+xml"/>
  <Override PartName="/word/footer257.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81.xml" ContentType="application/vnd.openxmlformats-officedocument.wordprocessingml.footer+xml"/>
  <Override PartName="/word/footer301.xml" ContentType="application/vnd.openxmlformats-officedocument.wordprocessingml.footer+xml"/>
  <Override PartName="/word/footer335.xml" ContentType="application/vnd.openxmlformats-officedocument.wordprocessingml.footer+xml"/>
  <Override PartName="/word/footer350.xml" ContentType="application/vnd.openxmlformats-officedocument.wordprocessingml.footer+xml"/>
  <Override PartName="/word/footer376.xml" ContentType="application/vnd.openxmlformats-officedocument.wordprocessingml.footer+xml"/>
  <Override PartName="/word/footer386.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1.xml" ContentType="application/vnd.openxmlformats-officedocument.wordprocessingml.header+xml"/>
  <Override PartName="/word/header189.xml" ContentType="application/vnd.openxmlformats-officedocument.wordprocessingml.header+xml"/>
  <Override PartName="/word/header203.xml" ContentType="application/vnd.openxmlformats-officedocument.wordprocessingml.header+xml"/>
  <Override PartName="/word/header234.xml" ContentType="application/vnd.openxmlformats-officedocument.wordprocessingml.header+xml"/>
  <Override PartName="/word/header256.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80.xml" ContentType="application/vnd.openxmlformats-officedocument.wordprocessingml.header+xml"/>
  <Override PartName="/word/header300.xml" ContentType="application/vnd.openxmlformats-officedocument.wordprocessingml.header+xml"/>
  <Override PartName="/word/header334.xml" ContentType="application/vnd.openxmlformats-officedocument.wordprocessingml.header+xml"/>
  <Override PartName="/word/header349.xml" ContentType="application/vnd.openxmlformats-officedocument.wordprocessingml.header+xml"/>
  <Override PartName="/word/header375.xml" ContentType="application/vnd.openxmlformats-officedocument.wordprocessingml.header+xml"/>
  <Override PartName="/word/header385.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6.xml" ContentType="application/vnd.openxmlformats-officedocument.wordprocessingml.footer+xml"/>
  <Override PartName="/word/footer188.xml" ContentType="application/vnd.openxmlformats-officedocument.wordprocessingml.footer+xml"/>
  <Override PartName="/word/footer202.xml" ContentType="application/vnd.openxmlformats-officedocument.wordprocessingml.footer+xml"/>
  <Override PartName="/word/footer233.xml" ContentType="application/vnd.openxmlformats-officedocument.wordprocessingml.footer+xml"/>
  <Override PartName="/word/footer255.xml" ContentType="application/vnd.openxmlformats-officedocument.wordprocessingml.footer+xml"/>
  <Override PartName="/word/footer265.xml" ContentType="application/vnd.openxmlformats-officedocument.wordprocessingml.footer+xml"/>
  <Override PartName="/word/footer271.xml" ContentType="application/vnd.openxmlformats-officedocument.wordprocessingml.footer+xml"/>
  <Override PartName="/word/footer279.xml" ContentType="application/vnd.openxmlformats-officedocument.wordprocessingml.footer+xml"/>
  <Override PartName="/word/footer299.xml" ContentType="application/vnd.openxmlformats-officedocument.wordprocessingml.footer+xml"/>
  <Override PartName="/word/footer333.xml" ContentType="application/vnd.openxmlformats-officedocument.wordprocessingml.footer+xml"/>
  <Override PartName="/word/footer348.xml" ContentType="application/vnd.openxmlformats-officedocument.wordprocessingml.footer+xml"/>
  <Override PartName="/word/footer374.xml" ContentType="application/vnd.openxmlformats-officedocument.wordprocessingml.footer+xml"/>
  <Override PartName="/word/footer384.xml" ContentType="application/vnd.openxmlformats-officedocument.wordprocessingml.footer+xml"/>
  <Override PartName="/word/footer391.xml" ContentType="application/vnd.openxmlformats-officedocument.wordprocessingml.footer+xml"/>
  <Override PartName="/word/footer397.xml" ContentType="application/vnd.openxmlformats-officedocument.wordprocessingml.footer+xml"/>
  <Override PartName="/word/footer419.xml" ContentType="application/vnd.openxmlformats-officedocument.wordprocessingml.footer+xml"/>
  <Override PartName="/word/footer425.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5.xml" ContentType="application/vnd.openxmlformats-officedocument.wordprocessingml.header+xml"/>
  <Override PartName="/word/header180.xml" ContentType="application/vnd.openxmlformats-officedocument.wordprocessingml.header+xml"/>
  <Override PartName="/word/header187.xml" ContentType="application/vnd.openxmlformats-officedocument.wordprocessingml.header+xml"/>
  <Override PartName="/word/header201.xml" ContentType="application/vnd.openxmlformats-officedocument.wordprocessingml.header+xml"/>
  <Override PartName="/word/header232.xml" ContentType="application/vnd.openxmlformats-officedocument.wordprocessingml.header+xml"/>
  <Override PartName="/word/header254.xml" ContentType="application/vnd.openxmlformats-officedocument.wordprocessingml.header+xml"/>
  <Override PartName="/word/header264.xml" ContentType="application/vnd.openxmlformats-officedocument.wordprocessingml.header+xml"/>
  <Override PartName="/word/header270.xml" ContentType="application/vnd.openxmlformats-officedocument.wordprocessingml.header+xml"/>
  <Override PartName="/word/header278.xml" ContentType="application/vnd.openxmlformats-officedocument.wordprocessingml.header+xml"/>
  <Override PartName="/word/header298.xml" ContentType="application/vnd.openxmlformats-officedocument.wordprocessingml.header+xml"/>
  <Override PartName="/word/header332.xml" ContentType="application/vnd.openxmlformats-officedocument.wordprocessingml.header+xml"/>
  <Override PartName="/word/header347.xml" ContentType="application/vnd.openxmlformats-officedocument.wordprocessingml.header+xml"/>
  <Override PartName="/word/header373.xml" ContentType="application/vnd.openxmlformats-officedocument.wordprocessingml.header+xml"/>
  <Override PartName="/word/header383.xml" ContentType="application/vnd.openxmlformats-officedocument.wordprocessingml.header+xml"/>
  <Override PartName="/word/header390.xml" ContentType="application/vnd.openxmlformats-officedocument.wordprocessingml.header+xml"/>
  <Override PartName="/word/header396.xml" ContentType="application/vnd.openxmlformats-officedocument.wordprocessingml.header+xml"/>
  <Override PartName="/word/header418.xml" ContentType="application/vnd.openxmlformats-officedocument.wordprocessingml.header+xml"/>
  <Override PartName="/word/header424.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9.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footer447.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3.xml" ContentType="application/vnd.openxmlformats-officedocument.wordprocessingml.header+xml"/>
  <Override PartName="/word/header178.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6.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Override PartName="/word/header446.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6"/>
        </w:numPr>
        <w:spacing w:line="480" w:lineRule="auto"/>
        <w:rPr>
          <w:sz w:val="24"/>
          <w:szCs w:val="24"/>
        </w:rPr>
      </w:pPr>
      <w:r>
        <w:rPr>
          <w:sz w:val="24"/>
          <w:szCs w:val="24"/>
        </w:rPr>
        <w:t xml:space="preserve">INTRODUCTION</w:t>
      </w:r>
    </w:p>
    <w:p>
      <w:pPr>
        <w:pStyle w:val="ABCgood"/>
        <w:numPr>
          <w:ilvl w:val="1"/>
          <w:numId w:val="456"/>
        </w:numPr>
        <w:spacing w:line="480" w:lineRule="auto"/>
        <w:rPr>
          <w:sz w:val="24"/>
          <w:szCs w:val="24"/>
        </w:rPr>
      </w:pPr>
      <w:r>
        <w:rPr>
          <w:sz w:val="24"/>
          <w:szCs w:val="24"/>
        </w:rPr>
        <w:t xml:space="preserve">OVERVIEW</w:t>
      </w:r>
    </w:p>
    <w:p>
      <w:pPr>
        <w:pStyle w:val="ABCgood"/>
        <w:numPr>
          <w:ilvl w:val="1"/>
          <w:numId w:val="456"/>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6"/>
        </w:numPr>
        <w:spacing w:line="480" w:lineRule="auto"/>
        <w:rPr>
          <w:sz w:val="24"/>
          <w:szCs w:val="24"/>
        </w:rPr>
      </w:pPr>
      <w:r>
        <w:rPr>
          <w:sz w:val="24"/>
          <w:szCs w:val="24"/>
        </w:rPr>
        <w:t xml:space="preserve">SCREENING FOR EXCLUDED INDIVIDUALS AND ENTITIES</w:t>
      </w:r>
    </w:p>
    <w:p>
      <w:pPr>
        <w:pStyle w:val="ParagraphStyle1"/>
        <w:numPr>
          <w:ilvl w:val="0"/>
          <w:numId w:val="456"/>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6"/>
        </w:numPr>
        <w:spacing w:line="480" w:lineRule="auto"/>
        <w:rPr>
          <w:sz w:val="24"/>
          <w:szCs w:val="24"/>
        </w:rPr>
      </w:pPr>
      <w:r>
        <w:rPr>
          <w:sz w:val="24"/>
          <w:szCs w:val="24"/>
        </w:rPr>
        <w:t xml:space="preserve">PROCEDURES, DIRECTIVES, POLICIES, AND GUIDANCE</w:t>
      </w:r>
    </w:p>
    <w:p>
      <w:pPr>
        <w:pStyle w:val="ABCgood"/>
        <w:numPr>
          <w:ilvl w:val="1"/>
          <w:numId w:val="456"/>
        </w:numPr>
        <w:spacing w:line="480" w:lineRule="auto"/>
        <w:rPr>
          <w:sz w:val="24"/>
          <w:szCs w:val="24"/>
        </w:rPr>
      </w:pPr>
      <w:r>
        <w:rPr>
          <w:sz w:val="24"/>
          <w:szCs w:val="24"/>
        </w:rPr>
        <w:t xml:space="preserve">IMPLEMENTING WRITTEN POLICIES, PROCEDURES, AND STANDARDS OF CONDUCT</w:t>
      </w:r>
    </w:p>
    <w:p>
      <w:pPr>
        <w:pStyle w:val="ABCgood"/>
        <w:numPr>
          <w:ilvl w:val="1"/>
          <w:numId w:val="456"/>
        </w:numPr>
        <w:spacing w:line="480" w:lineRule="auto"/>
        <w:rPr>
          <w:sz w:val="24"/>
          <w:szCs w:val="24"/>
        </w:rPr>
      </w:pPr>
      <w:r>
        <w:rPr>
          <w:sz w:val="24"/>
          <w:szCs w:val="24"/>
        </w:rPr>
        <w:t xml:space="preserve">EFFECTIVE EDUCATION AND TRAINING PROGRAMS</w:t>
      </w:r>
    </w:p>
    <w:p>
      <w:pPr>
        <w:pStyle w:val="ABCgood"/>
        <w:numPr>
          <w:ilvl w:val="1"/>
          <w:numId w:val="456"/>
        </w:numPr>
        <w:spacing w:line="480" w:lineRule="auto"/>
        <w:rPr>
          <w:sz w:val="24"/>
          <w:szCs w:val="24"/>
        </w:rPr>
      </w:pPr>
      <w:r>
        <w:rPr>
          <w:sz w:val="24"/>
          <w:szCs w:val="24"/>
        </w:rPr>
        <w:t xml:space="preserve">REPORTING SYSTEM AND DEVELOPING OPEN LINES OF COMMUNICATION</w:t>
      </w:r>
    </w:p>
    <w:p>
      <w:pPr>
        <w:pStyle w:val="ABCgood"/>
        <w:numPr>
          <w:ilvl w:val="1"/>
          <w:numId w:val="456"/>
        </w:numPr>
        <w:spacing w:line="480" w:lineRule="auto"/>
        <w:rPr>
          <w:sz w:val="24"/>
          <w:szCs w:val="24"/>
        </w:rPr>
      </w:pPr>
      <w:r>
        <w:rPr>
          <w:sz w:val="24"/>
          <w:szCs w:val="24"/>
        </w:rPr>
        <w:t xml:space="preserve">ENFORCING DISCIPLINARY STANDARDS THROUGH WELL-PUBLICIZED GUIDELINES</w:t>
      </w:r>
    </w:p>
    <w:p>
      <w:pPr>
        <w:pStyle w:val="ABCgood"/>
        <w:numPr>
          <w:ilvl w:val="1"/>
          <w:numId w:val="456"/>
        </w:numPr>
        <w:spacing w:line="480" w:lineRule="auto"/>
        <w:rPr>
          <w:sz w:val="24"/>
          <w:szCs w:val="24"/>
        </w:rPr>
      </w:pPr>
      <w:r>
        <w:rPr>
          <w:sz w:val="24"/>
          <w:szCs w:val="24"/>
        </w:rPr>
        <w:t xml:space="preserve">POLICY OF NON-INTIMIDATION AND NON-RETALIATION</w:t>
      </w:r>
    </w:p>
    <w:p>
      <w:pPr>
        <w:pStyle w:val="ABCgood"/>
        <w:numPr>
          <w:ilvl w:val="1"/>
          <w:numId w:val="456"/>
        </w:numPr>
        <w:spacing w:line="480" w:lineRule="auto"/>
        <w:rPr>
          <w:sz w:val="24"/>
          <w:szCs w:val="24"/>
        </w:rPr>
      </w:pPr>
      <w:r>
        <w:rPr>
          <w:sz w:val="24"/>
          <w:szCs w:val="24"/>
        </w:rPr>
        <w:t xml:space="preserve">CONDUCTING INTERNAL AUDITING AND MONITORING</w:t>
      </w:r>
    </w:p>
    <w:p>
      <w:pPr>
        <w:pStyle w:val="ABCgood"/>
        <w:numPr>
          <w:ilvl w:val="1"/>
          <w:numId w:val="456"/>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6"/>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6"/>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2"/>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2"/>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2"/>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2"/>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2"/>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2"/>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2"/>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2"/>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2"/>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2"/>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8"/>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8"/>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8"/>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8"/>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8"/>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5"/>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5"/>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5"/>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5"/>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8"/>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8"/>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9"/>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9"/>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9"/>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9"/>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9"/>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9"/>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9"/>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9"/>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7"/>
        </w:numPr>
        <w:spacing w:line="480" w:lineRule="auto"/>
        <w:rPr>
          <w:sz w:val="24"/>
          <w:szCs w:val="24"/>
        </w:rPr>
      </w:pPr>
      <w:r>
        <w:rPr>
          <w:sz w:val="24"/>
          <w:szCs w:val="24"/>
        </w:rPr>
        <w:t xml:space="preserve">CODE OF CONDUCT</w:t>
      </w:r>
    </w:p>
    <w:p>
      <w:pPr>
        <w:pStyle w:val="ABCgood"/>
        <w:numPr>
          <w:ilvl w:val="1"/>
          <w:numId w:val="770"/>
        </w:numPr>
        <w:spacing w:line="480" w:lineRule="auto"/>
        <w:rPr>
          <w:sz w:val="24"/>
          <w:szCs w:val="24"/>
        </w:rPr>
      </w:pPr>
      <w:r>
        <w:rPr>
          <w:sz w:val="24"/>
          <w:szCs w:val="24"/>
        </w:rPr>
        <w:t xml:space="preserve">HONESTY AND LAWFUL CONDUCT </w:t>
      </w:r>
    </w:p>
    <w:p>
      <w:pPr>
        <w:pStyle w:val="ABCgood"/>
        <w:numPr>
          <w:ilvl w:val="1"/>
          <w:numId w:val="770"/>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70"/>
        </w:numPr>
        <w:spacing w:line="480" w:lineRule="auto"/>
        <w:rPr>
          <w:sz w:val="24"/>
          <w:szCs w:val="24"/>
        </w:rPr>
      </w:pPr>
      <w:r>
        <w:rPr>
          <w:sz w:val="24"/>
          <w:szCs w:val="24"/>
        </w:rPr>
        <w:t xml:space="preserve">QUESTIONS AND CONCERNS </w:t>
      </w:r>
    </w:p>
    <w:p>
      <w:pPr>
        <w:pStyle w:val="ABCgood"/>
        <w:numPr>
          <w:ilvl w:val="1"/>
          <w:numId w:val="770"/>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70"/>
        </w:numPr>
        <w:spacing w:before="100" w:line="480" w:lineRule="auto"/>
        <w:rPr>
          <w:sz w:val="24"/>
          <w:szCs w:val="24"/>
        </w:rPr>
      </w:pPr>
      <w:r>
        <w:rPr>
          <w:sz w:val="24"/>
          <w:szCs w:val="24"/>
        </w:rPr>
        <w:t xml:space="preserve">CODE OF CONDUCT STANDARDS </w:t>
      </w:r>
    </w:p>
    <w:p>
      <w:pPr>
        <w:pStyle w:val="ABCgood"/>
        <w:numPr>
          <w:ilvl w:val="1"/>
          <w:numId w:val="770"/>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70"/>
        </w:numPr>
        <w:spacing w:line="480" w:lineRule="auto"/>
        <w:rPr>
          <w:sz w:val="24"/>
          <w:szCs w:val="24"/>
        </w:rPr>
      </w:pPr>
      <w:r>
        <w:rPr>
          <w:sz w:val="24"/>
          <w:szCs w:val="24"/>
        </w:rPr>
        <w:t xml:space="preserve">STANDARDS RELATING TO QUALITY OF CARE AND SERVICES </w:t>
      </w:r>
    </w:p>
    <w:p>
      <w:pPr>
        <w:pStyle w:val="ABCgood"/>
        <w:numPr>
          <w:ilvl w:val="1"/>
          <w:numId w:val="770"/>
        </w:numPr>
        <w:spacing w:line="480" w:lineRule="auto"/>
        <w:rPr>
          <w:sz w:val="24"/>
          <w:szCs w:val="24"/>
        </w:rPr>
      </w:pPr>
      <w:r>
        <w:rPr>
          <w:sz w:val="24"/>
          <w:szCs w:val="24"/>
        </w:rPr>
        <w:t xml:space="preserve">STANDARDS RELATING TO BILLING AND CODING </w:t>
      </w:r>
    </w:p>
    <w:p>
      <w:pPr>
        <w:pStyle w:val="ABCgood"/>
        <w:numPr>
          <w:ilvl w:val="1"/>
          <w:numId w:val="770"/>
        </w:numPr>
        <w:spacing w:line="480" w:lineRule="auto"/>
        <w:rPr>
          <w:sz w:val="24"/>
          <w:szCs w:val="24"/>
        </w:rPr>
      </w:pPr>
      <w:r>
        <w:rPr>
          <w:sz w:val="24"/>
          <w:szCs w:val="24"/>
        </w:rPr>
        <w:t xml:space="preserve">STANDARDS RELATING TO BUSINESS PRACTICES </w:t>
      </w:r>
    </w:p>
    <w:p>
      <w:pPr>
        <w:pStyle w:val="ABCgood"/>
        <w:numPr>
          <w:ilvl w:val="1"/>
          <w:numId w:val="770"/>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70"/>
        </w:numPr>
        <w:spacing w:line="480" w:lineRule="auto"/>
        <w:rPr>
          <w:sz w:val="24"/>
          <w:szCs w:val="24"/>
        </w:rPr>
      </w:pPr>
      <w:r>
        <w:rPr>
          <w:sz w:val="24"/>
          <w:szCs w:val="24"/>
        </w:rPr>
        <w:t xml:space="preserve">STANDARDS RELATING TO CONFIDENTIALITY</w:t>
      </w:r>
    </w:p>
    <w:p>
      <w:pPr>
        <w:pStyle w:val="II"/>
        <w:numPr>
          <w:ilvl w:val="0"/>
          <w:numId w:val="770"/>
        </w:numPr>
        <w:spacing w:before="100" w:line="480" w:lineRule="auto"/>
        <w:rPr>
          <w:sz w:val="24"/>
          <w:szCs w:val="24"/>
        </w:rPr>
      </w:pPr>
      <w:r>
        <w:rPr>
          <w:sz w:val="24"/>
          <w:szCs w:val="24"/>
        </w:rPr>
        <w:t xml:space="preserve">EDUCATION </w:t>
      </w:r>
    </w:p>
    <w:p>
      <w:pPr>
        <w:pStyle w:val="IIIIII"/>
        <w:numPr>
          <w:ilvl w:val="0"/>
          <w:numId w:val="770"/>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70"/>
        </w:numPr>
        <w:spacing w:before="100" w:line="480" w:lineRule="auto"/>
        <w:rPr>
          <w:sz w:val="24"/>
          <w:szCs w:val="24"/>
        </w:rPr>
      </w:pPr>
      <w:r>
        <w:rPr>
          <w:sz w:val="24"/>
          <w:szCs w:val="24"/>
        </w:rPr>
        <w:t xml:space="preserve">REPORTING OF VIOLATIONS</w:t>
      </w:r>
    </w:p>
    <w:p>
      <w:pPr>
        <w:pStyle w:val="IIIIII"/>
        <w:numPr>
          <w:ilvl w:val="0"/>
          <w:numId w:val="770"/>
        </w:numPr>
        <w:spacing w:before="100" w:line="480" w:lineRule="auto"/>
        <w:rPr>
          <w:sz w:val="24"/>
          <w:szCs w:val="24"/>
        </w:rPr>
      </w:pPr>
      <w:r>
        <w:rPr>
          <w:sz w:val="24"/>
          <w:szCs w:val="24"/>
        </w:rPr>
        <w:t xml:space="preserve">DISCIPLINARY ACTION </w:t>
      </w:r>
    </w:p>
    <w:p>
      <w:pPr>
        <w:pStyle w:val="IIIIII"/>
        <w:numPr>
          <w:ilvl w:val="0"/>
          <w:numId w:val="770"/>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bookmarkStart w:id="20" w:name="_GoBack"/>
      <w:bookmarkEnd w:id="20"/>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9"/>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9"/>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9"/>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9"/>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9"/>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9"/>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9"/>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4"/>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4"/>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4"/>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4"/>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4"/>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4"/>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4"/>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4"/>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4"/>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4"/>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4"/>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4"/>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4"/>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4"/>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4"/>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4"/>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4"/>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4"/>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4"/>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4"/>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4"/>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7"/>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7"/>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7"/>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7"/>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7"/>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7"/>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7"/>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7"/>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7"/>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7"/>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7"/>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7"/>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5"/>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6"/>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3"/>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3"/>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3"/>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3"/>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1"/>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1"/>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1"/>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1"/>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1"/>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1"/>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1"/>
        </w:numPr>
        <w:spacing/>
        <w:jc w:val="both"/>
        <w:rPr>
          <w:rFonts w:ascii="Verdana" w:hAnsi="Verdana" w:eastAsia="Verdana"/>
        </w:rPr>
      </w:pPr>
      <w:r>
        <w:rPr>
          <w:rFonts w:ascii="Verdana" w:hAnsi="Verdana" w:eastAsia="Verdana"/>
        </w:rPr>
        <w:t xml:space="preserve">Trend analysis, and</w:t>
      </w:r>
    </w:p>
    <w:p>
      <w:pPr>
        <w:pStyle w:val="List"/>
        <w:numPr>
          <w:ilvl w:val="2"/>
          <w:numId w:val="771"/>
        </w:numPr>
        <w:spacing/>
        <w:jc w:val="both"/>
        <w:rPr>
          <w:rFonts w:ascii="Verdana" w:hAnsi="Verdana" w:eastAsia="Verdana"/>
        </w:rPr>
      </w:pPr>
      <w:r>
        <w:rPr>
          <w:rFonts w:ascii="Verdana" w:hAnsi="Verdana" w:eastAsia="Verdana"/>
        </w:rPr>
        <w:t xml:space="preserve">On-site visits.  </w:t>
      </w:r>
    </w:p>
    <w:p>
      <w:pPr>
        <w:pStyle w:val="List"/>
        <w:numPr>
          <w:ilvl w:val="0"/>
          <w:numId w:val="771"/>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1"/>
        </w:numPr>
        <w:spacing/>
        <w:jc w:val="both"/>
        <w:rPr>
          <w:rFonts w:ascii="Verdana" w:hAnsi="Verdana" w:eastAsia="Verdana"/>
        </w:rPr>
      </w:pPr>
      <w:r>
        <w:rPr>
          <w:rFonts w:ascii="Verdana" w:hAnsi="Verdana" w:eastAsia="Cambria"/>
        </w:rPr>
        <w:t xml:space="preserve">billings;</w:t>
      </w:r>
    </w:p>
    <w:p>
      <w:pPr>
        <w:pStyle w:val="List"/>
        <w:numPr>
          <w:ilvl w:val="1"/>
          <w:numId w:val="771"/>
        </w:numPr>
        <w:spacing/>
        <w:jc w:val="both"/>
        <w:rPr>
          <w:rFonts w:ascii="Verdana" w:hAnsi="Verdana" w:eastAsia="Verdana"/>
        </w:rPr>
      </w:pPr>
      <w:r>
        <w:rPr>
          <w:rFonts w:ascii="Verdana" w:hAnsi="Verdana" w:eastAsia="Cambria"/>
        </w:rPr>
        <w:t xml:space="preserve">payments;</w:t>
      </w:r>
    </w:p>
    <w:p>
      <w:pPr>
        <w:pStyle w:val="List"/>
        <w:numPr>
          <w:ilvl w:val="1"/>
          <w:numId w:val="771"/>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1"/>
        </w:numPr>
        <w:spacing/>
        <w:jc w:val="both"/>
        <w:rPr>
          <w:rFonts w:ascii="Verdana" w:hAnsi="Verdana" w:eastAsia="Verdana"/>
        </w:rPr>
      </w:pPr>
      <w:r>
        <w:rPr>
          <w:rFonts w:ascii="Verdana" w:hAnsi="Verdana" w:eastAsia="Cambria"/>
        </w:rPr>
        <w:t xml:space="preserve">governance;</w:t>
      </w:r>
    </w:p>
    <w:p>
      <w:pPr>
        <w:pStyle w:val="List"/>
        <w:numPr>
          <w:ilvl w:val="1"/>
          <w:numId w:val="771"/>
        </w:numPr>
        <w:spacing/>
        <w:jc w:val="both"/>
        <w:rPr>
          <w:rFonts w:ascii="Verdana" w:hAnsi="Verdana" w:eastAsia="Verdana"/>
        </w:rPr>
      </w:pPr>
      <w:r>
        <w:rPr>
          <w:rFonts w:ascii="Verdana" w:hAnsi="Verdana" w:eastAsia="Cambria"/>
        </w:rPr>
        <w:t xml:space="preserve">mandatory reporting;</w:t>
      </w:r>
    </w:p>
    <w:p>
      <w:pPr>
        <w:pStyle w:val="List"/>
        <w:numPr>
          <w:ilvl w:val="1"/>
          <w:numId w:val="771"/>
        </w:numPr>
        <w:spacing/>
        <w:jc w:val="both"/>
        <w:rPr>
          <w:rFonts w:ascii="Verdana" w:hAnsi="Verdana" w:eastAsia="Verdana"/>
        </w:rPr>
      </w:pPr>
      <w:r>
        <w:rPr>
          <w:rFonts w:ascii="Verdana" w:hAnsi="Verdana" w:eastAsia="Cambria"/>
        </w:rPr>
        <w:t xml:space="preserve">credentialing; and</w:t>
      </w:r>
    </w:p>
    <w:p>
      <w:pPr>
        <w:pStyle w:val="List"/>
        <w:numPr>
          <w:ilvl w:val="1"/>
          <w:numId w:val="771"/>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1"/>
        </w:numPr>
        <w:spacing/>
        <w:jc w:val="both"/>
        <w:rPr>
          <w:rFonts w:ascii="Verdana" w:hAnsi="Verdana" w:eastAsia="Verdana"/>
        </w:rPr>
      </w:pPr>
      <w:r>
        <w:rPr>
          <w:rFonts w:ascii="Verdana" w:hAnsi="Verdana" w:eastAsia="Verdana"/>
        </w:rPr>
        <w:t xml:space="preserve">Conducting the Audit</w:t>
      </w:r>
    </w:p>
    <w:p>
      <w:pPr>
        <w:pStyle w:val="List"/>
        <w:numPr>
          <w:ilvl w:val="1"/>
          <w:numId w:val="771"/>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1"/>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1"/>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1"/>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1"/>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1"/>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1"/>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1"/>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1"/>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1"/>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1"/>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1"/>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1"/>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1"/>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8"/>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8"/>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8"/>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8"/>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8"/>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8"/>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8"/>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8"/>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8"/>
        </w:numPr>
        <w:spacing/>
        <w:jc w:val="both"/>
        <w:rPr>
          <w:rFonts w:ascii="Verdana" w:hAnsi="Verdana" w:eastAsia="Verdana"/>
          <w:bCs/>
        </w:rPr>
      </w:pPr>
      <w:r>
        <w:rPr>
          <w:rFonts w:ascii="Verdana" w:hAnsi="Verdana" w:eastAsia="Verdana"/>
          <w:bCs/>
        </w:rPr>
        <w:t xml:space="preserve">“Make-up” Trainings</w:t>
      </w:r>
    </w:p>
    <w:p>
      <w:pPr>
        <w:pStyle w:val="List"/>
        <w:numPr>
          <w:ilvl w:val="1"/>
          <w:numId w:val="468"/>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8"/>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8"/>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8"/>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8"/>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9"/>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9"/>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9"/>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9"/>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9"/>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5"/>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5"/>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5"/>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5"/>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5"/>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5"/>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5"/>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7"/>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9"/>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4"/>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w:t>
      </w:r>
      <w:r>
        <w:rPr>
          <w:rFonts w:ascii="Verdana" w:hAnsi="Verdana" w:eastAsia="Verdana" w:cs="Times New Roman"/>
          <w:szCs w:val="24"/>
        </w:rPr>
        <w:t xml:space="preserve">,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4"/>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7"/>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7"/>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2"/>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6"/>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ascii="Verdana" w:hAnsi="Verdana" w:eastAsia="Verdana"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ascii="Verdana" w:hAnsi="Verdana" w:eastAsia="Verdana" w:cs="Times New Roman"/>
          <w:smallCaps/>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4" w:lineRule="auto"/>
        <w:ind w:left="10"/>
        <w:rPr>
          <w:rFonts w:ascii="Verdana" w:hAnsi="Verdana" w:eastAsia="Verdana" w:cs="Times New Roman"/>
          <w:szCs w:val="24"/>
        </w:rPr>
      </w:pPr>
      <w:r>
        <w:rPr>
          <w:rFonts w:ascii="Verdana" w:hAnsi="Verdana" w:eastAsia="Verdana" w:cs="Verdana"/>
          <w:szCs w:val="24"/>
        </w:rPr>
        <w:t xml:space="preserve">To ensure compliance with all fraud, waste, and abuse compliance and ethics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9" w:lineRule="auto"/>
        <w:ind w:left="10"/>
        <w:rPr>
          <w:rFonts w:ascii="Verdana" w:hAnsi="Verdana" w:eastAsia="Verdana"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compliance and ethics program and strives to educate its work force on fraud and abuse laws, including the importance of submitting accurate claims and reports to the federal and state governments. The Facility has instituted various procedures to ensure compliance 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PROCEDURE</w:t>
      </w:r>
    </w:p>
    <w:p>
      <w:pPr>
        <w:widowControl w:val="false"/>
        <w:numPr>
          <w:ilvl w:val="0"/>
          <w:numId w:val="808"/>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809"/>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809"/>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809"/>
        </w:numPr>
        <w:tabs>
          <w:tab w:val="num" w:pos="1830"/>
        </w:tabs>
        <w:overflowPunct w:val="false"/>
        <w:autoSpaceDE w:val="false"/>
        <w:autoSpaceDN w:val="false"/>
        <w:adjustRightInd w:val="false"/>
        <w:spacing w:after="0" w:line="249"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809"/>
        </w:numPr>
        <w:tabs>
          <w:tab w:val="num" w:pos="1830"/>
        </w:tabs>
        <w:overflowPunct w:val="false"/>
        <w:autoSpaceDE w:val="false"/>
        <w:autoSpaceDN w:val="false"/>
        <w:adjustRightInd w:val="false"/>
        <w:spacing w:after="0" w:line="261"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809"/>
        </w:numPr>
        <w:tabs>
          <w:tab w:val="num" w:pos="1830"/>
        </w:tabs>
        <w:overflowPunct w:val="false"/>
        <w:autoSpaceDE w:val="false"/>
        <w:autoSpaceDN w:val="false"/>
        <w:adjustRightInd w:val="false"/>
        <w:spacing w:after="0" w:line="264"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809"/>
        </w:numPr>
        <w:tabs>
          <w:tab w:val="num" w:pos="1830"/>
        </w:tabs>
        <w:overflowPunct w:val="false"/>
        <w:autoSpaceDE w:val="false"/>
        <w:autoSpaceDN w:val="false"/>
        <w:adjustRightInd w:val="false"/>
        <w:spacing w:after="0" w:line="264"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809"/>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The Facility’s Compliance and Ethics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81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Compliance and Ethics Officer. All Associates can make a report either openly or anonymously by calling our Compliance and Ethics Hotline at (800) 610-2544.</w:t>
      </w:r>
    </w:p>
    <w:p>
      <w:pPr>
        <w:widowControl w:val="false"/>
        <w:numPr>
          <w:ilvl w:val="1"/>
          <w:numId w:val="810"/>
        </w:numPr>
        <w:overflowPunct w:val="false"/>
        <w:autoSpaceDE w:val="false"/>
        <w:autoSpaceDN w:val="false"/>
        <w:adjustRightInd w:val="false"/>
        <w:spacing w:after="0" w:line="244"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compliance and ethics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810"/>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810"/>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ascii="Verdana" w:hAnsi="Verdana" w:eastAsia="Verdana"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numPr>
          <w:ilvl w:val="0"/>
          <w:numId w:val="8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811"/>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811"/>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Provide detailed information about the Federal and</w:t>
      </w:r>
    </w:p>
    <w:p>
      <w:pPr>
        <w:widowControl w:val="false"/>
        <w:numPr>
          <w:ilvl w:val="3"/>
          <w:numId w:val="811"/>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811"/>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811"/>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811"/>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811"/>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811"/>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Federal Civil False Claims Act – 31 U.S.C. §§ 3729 – 3733</w:t>
      </w:r>
    </w:p>
    <w:p>
      <w:pPr>
        <w:widowControl w:val="false"/>
        <w:numPr>
          <w:ilvl w:val="1"/>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Examples of false claims include, but are not limited to: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or supply that was never provided;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resulting in an unreturned overpayment. </w:t>
      </w:r>
    </w:p>
    <w:p>
      <w:pPr>
        <w:pStyle w:val="ListParagraph"/>
        <w:widowControl w:val="false"/>
        <w:numPr>
          <w:ilvl w:val="1"/>
          <w:numId w:val="812"/>
        </w:numPr>
        <w:overflowPunct w:val="false"/>
        <w:autoSpaceDE w:val="false"/>
        <w:autoSpaceDN w:val="false"/>
        <w:adjustRightInd w:val="false"/>
        <w:spacing w:after="0" w:line="240" w:lineRule="auto"/>
        <w:jc w:val="both"/>
        <w:rPr>
          <w:rFonts w:ascii="Verdana" w:hAnsi="Verdana" w:eastAsia="Verdana" w:cs="Verdana"/>
          <w:sz w:val="24"/>
          <w:szCs w:val="24"/>
        </w:rPr>
      </w:pPr>
      <w:r>
        <w:rPr>
          <w:rFonts w:ascii="Verdana" w:hAnsi="Verdana" w:eastAsia="Verdana" w:cs="Verdana"/>
          <w:sz w:val="24"/>
          <w:szCs w:val="24"/>
        </w:rPr>
        <w:t xml:space="preserve">Penalties </w:t>
      </w:r>
    </w:p>
    <w:p>
      <w:pPr>
        <w:widowControl w:val="false"/>
        <w:numPr>
          <w:ilvl w:val="2"/>
          <w:numId w:val="81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pStyle w:val="ListParagraph"/>
        <w:widowControl w:val="false"/>
        <w:numPr>
          <w:ilvl w:val="1"/>
          <w:numId w:val="812"/>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Verdana"/>
          <w:i/>
          <w:iCs/>
          <w:sz w:val="24"/>
          <w:szCs w:val="24"/>
        </w:rPr>
        <w:t xml:space="preserve">Qui Tam </w:t>
      </w:r>
      <w:r>
        <w:rPr>
          <w:rFonts w:ascii="Verdana" w:hAnsi="Verdana" w:eastAsia="Verdana" w:cs="Verdana"/>
          <w:sz w:val="24"/>
          <w:szCs w:val="24"/>
        </w:rPr>
        <w:t xml:space="preserve">Provisions</w:t>
      </w:r>
    </w:p>
    <w:p>
      <w:pPr>
        <w:widowControl w:val="false"/>
        <w:numPr>
          <w:ilvl w:val="2"/>
          <w:numId w:val="812"/>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81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812"/>
        </w:numPr>
        <w:overflowPunct w:val="false"/>
        <w:autoSpaceDE w:val="false"/>
        <w:autoSpaceDN w:val="false"/>
        <w:adjustRightInd w:val="false"/>
        <w:spacing w:after="0" w:line="237"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812"/>
        </w:numPr>
        <w:autoSpaceDE w:val="false"/>
        <w:autoSpaceDN w:val="false"/>
        <w:adjustRightInd w:val="false"/>
        <w:spacing w:after="0" w:line="240" w:lineRule="auto"/>
        <w:jc w:val="left"/>
        <w:rPr>
          <w:rFonts w:ascii="Verdana" w:hAnsi="Verdana" w:eastAsia="Verdana" w:cs="Times New Roman"/>
          <w:szCs w:val="24"/>
        </w:rPr>
      </w:pPr>
      <w:r>
        <w:rPr>
          <w:rFonts w:ascii="Verdana" w:hAnsi="Verdana" w:eastAsia="Verdana" w:cs="Verdana"/>
          <w:szCs w:val="24"/>
        </w:rPr>
        <w:t xml:space="preserve">Federal False Statements Statute – 42 U.S.C. § 1320a-7b(a)</w:t>
      </w:r>
    </w:p>
    <w:p>
      <w:pPr>
        <w:widowControl w:val="false"/>
        <w:numPr>
          <w:ilvl w:val="1"/>
          <w:numId w:val="812"/>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any “person” that “knowingly” and “willfully” makes false statements in connection with the delivery </w:t>
      </w:r>
      <w:r>
        <w:rPr>
          <w:rFonts w:ascii="Verdana" w:hAnsi="Verdana" w:eastAsia="Verdana" w:cs="Verdana"/>
          <w:szCs w:val="24"/>
        </w:rPr>
        <w:t xml:space="preserve">or payment of health care benefits, items, or services payable in United States government funds is subject to significant fines and imprisonment.</w:t>
      </w:r>
    </w:p>
    <w:p>
      <w:pPr>
        <w:widowControl w:val="false"/>
        <w:numPr>
          <w:ilvl w:val="2"/>
          <w:numId w:val="812"/>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812"/>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812"/>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813"/>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813"/>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813"/>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814"/>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814"/>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814"/>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814"/>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815"/>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815"/>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Violations by all other persons not furnishing health care items or </w:t>
      </w:r>
      <w:r>
        <w:rPr>
          <w:rFonts w:ascii="Verdana" w:hAnsi="Verdana" w:eastAsia="Verdana" w:cs="Verdana"/>
          <w:szCs w:val="24"/>
        </w:rPr>
        <w:t xml:space="preserve">services are misdemeanors and are subject to fines up to $10,000 and/or imprisonment for up to one (1) year. </w:t>
      </w:r>
    </w:p>
    <w:p>
      <w:pPr>
        <w:pStyle w:val="ListParagraph"/>
        <w:widowControl w:val="false"/>
        <w:numPr>
          <w:ilvl w:val="0"/>
          <w:numId w:val="812"/>
        </w:numPr>
        <w:overflowPunct w:val="false"/>
        <w:autoSpaceDE w:val="false"/>
        <w:autoSpaceDN w:val="false"/>
        <w:adjustRightInd w:val="false"/>
        <w:spacing w:after="0" w:line="261" w:lineRule="auto"/>
        <w:jc w:val="both"/>
        <w:rPr>
          <w:rFonts w:ascii="Verdana" w:hAnsi="Verdana" w:eastAsia="Verdana" w:cs="Times New Roman"/>
          <w:sz w:val="24"/>
          <w:szCs w:val="24"/>
        </w:rPr>
      </w:pPr>
      <w:r>
        <w:rPr>
          <w:rFonts w:ascii="Verdana" w:hAnsi="Verdana" w:eastAsia="Verdana" w:cs="Verdana"/>
          <w:sz w:val="24"/>
          <w:szCs w:val="24"/>
        </w:rPr>
        <w:t xml:space="preserve">Federal Health Care Fraud Statute – 18 U.S.C. § 1347</w:t>
      </w:r>
    </w:p>
    <w:p>
      <w:pPr>
        <w:widowControl w:val="false"/>
        <w:numPr>
          <w:ilvl w:val="1"/>
          <w:numId w:val="812"/>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812"/>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812"/>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812"/>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816"/>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816"/>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816"/>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pStyle w:val="ListParagraph"/>
        <w:widowControl w:val="false"/>
        <w:numPr>
          <w:ilvl w:val="0"/>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Federal Criminal False Claims Act – 18 U.S.C.A. §§ 286-287</w:t>
      </w:r>
    </w:p>
    <w:p>
      <w:pPr>
        <w:widowControl w:val="false"/>
        <w:numPr>
          <w:ilvl w:val="1"/>
          <w:numId w:val="817"/>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817"/>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pStyle w:val="ListParagraph"/>
        <w:widowControl w:val="false"/>
        <w:numPr>
          <w:ilvl w:val="0"/>
          <w:numId w:val="812"/>
        </w:numPr>
        <w:overflowPunct w:val="false"/>
        <w:autoSpaceDE w:val="false"/>
        <w:autoSpaceDN w:val="false"/>
        <w:adjustRightInd w:val="false"/>
        <w:spacing w:after="0" w:line="261" w:lineRule="auto"/>
        <w:rPr>
          <w:rFonts w:ascii="Verdana" w:hAnsi="Verdana" w:eastAsia="Verdana" w:cs="Times New Roman"/>
          <w:sz w:val="24"/>
          <w:szCs w:val="24"/>
        </w:rPr>
      </w:pPr>
      <w:r>
        <w:rPr>
          <w:rFonts w:ascii="Verdana" w:hAnsi="Verdana" w:eastAsia="Verdana" w:cs="Verdana"/>
          <w:sz w:val="24"/>
          <w:szCs w:val="24"/>
        </w:rPr>
        <w:t xml:space="preserve">The Program Fraud Civil Remedies Act (“PFCRA”) – 31 U.S.C. 3801-3812</w:t>
      </w:r>
    </w:p>
    <w:p>
      <w:pPr>
        <w:widowControl w:val="false"/>
        <w:numPr>
          <w:ilvl w:val="1"/>
          <w:numId w:val="812"/>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81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81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818"/>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818"/>
        </w:numPr>
        <w:overflowPunct w:val="false"/>
        <w:autoSpaceDE w:val="false"/>
        <w:autoSpaceDN w:val="false"/>
        <w:adjustRightInd w:val="false"/>
        <w:spacing w:after="0" w:line="261" w:lineRule="auto"/>
        <w:ind w:left="1980"/>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818"/>
        </w:numPr>
        <w:overflowPunct w:val="false"/>
        <w:autoSpaceDE w:val="false"/>
        <w:autoSpaceDN w:val="false"/>
        <w:adjustRightInd w:val="false"/>
        <w:spacing w:after="0" w:line="244" w:lineRule="auto"/>
        <w:ind w:left="1980"/>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818"/>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818"/>
        </w:numPr>
        <w:overflowPunct w:val="false"/>
        <w:autoSpaceDE w:val="false"/>
        <w:autoSpaceDN w:val="false"/>
        <w:adjustRightInd w:val="false"/>
        <w:spacing w:after="0" w:line="249" w:lineRule="auto"/>
        <w:ind w:left="1980"/>
        <w:rPr>
          <w:rFonts w:ascii="Verdana" w:hAnsi="Verdana" w:eastAsia="Verdana"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818"/>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819"/>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 claim for a Medicare item or service that the person knows </w:t>
      </w:r>
      <w:r>
        <w:rPr>
          <w:rFonts w:ascii="Verdana" w:hAnsi="Verdana" w:eastAsia="Verdana" w:cs="Verdana"/>
          <w:szCs w:val="24"/>
        </w:rPr>
        <w:t xml:space="preserve">or should know is false or fraudulent. </w:t>
      </w:r>
    </w:p>
    <w:p>
      <w:pPr>
        <w:widowControl w:val="false"/>
        <w:numPr>
          <w:ilvl w:val="2"/>
          <w:numId w:val="81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819"/>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819"/>
        </w:numPr>
        <w:overflowPunct w:val="false"/>
        <w:autoSpaceDE w:val="false"/>
        <w:autoSpaceDN w:val="false"/>
        <w:adjustRightInd w:val="false"/>
        <w:spacing w:after="0" w:line="283"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820"/>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82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820"/>
        </w:numPr>
        <w:overflowPunct w:val="false"/>
        <w:autoSpaceDE w:val="false"/>
        <w:autoSpaceDN w:val="false"/>
        <w:adjustRightInd w:val="false"/>
        <w:spacing w:after="0" w:line="244"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820"/>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820"/>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820"/>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The United States Attorney General may authorize the Secretary of</w:t>
      </w:r>
      <w:r>
        <w:rPr>
          <w:rFonts w:ascii="Verdana" w:hAnsi="Verdana" w:eastAsia="Verdana"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820"/>
        </w:numPr>
        <w:overflowPunct w:val="false"/>
        <w:autoSpaceDE w:val="false"/>
        <w:autoSpaceDN w:val="false"/>
        <w:adjustRightInd w:val="false"/>
        <w:spacing w:after="0" w:line="249" w:lineRule="auto"/>
        <w:ind w:left="126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820"/>
        </w:numPr>
        <w:overflowPunct w:val="false"/>
        <w:autoSpaceDE w:val="false"/>
        <w:autoSpaceDN w:val="false"/>
        <w:adjustRightInd w:val="false"/>
        <w:spacing w:after="0" w:line="249" w:lineRule="auto"/>
        <w:ind w:left="126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w:t>
      </w:r>
      <w:bookmarkStart w:id="25" w:name="_Hlk21259296"/>
      <w:r>
        <w:rPr>
          <w:rFonts w:ascii="Verdana" w:hAnsi="Verdana" w:eastAsia="Verdana" w:cs="Verdana"/>
          <w:sz w:val="24"/>
          <w:szCs w:val="24"/>
        </w:rPr>
        <w:t xml:space="preserve">Massachusetts False Claims Act (Mass. Gen. Laws ch. 12, § 5A-5O)</w:t>
      </w:r>
    </w:p>
    <w:bookmarkEnd w:id="25"/>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Massachusetts False Claims Act (the “MA FCA”) prohibits, among other things, knowingly presenting (or causing to be presented) a false or fraudulent claim or making or using (or causing to be made or used) a false record or statement, to obtain payment or approval of a claim by the Commonwealth or any Massachusetts agency.</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Penalty for Unlawful Conduct</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civil penalty for violating the MA FCA is a minimum of $5,000, and up to $10,000, for each violation. In addition to the penalty, a provider could be found liable for up to three times the amount of damages, including consequential damages, that the Commonwealth sustains. The provider also may be liable for the costs associated with bringing the action, including attorney’s fees.</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i/>
          <w:iCs/>
          <w:sz w:val="24"/>
          <w:szCs w:val="24"/>
        </w:rPr>
        <w:t xml:space="preserve">Qui Tam</w:t>
      </w:r>
      <w:r>
        <w:rPr>
          <w:rFonts w:ascii="Verdana" w:hAnsi="Verdana" w:eastAsia="Verdana" w:cs="Verdana"/>
          <w:sz w:val="24"/>
          <w:szCs w:val="24"/>
        </w:rPr>
        <w:t xml:space="preserve"> Provisions</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MA FCA allows an individual to bring a civil suit, called a </w:t>
      </w:r>
      <w:r>
        <w:rPr>
          <w:rFonts w:ascii="Verdana" w:hAnsi="Verdana" w:eastAsia="Verdana" w:cs="Verdana"/>
          <w:i/>
          <w:iCs/>
          <w:sz w:val="24"/>
          <w:szCs w:val="24"/>
        </w:rPr>
        <w:t xml:space="preserve">qui tam</w:t>
      </w:r>
      <w:r>
        <w:rPr>
          <w:rFonts w:ascii="Verdana" w:hAnsi="Verdana" w:eastAsia="Verdana" w:cs="Verdana"/>
          <w:sz w:val="24"/>
          <w:szCs w:val="24"/>
        </w:rPr>
        <w:t xml:space="preserve"> action, against a provider in the name of the Commonwealth of Massachusetts for a violation of the MA FCA. When an individual files the action, it remains under seal (not public) for a period of up to 120 days. The attorney general may choose to join in the lawsuit and assume primary responsibility for prosecuting, dismissing, or settling the action. If the attorney general chooses not to join the suit, the individual who initiated the lawsuit has the right to conduct the action independent of the attorney general. The attorney general also may proceed administratively to recover a civil penalty.</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may receive 25%-30% of any funds recovered through litigation; this figure is reduced to 15%-25% if the attorney general proceeds with the lawsuit. If a court finds that the plaintiff planned or initiated the violation, </w:t>
      </w:r>
      <w:r>
        <w:rPr>
          <w:rFonts w:ascii="Verdana" w:hAnsi="Verdana" w:eastAsia="Verdana" w:cs="Verdana"/>
          <w:sz w:val="24"/>
          <w:szCs w:val="24"/>
        </w:rPr>
        <w:t xml:space="preserve">the plaintiff’s share of the proceeds may be reduced and, if the plaintiff is found guilty of a crime associated with a violation of the MA FCA, no share will be awarded the plaintiff. Under certain other circumstances, however, the plaintiff’s award may be reduced to less than 10% of the recovery. In addition, if the attorney general decides not to join in the case and the court ultimately decides for the defendant, the court will award attorney’s fees and costs against the person bringing the action upon a finding of bad faith or that such claim was frivolous.</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Whistleblower Protection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MA FCA provides protection to employees from retaliation. Employers are prohibited from taking any adverse action against an employee who reports or refuses to participate in activity that is in violation of the MA FCA. An employee who is discharged, demoted, suspended, threatened, harassed, or discriminated against because of lawful acts conducted in furtherance of an action under the MA FCA or for reporting or refusing to participate in illegal conduct, may bring an action in the appropriate court for damages in the amount of three times lost wages, injunctive relief, and costs (including attorney’s fees).</w:t>
      </w:r>
    </w:p>
    <w:p>
      <w:pPr>
        <w:pStyle w:val="ListParagraph"/>
        <w:widowControl w:val="false"/>
        <w:numPr>
          <w:ilvl w:val="0"/>
          <w:numId w:val="812"/>
        </w:numPr>
        <w:overflowPunct w:val="false"/>
        <w:autoSpaceDE w:val="false"/>
        <w:autoSpaceDN w:val="false"/>
        <w:adjustRightInd w:val="false"/>
        <w:spacing w:after="0" w:line="249" w:lineRule="auto"/>
        <w:jc w:val="both"/>
        <w:rPr>
          <w:rFonts w:ascii="Verdana" w:hAnsi="Verdana" w:eastAsia="Verdana" w:cs="Verdana"/>
          <w:sz w:val="24"/>
          <w:szCs w:val="24"/>
        </w:rPr>
      </w:pPr>
      <w:bookmarkStart w:id="26" w:name="_Hlk21259328"/>
      <w:r>
        <w:rPr>
          <w:rFonts w:ascii="Verdana" w:hAnsi="Verdana" w:eastAsia="Verdana" w:cs="Verdana"/>
          <w:sz w:val="24"/>
          <w:szCs w:val="24"/>
        </w:rPr>
        <w:t xml:space="preserve">Medicaid False Claims Statute (Mass. Gen. Laws ch. 118E, §§ 39, 40, 41, 42, 43)</w:t>
      </w:r>
    </w:p>
    <w:bookmarkEnd w:id="26"/>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Remedies – False Representation or Statement for Eligibility; Penalty. </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Under this statute, any person or institution which knowingly makes a false representation or, contrary to a legal duty to do so, knowingly fails to disclose any material fact to the division or its agents affecting eligibility or level of benefits for the purpose of causing any person, including the person making such representations, to be supported in whole or in part by the commonwealth, or for the purpose of procuring a payment under any medical assistance program administered by the division, shall be punished by a fine of not less than two hundred nor more than five hundred dollars or by imprisonment for not more than one year.</w:t>
      </w:r>
    </w:p>
    <w:p>
      <w:pPr>
        <w:pStyle w:val="ListParagraph"/>
        <w:widowControl w:val="false"/>
        <w:numPr>
          <w:ilvl w:val="1"/>
          <w:numId w:val="812"/>
        </w:numPr>
        <w:overflowPunct w:val="false"/>
        <w:autoSpaceDE w:val="false"/>
        <w:autoSpaceDN w:val="false"/>
        <w:adjustRightInd w:val="false"/>
        <w:spacing w:line="249" w:lineRule="auto"/>
        <w:jc w:val="both"/>
        <w:rPr>
          <w:rFonts w:ascii="Verdana" w:hAnsi="Verdana" w:eastAsia="Verdana" w:cs="Verdana"/>
          <w:sz w:val="24"/>
          <w:szCs w:val="24"/>
        </w:rPr>
      </w:pPr>
      <w:r>
        <w:rPr>
          <w:rFonts w:ascii="Verdana" w:hAnsi="Verdana" w:eastAsia="Verdana" w:cs="Verdana"/>
          <w:sz w:val="24"/>
          <w:szCs w:val="24"/>
        </w:rPr>
        <w:t xml:space="preserve">Remedies – False Representation or Statement — To Secure Payment; Penalty. </w:t>
      </w:r>
    </w:p>
    <w:p>
      <w:pPr>
        <w:pStyle w:val="ListParagraph"/>
        <w:widowControl w:val="false"/>
        <w:numPr>
          <w:ilvl w:val="2"/>
          <w:numId w:val="812"/>
        </w:numPr>
        <w:overflowPunct w:val="false"/>
        <w:autoSpaceDE w:val="false"/>
        <w:autoSpaceDN w:val="false"/>
        <w:adjustRightInd w:val="false"/>
        <w:spacing w:line="249" w:lineRule="auto"/>
        <w:jc w:val="both"/>
        <w:rPr>
          <w:rFonts w:ascii="Verdana" w:hAnsi="Verdana" w:eastAsia="Verdana" w:cs="Verdana"/>
          <w:sz w:val="24"/>
          <w:szCs w:val="24"/>
        </w:rPr>
      </w:pPr>
      <w:r>
        <w:rPr>
          <w:rFonts w:ascii="Verdana" w:hAnsi="Verdana" w:eastAsia="Verdana" w:cs="Verdana"/>
          <w:sz w:val="24"/>
          <w:szCs w:val="24"/>
        </w:rPr>
        <w:t xml:space="preserve">Any person who furnishes items or services for which payment may be made under this statute, who: (1) knowingly and willfully makes or causes to be made any false </w:t>
      </w:r>
      <w:r>
        <w:rPr>
          <w:rFonts w:ascii="Verdana" w:hAnsi="Verdana" w:eastAsia="Verdana" w:cs="Verdana"/>
          <w:sz w:val="24"/>
          <w:szCs w:val="24"/>
        </w:rPr>
        <w:t xml:space="preserve">statement or representation of a material fact in any application for any benefit or payment under this statute; or (2) knowingly and willfully makes or causes to be made any false statement or representation of a material fact for use in determining rights to such benefit or payment; or (3) having knowledge of the occurrence of any event affecting his or her initial or continued right to any such benefit or payment, or the benefit of any other individual in whose behalf he or she has applied for or is receiving such benefit or payment, conceals or fails to disclose such an event with an intent fraudulently to secure such benefit or payment either in a greater amount or quantity than is due or when no such benefit or payment is authorized; or (4) having made application to receive any such benefit or payment for the use and benefit of another and having received it, knowingly and willfully converts such benefits or payment other than for the use and benefit of such person, shall be punished by a fine of not more than ten thousand dollars, or by imprisonment in the state prison for not more than five years or in a jail or house of correction for not more than two and one–half years, or by both such fine and imprisonment.</w:t>
      </w:r>
    </w:p>
    <w:p>
      <w:pPr>
        <w:pStyle w:val="ListParagraph"/>
        <w:widowControl w:val="false"/>
        <w:numPr>
          <w:ilvl w:val="2"/>
          <w:numId w:val="812"/>
        </w:numPr>
        <w:overflowPunct w:val="false"/>
        <w:autoSpaceDE w:val="false"/>
        <w:autoSpaceDN w:val="false"/>
        <w:adjustRightInd w:val="false"/>
        <w:spacing w:line="249" w:lineRule="auto"/>
        <w:jc w:val="both"/>
        <w:rPr>
          <w:rFonts w:ascii="Verdana" w:hAnsi="Verdana" w:eastAsia="Verdana" w:cs="Verdana"/>
          <w:sz w:val="24"/>
          <w:szCs w:val="24"/>
        </w:rPr>
      </w:pPr>
      <w:r>
        <w:rPr>
          <w:rFonts w:ascii="Verdana" w:hAnsi="Verdana" w:eastAsia="Verdana" w:cs="Verdana"/>
          <w:sz w:val="24"/>
          <w:szCs w:val="24"/>
        </w:rPr>
        <w:t xml:space="preserve">Any person who does not furnish items of services for which payment may be made under this section, who violates any of the provisions of clauses a. (1) to (4), inclusive, shall be punished by imprisonment in a jail or house of correction for not more than two and one–half years or by a fine of not more than five thousand dollars or by both such fine and imprisonment.</w:t>
      </w:r>
    </w:p>
    <w:p>
      <w:pPr>
        <w:pStyle w:val="ListParagraph"/>
        <w:widowControl w:val="false"/>
        <w:numPr>
          <w:ilvl w:val="1"/>
          <w:numId w:val="812"/>
        </w:numPr>
        <w:overflowPunct w:val="false"/>
        <w:autoSpaceDE w:val="false"/>
        <w:autoSpaceDN w:val="false"/>
        <w:adjustRightInd w:val="false"/>
        <w:spacing w:line="249" w:lineRule="auto"/>
        <w:jc w:val="both"/>
        <w:rPr>
          <w:rFonts w:ascii="Verdana" w:hAnsi="Verdana" w:eastAsia="Verdana" w:cs="Verdana"/>
          <w:sz w:val="24"/>
          <w:szCs w:val="24"/>
        </w:rPr>
      </w:pPr>
      <w:r>
        <w:rPr>
          <w:rFonts w:ascii="Verdana" w:hAnsi="Verdana" w:eastAsia="Verdana" w:cs="Verdana"/>
          <w:sz w:val="24"/>
          <w:szCs w:val="24"/>
        </w:rPr>
        <w:t xml:space="preserve">Remedies — Bribes or Rebates for Ordering or Recommending Services; Penalty; Exception.</w:t>
      </w:r>
    </w:p>
    <w:p>
      <w:pPr>
        <w:pStyle w:val="ListParagraph"/>
        <w:widowControl w:val="false"/>
        <w:numPr>
          <w:ilvl w:val="2"/>
          <w:numId w:val="812"/>
        </w:numPr>
        <w:overflowPunct w:val="false"/>
        <w:autoSpaceDE w:val="false"/>
        <w:autoSpaceDN w:val="false"/>
        <w:adjustRightInd w:val="false"/>
        <w:spacing w:line="249" w:lineRule="auto"/>
        <w:jc w:val="both"/>
        <w:rPr>
          <w:rFonts w:ascii="Verdana" w:hAnsi="Verdana" w:eastAsia="Verdana" w:cs="Verdana"/>
          <w:sz w:val="24"/>
          <w:szCs w:val="24"/>
        </w:rPr>
      </w:pPr>
      <w:r>
        <w:rPr>
          <w:rFonts w:ascii="Verdana" w:hAnsi="Verdana" w:eastAsia="Verdana" w:cs="Verdana"/>
          <w:sz w:val="24"/>
          <w:szCs w:val="24"/>
        </w:rPr>
        <w:t xml:space="preserve">Whoever solicits or receives any remuneration, including any bribe or rebate, directly or indirectly, overtly or covertly, in cash or in kind in return for purchasing, leasing, ordering or arranging for or recommending purchasing, leasing, or ordering any good, facility, service, or item for which payment may be made in whole or in part under this statute, or whoever offers or pays any remuneration, including any bribe or rebate, directly or indirectly, overtly or covertly, in cash or in kind to induce such person to purchase, lease, order, or arrange for or recommend purchasing, leasing, or </w:t>
      </w:r>
      <w:r>
        <w:rPr>
          <w:rFonts w:ascii="Verdana" w:hAnsi="Verdana" w:eastAsia="Verdana" w:cs="Verdana"/>
          <w:sz w:val="24"/>
          <w:szCs w:val="24"/>
        </w:rPr>
        <w:t xml:space="preserve">ordering any good, facility, service, or item for which payment may be made in whole or in part under this statute shall be punished by a fine of not more than ten thousand dollars, or by imprisonment in the state prison for not more than five years or in a jail or house of correction for not more than two and one–half years, or by both such fine and imprisonment.</w:t>
      </w:r>
    </w:p>
    <w:p>
      <w:pPr>
        <w:pStyle w:val="ListParagraph"/>
        <w:widowControl w:val="false"/>
        <w:numPr>
          <w:ilvl w:val="2"/>
          <w:numId w:val="812"/>
        </w:numPr>
        <w:overflowPunct w:val="false"/>
        <w:autoSpaceDE w:val="false"/>
        <w:autoSpaceDN w:val="false"/>
        <w:adjustRightInd w:val="false"/>
        <w:spacing w:line="249" w:lineRule="auto"/>
        <w:jc w:val="both"/>
        <w:rPr>
          <w:rFonts w:ascii="Verdana" w:hAnsi="Verdana" w:eastAsia="Verdana" w:cs="Verdana"/>
          <w:sz w:val="24"/>
          <w:szCs w:val="24"/>
        </w:rPr>
      </w:pPr>
      <w:r>
        <w:rPr>
          <w:rFonts w:ascii="Verdana" w:hAnsi="Verdana" w:eastAsia="Verdana" w:cs="Verdana"/>
          <w:sz w:val="24"/>
          <w:szCs w:val="24"/>
        </w:rPr>
        <w:t xml:space="preserve">This statute shall not apply to a discount or other reduction in price obtained by a provider of services or other entity under this statute if the reduction in price is properly disclosed and appropriately reflected in the costs claimed or charges made by the provider or entity under this statute or to any amount paid by an employer to an employee, who has a bona fide employment relationship with such employer, for employment in the provision of covered items or services.</w:t>
      </w:r>
    </w:p>
    <w:p>
      <w:pPr>
        <w:pStyle w:val="ListParagraph"/>
        <w:widowControl w:val="false"/>
        <w:numPr>
          <w:ilvl w:val="1"/>
          <w:numId w:val="812"/>
        </w:numPr>
        <w:overflowPunct w:val="false"/>
        <w:autoSpaceDE w:val="false"/>
        <w:autoSpaceDN w:val="false"/>
        <w:adjustRightInd w:val="false"/>
        <w:spacing w:line="249" w:lineRule="auto"/>
        <w:jc w:val="both"/>
        <w:rPr>
          <w:rFonts w:ascii="Verdana" w:hAnsi="Verdana" w:eastAsia="Verdana" w:cs="Verdana"/>
          <w:sz w:val="24"/>
          <w:szCs w:val="24"/>
        </w:rPr>
      </w:pPr>
      <w:r>
        <w:rPr>
          <w:rFonts w:ascii="Verdana" w:hAnsi="Verdana" w:eastAsia="Verdana" w:cs="Verdana"/>
          <w:sz w:val="24"/>
          <w:szCs w:val="24"/>
        </w:rPr>
        <w:t xml:space="preserve">Remedies — Kickbacks for Provision of Services or Care; Penalty.</w:t>
      </w:r>
    </w:p>
    <w:p>
      <w:pPr>
        <w:pStyle w:val="ListParagraph"/>
        <w:widowControl w:val="false"/>
        <w:numPr>
          <w:ilvl w:val="2"/>
          <w:numId w:val="812"/>
        </w:numPr>
        <w:overflowPunct w:val="false"/>
        <w:autoSpaceDE w:val="false"/>
        <w:autoSpaceDN w:val="false"/>
        <w:adjustRightInd w:val="false"/>
        <w:spacing w:line="249" w:lineRule="auto"/>
        <w:jc w:val="both"/>
        <w:rPr>
          <w:rFonts w:ascii="Verdana" w:hAnsi="Verdana" w:eastAsia="Verdana" w:cs="Verdana"/>
          <w:sz w:val="24"/>
          <w:szCs w:val="24"/>
        </w:rPr>
      </w:pPr>
      <w:r>
        <w:rPr>
          <w:rFonts w:ascii="Verdana" w:hAnsi="Verdana" w:eastAsia="Verdana" w:cs="Verdana"/>
          <w:sz w:val="24"/>
          <w:szCs w:val="24"/>
        </w:rPr>
        <w:t xml:space="preserve">Whoever knowingly and willfully charges, solicits, accepts or receives, in addition to any amount otherwise required to be paid under this statute, any gift, money, donation, or other consideration as a precondition or guarantee of admitting a recipient of services under this chapter whether or not presently certified or otherwise lawfully approved for long term care, to a hospital or nursing facility or to expedite the admission of such recipient or as a requirement for such recipient’s continued stay in such a facility shall be punished by a fine of not more than ten thousand dollars or by imprisonment in the state prison for not more than five years or in a jail or house of correction for not more than two and one–half years or by both such fine and imprisonment.</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Remedies — Charges in Excess of Established Rates; Penalty.</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Whoever knowingly and willfully charges for any service provided to a patient, money or other consideration at a rate in excess of the rates established in accordance with this statute, shall be punished by a fine of not more than ten thousand dollars, or by imprisonment in the state prison for not more than five years or in a jail or house of correction for not more than two and one–half years, or by both such fine and imprisonment.</w:t>
      </w:r>
    </w:p>
    <w:p>
      <w:pPr>
        <w:pStyle w:val="ListParagraph"/>
        <w:widowControl w:val="false"/>
        <w:numPr>
          <w:ilvl w:val="0"/>
          <w:numId w:val="812"/>
        </w:numPr>
        <w:overflowPunct w:val="false"/>
        <w:autoSpaceDE w:val="false"/>
        <w:autoSpaceDN w:val="false"/>
        <w:adjustRightInd w:val="false"/>
        <w:spacing w:after="0" w:line="249" w:lineRule="auto"/>
        <w:jc w:val="both"/>
        <w:rPr>
          <w:rFonts w:ascii="Verdana" w:hAnsi="Verdana" w:eastAsia="Verdana" w:cs="Verdana"/>
          <w:sz w:val="24"/>
          <w:szCs w:val="24"/>
        </w:rPr>
      </w:pPr>
      <w:bookmarkStart w:id="27" w:name="_Hlk21259360"/>
      <w:r>
        <w:rPr>
          <w:rFonts w:ascii="Verdana" w:hAnsi="Verdana" w:eastAsia="Verdana" w:cs="Verdana"/>
          <w:sz w:val="24"/>
          <w:szCs w:val="24"/>
        </w:rPr>
        <w:t xml:space="preserve">False Health Care Claims Statute (Mass. Gen. Laws ch. 175H § 1 </w:t>
      </w:r>
      <w:r>
        <w:rPr>
          <w:rFonts w:ascii="Verdana" w:hAnsi="Verdana" w:eastAsia="Verdana" w:cs="Verdana"/>
          <w:i/>
          <w:iCs/>
          <w:sz w:val="24"/>
          <w:szCs w:val="24"/>
        </w:rPr>
        <w:t xml:space="preserve">et seq</w:t>
      </w:r>
      <w:r>
        <w:rPr>
          <w:rFonts w:ascii="Verdana" w:hAnsi="Verdana" w:eastAsia="Verdana" w:cs="Verdana"/>
          <w:sz w:val="24"/>
          <w:szCs w:val="24"/>
        </w:rPr>
        <w:t xml:space="preserve">.)</w:t>
      </w:r>
    </w:p>
    <w:bookmarkEnd w:id="27"/>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False Health Care Claims Statute imposes criminal sanctions on anyone who knowingly makes a false representation pertaining to a payment for health care. Penalties for violations of the False Health Care Claims Statute may include fines up to $10,000 and imprisonment up to 5 years, plus restitution, interest, attorney’s fees, and any applicable civil penalties. This statute also permits a private health care corporation or health insurer that pays an amount as a result of a fraudulent statement to bring a civil action for damages, attorney’s fees, and costs.</w:t>
      </w:r>
    </w:p>
    <w:p>
      <w:pPr>
        <w:pStyle w:val="ListParagraph"/>
        <w:widowControl w:val="false"/>
        <w:numPr>
          <w:ilvl w:val="0"/>
          <w:numId w:val="812"/>
        </w:numPr>
        <w:overflowPunct w:val="false"/>
        <w:autoSpaceDE w:val="false"/>
        <w:autoSpaceDN w:val="false"/>
        <w:adjustRightInd w:val="false"/>
        <w:spacing w:after="0" w:line="249" w:lineRule="auto"/>
        <w:jc w:val="both"/>
        <w:rPr>
          <w:rFonts w:ascii="Verdana" w:hAnsi="Verdana" w:eastAsia="Verdana" w:cs="Verdana"/>
          <w:sz w:val="24"/>
          <w:szCs w:val="24"/>
        </w:rPr>
      </w:pPr>
      <w:bookmarkStart w:id="28" w:name="_Hlk21259398"/>
      <w:r>
        <w:rPr>
          <w:rFonts w:ascii="Verdana" w:hAnsi="Verdana" w:eastAsia="Verdana" w:cs="Verdana"/>
          <w:sz w:val="24"/>
          <w:szCs w:val="24"/>
        </w:rPr>
        <w:t xml:space="preserve">Massachusetts Consumer Protection Act (Mass. Gen. Laws ch. 93A; 940 Mass. Code Regs. §3.16)</w:t>
      </w:r>
    </w:p>
    <w:bookmarkEnd w:id="28"/>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color w:val="FF0000"/>
          <w:sz w:val="24"/>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 w:val="24"/>
          <w:szCs w:val="24"/>
        </w:rPr>
        <w:t xml:space="preserve">The Massachusetts Consumer Protection Act permits individuals and businesses to bring a civil action for up to treble damages for unfair trade practices, which include violations of laws intended to protect the public welfare.</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4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4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4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8"/>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7"/>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4"/>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4"/>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50"/>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5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5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5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1"/>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1"/>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1"/>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3"/>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3"/>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4"/>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6"/>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21"/>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2"/>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22"/>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22"/>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22"/>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22"/>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2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2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2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2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2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22"/>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2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2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2"/>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6"/>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6"/>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6"/>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6"/>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color w:val="FF0000"/>
          <w:szCs w:val="24"/>
        </w:rPr>
        <w:t xml:space="preserve">.</w:t>
      </w:r>
      <w:r>
        <w:rPr>
          <w:rFonts w:ascii="Verdana" w:hAnsi="Verdana" w:eastAsia="Verdana" w:cs="Verdana"/>
          <w:szCs w:val="24"/>
        </w:rPr>
        <w:t xml:space="preserve"> </w:t>
      </w:r>
    </w:p>
    <w:p>
      <w:pPr>
        <w:widowControl w:val="false"/>
        <w:numPr>
          <w:ilvl w:val="0"/>
          <w:numId w:val="15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w:t>
      </w:r>
      <w:r>
        <w:rPr>
          <w:rFonts w:ascii="Verdana" w:hAnsi="Verdana" w:eastAsia="Verdana" w:cs="Verdana"/>
          <w:color w:val="FF0000"/>
          <w:szCs w:val="24"/>
        </w:rPr>
        <w:t xml:space="preserve"> </w:t>
      </w:r>
      <w:r>
        <w:rPr>
          <w:rFonts w:ascii="Verdana" w:hAnsi="Verdana" w:eastAsia="Verdana" w:cs="Verdana"/>
          <w:szCs w:val="24"/>
        </w:rPr>
        <w:t xml:space="preserve">corporate integrity agreement (CIA) which requires self-disclosure. </w:t>
      </w:r>
    </w:p>
    <w:p>
      <w:pPr>
        <w:widowControl w:val="false"/>
        <w:numPr>
          <w:ilvl w:val="0"/>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5"/>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8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8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w:t>
      </w:r>
      <w:r>
        <w:rPr>
          <w:rFonts w:ascii="Verdana" w:hAnsi="Verdana" w:eastAsia="Verdana" w:cs="Verdana"/>
          <w:color w:val="FF0000"/>
          <w:szCs w:val="24"/>
        </w:rPr>
        <w:t xml:space="preserve"> </w:t>
      </w:r>
      <w:r>
        <w:rPr>
          <w:rFonts w:ascii="Verdana" w:hAnsi="Verdana" w:eastAsia="Verdana" w:cs="Verdana"/>
          <w:szCs w:val="24"/>
        </w:rPr>
        <w:t xml:space="preserve">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23"/>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23"/>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23"/>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23"/>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9"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30"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30"/>
    <w:p>
      <w:pPr>
        <w:numPr>
          <w:ilvl w:val="0"/>
          <w:numId w:val="267"/>
        </w:numPr>
        <w:spacing/>
        <w:ind w:left="540" w:hanging="180"/>
        <w:contextualSpacing/>
        <w:rPr>
          <w:rFonts w:ascii="Verdana" w:hAnsi="Verdana" w:eastAsia="Verdana"/>
          <w:sz w:val="20"/>
          <w:szCs w:val="20"/>
        </w:rPr>
      </w:pPr>
      <w:bookmarkStart w:id="31"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7"/>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5"/>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9"/>
      <w:bookmarkEnd w:id="31"/>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bCs/>
          <w:lang w:bidi="ar-SA"/>
        </w:rPr>
        <w:t xml:space="preserve">Massachusetts</w:t>
      </w:r>
      <w:r>
        <w:rPr>
          <w:rFonts w:ascii="Verdana" w:hAnsi="Verdana" w:eastAsia="Verdana" w:cs="Times New Roman"/>
          <w:lang w:bidi="ar-SA"/>
        </w:rPr>
        <w:t xml:space="preserve"> Suspended or Excluded MassHealth Providers list available at </w:t>
      </w:r>
      <w:r>
        <w:rPr/>
        <w:fldChar w:fldCharType="begin"/>
      </w:r>
      <w:r>
        <w:rPr/>
        <w:instrText xml:space="preserve">HYPERLINK "https://www.mass.gov/service-details/learn-about-suspended-or-excluded-masshealth-providers" </w:instrText>
      </w:r>
      <w:r>
        <w:rPr/>
        <w:fldChar w:fldCharType="separate"/>
      </w:r>
      <w:r>
        <w:rPr>
          <w:rStyle w:val="Hyperlink"/>
          <w:rFonts w:ascii="Verdana" w:hAnsi="Verdana" w:eastAsia="Verdana"/>
          <w:color w:val="auto"/>
          <w:lang w:bidi="ar-SA"/>
        </w:rPr>
        <w:t xml:space="preserve">https://www.mass.gov/service-details/learn-about-suspended-or-excluded-masshealth-providers</w:t>
      </w:r>
      <w:r>
        <w:rPr/>
        <w:fldChar w:fldCharType="end"/>
      </w:r>
      <w:r>
        <w:rPr>
          <w:rFonts w:ascii="Verdana" w:hAnsi="Verdana" w:eastAsia="Verdana" w:cs="Times New Roman"/>
          <w:lang w:bidi="ar-SA"/>
        </w:rPr>
        <w:t xml:space="preserve"> </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w:t>
      </w:r>
      <w:r>
        <w:rPr>
          <w:rFonts w:ascii="Verdana" w:hAnsi="Verdana" w:eastAsia="Verdana" w:cs="Times New Roman"/>
          <w:lang w:bidi="ar-SA"/>
        </w:rPr>
        <w:t xml:space="preserve">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bCs/>
          <w:lang w:bidi="ar-SA"/>
        </w:rPr>
        <w:t xml:space="preserve">Massachusetts</w:t>
      </w:r>
      <w:r>
        <w:rPr>
          <w:rFonts w:ascii="Verdana" w:hAnsi="Verdana" w:eastAsia="Verdana" w:cs="Times New Roman"/>
          <w:lang w:bidi="ar-SA"/>
        </w:rPr>
        <w:t xml:space="preserve"> Suspended or Excluded MassHealth Providers list available at </w:t>
      </w:r>
      <w:r>
        <w:rPr/>
        <w:fldChar w:fldCharType="begin"/>
      </w:r>
      <w:r>
        <w:rPr/>
        <w:instrText xml:space="preserve">HYPERLINK "https://www.mass.gov/service-details/learn-about-suspended-or-excluded-masshealth-providers" </w:instrText>
      </w:r>
      <w:r>
        <w:rPr/>
        <w:fldChar w:fldCharType="separate"/>
      </w:r>
      <w:r>
        <w:rPr>
          <w:rStyle w:val="Hyperlink"/>
          <w:rFonts w:ascii="Verdana" w:hAnsi="Verdana" w:eastAsia="Verdana"/>
          <w:color w:val="auto"/>
          <w:lang w:bidi="ar-SA"/>
        </w:rPr>
        <w:t xml:space="preserve">https://www.mass.gov/service-details/learn-about-suspended-or-excluded-masshealth-providers</w:t>
      </w:r>
      <w:r>
        <w:rPr/>
        <w:fldChar w:fldCharType="end"/>
      </w:r>
      <w:r>
        <w:rPr>
          <w:rFonts w:ascii="Verdana" w:hAnsi="Verdana" w:eastAsia="Verdana" w:cs="Times New Roman"/>
          <w:lang w:bidi="ar-SA"/>
        </w:rPr>
        <w:t xml:space="preserve"> </w:t>
      </w:r>
    </w:p>
    <w:p>
      <w:pPr>
        <w:numPr>
          <w:ilvl w:val="2"/>
          <w:numId w:val="327"/>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w:t>
      </w:r>
      <w:r>
        <w:rPr>
          <w:rFonts w:ascii="Verdana" w:hAnsi="Verdana" w:eastAsia="Verdana" w:cs="Times New Roman"/>
          <w:lang w:bidi="ar-SA"/>
        </w:rPr>
        <w:t xml:space="preserve">funded goods or services have not been excluded from participation in a federal or state healthcare program.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bCs/>
          <w:lang w:bidi="ar-SA"/>
        </w:rPr>
        <w:t xml:space="preserve">Massachusetts</w:t>
      </w:r>
      <w:r>
        <w:rPr>
          <w:rFonts w:ascii="Verdana" w:hAnsi="Verdana" w:eastAsia="Verdana" w:cs="Times New Roman"/>
          <w:lang w:bidi="ar-SA"/>
        </w:rPr>
        <w:t xml:space="preserve"> Suspended or Excluded MassHealth Providers list available at </w:t>
      </w:r>
      <w:r>
        <w:rPr/>
        <w:fldChar w:fldCharType="begin"/>
      </w:r>
      <w:r>
        <w:rPr/>
        <w:instrText xml:space="preserve">HYPERLINK "https://www.mass.gov/service-details/learn-about-suspended-or-excluded-masshealth-providers" </w:instrText>
      </w:r>
      <w:r>
        <w:rPr/>
        <w:fldChar w:fldCharType="separate"/>
      </w:r>
      <w:r>
        <w:rPr>
          <w:rStyle w:val="Hyperlink"/>
          <w:rFonts w:ascii="Verdana" w:hAnsi="Verdana" w:eastAsia="Verdana"/>
          <w:color w:val="auto"/>
          <w:lang w:bidi="ar-SA"/>
        </w:rPr>
        <w:t xml:space="preserve">https://www.mass.gov/service-details/learn-about-suspended-or-excluded-masshealth-providers</w:t>
      </w:r>
      <w:r>
        <w:rPr/>
        <w:fldChar w:fldCharType="end"/>
      </w:r>
      <w:r>
        <w:rPr>
          <w:rFonts w:ascii="Verdana" w:hAnsi="Verdana" w:eastAsia="Verdana" w:cs="Times New Roman"/>
          <w:lang w:bidi="ar-SA"/>
        </w:rPr>
        <w:t xml:space="preserve"> </w:t>
      </w:r>
    </w:p>
    <w:p>
      <w:pPr>
        <w:numPr>
          <w:ilvl w:val="2"/>
          <w:numId w:val="327"/>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spacing w:after="0"/>
        <w:ind w:left="1440"/>
        <w:contextualSpacing/>
        <w:rPr>
          <w:rFonts w:ascii="Verdana" w:hAnsi="Verdana" w:eastAsia="Verdana" w:cs="Times New Roman"/>
          <w:lang w:bidi="ar-SA"/>
        </w:rPr>
      </w:pP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 Screening for Existing Associates.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7"/>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9"/>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4"/>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6"/>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6"/>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6"/>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6"/>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2"/>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2"/>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5"/>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5"/>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5"/>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6"/>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6"/>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6"/>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6"/>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1"/>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1"/>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1"/>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9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9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9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6"/>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8"/>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6"/>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7"/>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7"/>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7"/>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7"/>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7"/>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7"/>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7"/>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7"/>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7"/>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32"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5"/>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32"/>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5"/>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5"/>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9"/>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9"/>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9"/>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9"/>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9"/>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7"/>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4"/>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5"/>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5"/>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5"/>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6"/>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7"/>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7"/>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7"/>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7"/>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7"/>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7"/>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33" w:name="_Hlk497767653"/>
      <w:r>
        <w:rPr>
          <w:rFonts w:ascii="Verdana" w:hAnsi="Verdana" w:eastAsia="Verdana"/>
          <w:sz w:val="24"/>
          <w:szCs w:val="24"/>
        </w:rPr>
        <w:t xml:space="preserve">the State Survey Agency and at least one local law enforcement entity.</w:t>
      </w:r>
      <w:bookmarkEnd w:id="33"/>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7"/>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7"/>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1"/>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1"/>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1"/>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9"/>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7"/>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5"/>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5"/>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5"/>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5"/>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7"/>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4" w:name="_Hlk487631989"/>
    </w:p>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4"/>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7"/>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7"/>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7"/>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7"/>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7"/>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7"/>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7"/>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7"/>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7"/>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7"/>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7"/>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7"/>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7"/>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7"/>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7"/>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7"/>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7"/>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7"/>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7"/>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7"/>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7"/>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7"/>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7"/>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7"/>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7"/>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7"/>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7"/>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7"/>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7"/>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7"/>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7"/>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7"/>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7"/>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4"/>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7"/>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7"/>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7"/>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7"/>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7"/>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7"/>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7"/>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4"/>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4"/>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4"/>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9"/>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9"/>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7"/>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7"/>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5" w:name="co_anchor_a983454_29"/>
      <w:bookmarkEnd w:id="35"/>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7"/>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6" w:name="co_anchor_a335490_29"/>
      <w:bookmarkEnd w:id="36"/>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7" w:name="co_anchor_a638045_29"/>
      <w:bookmarkEnd w:id="37"/>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7"/>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8" w:name="co_anchor_a397720_29"/>
      <w:bookmarkEnd w:id="38"/>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7"/>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24"/>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25"/>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25"/>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24"/>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26"/>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26"/>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26"/>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26"/>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26"/>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26"/>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26"/>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26"/>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26"/>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24"/>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27"/>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27"/>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27"/>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24"/>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28"/>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24"/>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29"/>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29"/>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29"/>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9"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30"/>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30"/>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3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3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3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3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3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3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3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3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3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30"/>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30"/>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30"/>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30"/>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30"/>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30"/>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30"/>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30"/>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3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3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3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3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3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3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3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3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30"/>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30"/>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30"/>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3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30"/>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30"/>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30"/>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30"/>
        </w:numPr>
        <w:tabs>
          <w:tab w:val="num" w:pos="270"/>
          <w:tab w:val="num" w:pos="36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30"/>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30"/>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30"/>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30"/>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30"/>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30"/>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30"/>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30"/>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30"/>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30"/>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30"/>
        </w:numPr>
        <w:tabs>
          <w:tab w:val="num" w:pos="270"/>
          <w:tab w:val="num" w:pos="36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30"/>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30"/>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30"/>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30"/>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30"/>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30"/>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30"/>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30"/>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30"/>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30"/>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30"/>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30"/>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30"/>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30"/>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30"/>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30"/>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30"/>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5"/>
          <w:footerReference w:type="first" r:id="rId176"/>
          <w:headerReference w:type="even" r:id="rId177"/>
          <w:headerReference w:type="default" r:id="rId178"/>
          <w:footerReference w:type="default" r:id="rId179"/>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31"/>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9"/>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0"/>
          <w:headerReference w:type="even" r:id="rId181"/>
          <w:headerReference w:type="default" r:id="rId182"/>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3"/>
          <w:footerReference w:type="default" r:id="rId18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2"/>
        </w:numPr>
        <w:spacing w:after="0"/>
        <w:rPr>
          <w:rFonts w:ascii="Verdana" w:hAnsi="Verdana" w:eastAsia="Verdana"/>
          <w:szCs w:val="24"/>
        </w:rPr>
      </w:pPr>
      <w:r>
        <w:rPr>
          <w:rFonts w:ascii="Verdana" w:hAnsi="Verdana" w:eastAsia="Verdana"/>
          <w:szCs w:val="24"/>
        </w:rPr>
        <w:t xml:space="preserve">Definition of PHI </w:t>
      </w:r>
    </w:p>
    <w:p>
      <w:pPr>
        <w:numPr>
          <w:ilvl w:val="1"/>
          <w:numId w:val="572"/>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2"/>
        </w:numPr>
        <w:spacing w:after="0"/>
        <w:rPr>
          <w:rFonts w:ascii="Verdana" w:hAnsi="Verdana" w:eastAsia="Verdana"/>
          <w:szCs w:val="24"/>
        </w:rPr>
      </w:pPr>
      <w:r>
        <w:rPr>
          <w:rFonts w:ascii="Verdana" w:hAnsi="Verdana" w:eastAsia="Verdana"/>
          <w:szCs w:val="24"/>
        </w:rPr>
        <w:t xml:space="preserve">Definition of Breach </w:t>
      </w:r>
    </w:p>
    <w:p>
      <w:pPr>
        <w:numPr>
          <w:ilvl w:val="1"/>
          <w:numId w:val="572"/>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2"/>
        </w:numPr>
        <w:spacing w:after="0"/>
        <w:rPr>
          <w:rFonts w:ascii="Verdana" w:hAnsi="Verdana" w:eastAsia="Verdana"/>
          <w:szCs w:val="24"/>
        </w:rPr>
      </w:pPr>
      <w:r>
        <w:rPr>
          <w:rFonts w:ascii="Verdana" w:hAnsi="Verdana" w:eastAsia="Verdana"/>
          <w:szCs w:val="24"/>
        </w:rPr>
        <w:t xml:space="preserve">Exceptions to Breach</w:t>
      </w:r>
    </w:p>
    <w:p>
      <w:pPr>
        <w:numPr>
          <w:ilvl w:val="1"/>
          <w:numId w:val="572"/>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2"/>
        </w:numPr>
        <w:spacing w:after="0"/>
        <w:rPr>
          <w:rFonts w:ascii="Verdana" w:hAnsi="Verdana" w:eastAsia="Verdana"/>
          <w:szCs w:val="24"/>
        </w:rPr>
      </w:pPr>
      <w:r>
        <w:rPr>
          <w:rFonts w:ascii="Verdana" w:hAnsi="Verdana" w:eastAsia="Verdana"/>
          <w:szCs w:val="24"/>
        </w:rPr>
        <w:t xml:space="preserve">Notification </w:t>
      </w:r>
    </w:p>
    <w:p>
      <w:pPr>
        <w:numPr>
          <w:ilvl w:val="1"/>
          <w:numId w:val="572"/>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2"/>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2"/>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2"/>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2"/>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2"/>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2"/>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2"/>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2"/>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2"/>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2"/>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2"/>
        </w:numPr>
        <w:spacing w:after="0"/>
        <w:rPr>
          <w:rFonts w:ascii="Verdana" w:hAnsi="Verdana" w:eastAsia="Verdana"/>
          <w:szCs w:val="24"/>
        </w:rPr>
      </w:pPr>
      <w:r>
        <w:rPr>
          <w:rFonts w:ascii="Verdana" w:hAnsi="Verdana" w:eastAsia="Verdana"/>
          <w:szCs w:val="24"/>
        </w:rPr>
        <w:t xml:space="preserve">Documentation</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2"/>
        </w:numPr>
        <w:spacing w:after="0"/>
        <w:rPr>
          <w:rFonts w:ascii="Verdana" w:hAnsi="Verdana" w:eastAsia="Verdana"/>
          <w:szCs w:val="24"/>
        </w:rPr>
      </w:pPr>
      <w:r>
        <w:rPr>
          <w:rFonts w:ascii="Verdana" w:hAnsi="Verdana" w:eastAsia="Verdana"/>
          <w:szCs w:val="24"/>
        </w:rPr>
        <w:t xml:space="preserve">Staff Training</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5"/>
          <w:footerReference w:type="default" r:id="rId186"/>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7"/>
          <w:footerReference w:type="first" r:id="rId188"/>
          <w:headerReference w:type="even" r:id="rId189"/>
          <w:footerReference w:type="even" r:id="rId190"/>
          <w:headerReference w:type="default" r:id="rId191"/>
          <w:footerReference w:type="default" r:id="rId19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4"/>
        </w:numPr>
        <w:spacing/>
        <w:contextualSpacing/>
        <w:jc w:val="both"/>
        <w:rPr>
          <w:rFonts w:ascii="Verdana" w:hAnsi="Verdana" w:eastAsia="Verdana"/>
          <w:sz w:val="24"/>
          <w:szCs w:val="24"/>
        </w:rPr>
        <w:sectPr>
          <w:headerReference w:type="default" r:id="rId193"/>
          <w:footerReference w:type="default" r:id="rId1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1"/>
          <w:footerReference w:type="first" r:id="rId202"/>
          <w:headerReference w:type="even" r:id="rId203"/>
          <w:footerReference w:type="even" r:id="rId204"/>
          <w:headerReference w:type="default" r:id="rId205"/>
          <w:footerReference w:type="default" r:id="rId20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1"/>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1"/>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1"/>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1"/>
        </w:numPr>
        <w:snapToGrid w:val="off"/>
        <w:spacing w:before="120" w:after="60" w:line="240" w:lineRule="auto"/>
        <w:jc w:val="both"/>
        <w:rPr>
          <w:rFonts w:ascii="Verdana" w:hAnsi="Verdana" w:eastAsia="Verdana"/>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1"/>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1"/>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1"/>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1"/>
        </w:numPr>
        <w:spacing w:after="200"/>
        <w:rPr>
          <w:rFonts w:ascii="Verdana" w:hAnsi="Verdana" w:eastAsia="Verdana"/>
          <w:szCs w:val="24"/>
        </w:rPr>
        <w:sectPr>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3"/>
        </w:numPr>
        <w:spacing/>
        <w:contextualSpacing/>
        <w:jc w:val="both"/>
        <w:rPr>
          <w:rFonts w:ascii="Verdana" w:hAnsi="Verdana" w:eastAsia="Verdana"/>
          <w:sz w:val="24"/>
          <w:szCs w:val="24"/>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20"/>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20"/>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20"/>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50"/>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1"/>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2"/>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2"/>
        </w:numPr>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7"/>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7"/>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7"/>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1"/>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1"/>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2"/>
          <w:footerReference w:type="first" r:id="rId233"/>
          <w:headerReference w:type="even" r:id="rId234"/>
          <w:footerReference w:type="even" r:id="rId235"/>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5"/>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2"/>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40"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40"/>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32"/>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32"/>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32"/>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32"/>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32"/>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32"/>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32"/>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32"/>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t>
      </w:r>
      <w:r>
        <w:rPr>
          <w:rFonts w:ascii="Verdana" w:hAnsi="Verdana" w:eastAsia="Verdana" w:cs="ArialMTPro"/>
          <w:sz w:val="24"/>
          <w:szCs w:val="24"/>
        </w:rPr>
        <w:t xml:space="preserve">in a timely manner and within 30 days </w:t>
      </w:r>
      <w:r>
        <w:rPr>
          <w:rFonts w:ascii="Verdana" w:hAnsi="Verdana" w:eastAsia="Verdana" w:cs="Times"/>
          <w:sz w:val="24"/>
          <w:szCs w:val="24"/>
        </w:rPr>
        <w:t xml:space="preserve">of the receipt of the </w:t>
      </w:r>
      <w:r>
        <w:rPr>
          <w:rFonts w:ascii="Verdana" w:hAnsi="Verdana" w:eastAsia="Verdana" w:cs="Times"/>
          <w:sz w:val="24"/>
          <w:szCs w:val="24"/>
        </w:rPr>
        <w:t xml:space="preserve">request for the PHI.</w:t>
      </w:r>
    </w:p>
    <w:p>
      <w:pPr>
        <w:pStyle w:val="ListParagraph"/>
        <w:widowControl w:val="false"/>
        <w:tabs>
          <w:tab w:val="left" w:pos="1620"/>
        </w:tabs>
        <w:autoSpaceDE w:val="false"/>
        <w:autoSpaceDN w:val="false"/>
        <w:adjustRightInd w:val="false"/>
        <w:spacing w:before="113" w:after="0" w:line="240" w:lineRule="auto"/>
        <w:ind w:left="1296"/>
        <w:contextualSpacing/>
        <w:jc w:val="both"/>
        <w:rPr>
          <w:rFonts w:ascii="Verdana" w:hAnsi="Verdana" w:eastAsia="Verdana" w:cs="Times"/>
          <w:color w:val="FF0000"/>
          <w:sz w:val="24"/>
          <w:szCs w:val="24"/>
        </w:rPr>
      </w:pP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832"/>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32"/>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w:t>
      </w:r>
      <w:r>
        <w:rPr>
          <w:rFonts w:ascii="Verdana" w:hAnsi="Verdana" w:eastAsia="Verdana" w:cs="ArialMTPro"/>
          <w:color w:val="000000"/>
          <w:sz w:val="24"/>
          <w:szCs w:val="24"/>
        </w:rPr>
        <w:t xml:space="preserve">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32"/>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32"/>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32"/>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32"/>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color w:val="000000"/>
          <w:sz w:val="24"/>
          <w:szCs w:val="24"/>
        </w:rPr>
        <w:t xml:space="preserve">Preparing an explanation or summary of the PHI, if agreed to </w:t>
      </w:r>
      <w:r>
        <w:rPr>
          <w:rFonts w:ascii="Verdana" w:hAnsi="Verdana" w:eastAsia="Verdana" w:cs="ArialMTPro"/>
          <w:iCs/>
          <w:sz w:val="24"/>
          <w:szCs w:val="24"/>
        </w:rPr>
        <w:t xml:space="preserve">by the requestor, as required.</w:t>
      </w:r>
    </w:p>
    <w:p>
      <w:pPr>
        <w:pStyle w:val="ListParagraph"/>
        <w:widowControl w:val="false"/>
        <w:numPr>
          <w:ilvl w:val="2"/>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facility may charge a base fee of not more than $15 per request and may not charge more than $0.50 per page for the first 100 pages copied, or not more than $0.25 per page for copies of the medical record in excess of 100 pages.  Residents or their representatives may not be charged a fee when requesting a copy of the medical record for the purpose of supporting a claim or appeal under the Social Security Act or any other federal or state financial needs based assistance program.</w:t>
      </w:r>
    </w:p>
    <w:p>
      <w:pPr>
        <w:widowControl w:val="false"/>
        <w:numPr>
          <w:ilvl w:val="0"/>
          <w:numId w:val="32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w:t>
      </w:r>
      <w:r>
        <w:rPr>
          <w:rFonts w:ascii="Verdana" w:hAnsi="Verdana" w:eastAsia="Verdana" w:cs="ArialMTPro"/>
          <w:iCs/>
          <w:color w:val="000000"/>
          <w:sz w:val="24"/>
          <w:szCs w:val="24"/>
        </w:rPr>
        <w:t xml:space="preserve">use in, a civil, criminal, or administrative action or proceeding;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w:t>
      </w:r>
      <w:r>
        <w:rPr>
          <w:rFonts w:ascii="Verdana" w:hAnsi="Verdana" w:eastAsia="Verdana" w:cs="ArialMTPro"/>
          <w:color w:val="000000"/>
          <w:sz w:val="24"/>
          <w:szCs w:val="24"/>
        </w:rPr>
        <w:t xml:space="preserve">reviewing official and who did not participate in the original decision to deny. </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1"/>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1"/>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1"/>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2"/>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462"/>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2"/>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2"/>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2"/>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2"/>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33"/>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33"/>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33"/>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33"/>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3"/>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3"/>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5"/>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5"/>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3"/>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3"/>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3"/>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3"/>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3"/>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3"/>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3"/>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4"/>
          <w:footerReference w:type="first" r:id="rId255"/>
          <w:headerReference w:type="even" r:id="rId256"/>
          <w:footerReference w:type="even" r:id="rId257"/>
          <w:headerReference w:type="default" r:id="rId258"/>
          <w:footerReference w:type="default" r:id="rId259"/>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5"/>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0"/>
          <w:footerReference w:type="default" r:id="rId261"/>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2"/>
          <w:footerReference w:type="default" r:id="rId26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4"/>
          <w:footerReference w:type="first" r:id="rId265"/>
          <w:headerReference w:type="even" r:id="rId266"/>
          <w:footerReference w:type="even" r:id="rId267"/>
          <w:headerReference w:type="default" r:id="rId268"/>
          <w:footerReference w:type="default" r:id="rId26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5"/>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41" w:name="c_1_i"/>
      <w:bookmarkEnd w:id="41"/>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42" w:name="c_1_ii"/>
      <w:bookmarkEnd w:id="42"/>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43" w:name="c_1_iii"/>
      <w:bookmarkEnd w:id="43"/>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4" w:name="c_1_iv"/>
      <w:bookmarkEnd w:id="44"/>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9"/>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5" w:name="c_1_v"/>
      <w:bookmarkEnd w:id="45"/>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9"/>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6" w:name="c_1_vi"/>
      <w:bookmarkEnd w:id="46"/>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9"/>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7" w:name="i"/>
      <w:bookmarkEnd w:id="47"/>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8" w:name="i_2_vi_B"/>
      <w:bookmarkStart w:id="49" w:name="i_2_ii"/>
      <w:bookmarkEnd w:id="48"/>
      <w:bookmarkEnd w:id="49"/>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50" w:name="i_2_iii"/>
      <w:bookmarkEnd w:id="50"/>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51" w:name="b_2_i"/>
      <w:bookmarkEnd w:id="51"/>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7"/>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7"/>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0"/>
          <w:footerReference w:type="first" r:id="rId271"/>
          <w:headerReference w:type="even" r:id="rId272"/>
          <w:footerReference w:type="even" r:id="rId273"/>
          <w:headerReference w:type="default" r:id="rId274"/>
          <w:footerReference w:type="default" r:id="rId2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3"/>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3"/>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3"/>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3"/>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w:t>
      </w:r>
      <w:r>
        <w:rPr>
          <w:rFonts w:ascii="Verdana" w:hAnsi="Verdana" w:eastAsia="Verdana"/>
          <w:sz w:val="20"/>
          <w:szCs w:val="20"/>
        </w:rPr>
        <w:t xml:space="preserve">Facility Address_______________________________________________</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3"/>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6"/>
          <w:footerReference w:type="default" r:id="rId277"/>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5"/>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5"/>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5"/>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5"/>
        </w:numPr>
        <w:spacing/>
        <w:contextualSpacing/>
        <w:jc w:val="both"/>
        <w:rPr>
          <w:rFonts w:ascii="Verdana" w:hAnsi="Verdana" w:eastAsia="Verdana"/>
          <w:sz w:val="24"/>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6"/>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resident’s personal representative.</w:t>
      </w:r>
    </w:p>
    <w:p>
      <w:pPr>
        <w:pStyle w:val="ListParagraph"/>
        <w:widowControl w:val="false"/>
        <w:numPr>
          <w:ilvl w:val="0"/>
          <w:numId w:val="1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3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34"/>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3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3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3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3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3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3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3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3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3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34"/>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34"/>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9"/>
        </w:numPr>
        <w:spacing w:after="0" w:line="240" w:lineRule="auto"/>
        <w:contextualSpacing/>
        <w:jc w:val="both"/>
        <w:rPr>
          <w:rFonts w:ascii="Verdana" w:hAnsi="Verdana" w:eastAsia="Verdana"/>
          <w:color w:val="252525"/>
          <w:sz w:val="24"/>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1"/>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1"/>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3"/>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98"/>
          <w:footerReference w:type="first" r:id="rId299"/>
          <w:headerReference w:type="even" r:id="rId300"/>
          <w:footerReference w:type="even" r:id="rId301"/>
          <w:headerReference w:type="default" r:id="rId302"/>
          <w:footerReference w:type="default" r:id="rId303"/>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35"/>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35"/>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8"/>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8"/>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8"/>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35"/>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35"/>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35"/>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35"/>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35"/>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35"/>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35"/>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35"/>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35"/>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35"/>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35"/>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35"/>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35"/>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35"/>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35"/>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35"/>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5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5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5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6"/>
          <w:footerReference w:type="default" r:id="rId3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1"/>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3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36"/>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36"/>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3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3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3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36"/>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w:t>
      </w:r>
      <w:r>
        <w:rPr>
          <w:rFonts w:ascii="Verdana" w:hAnsi="Verdana" w:eastAsia="Verdana" w:cs="ArialMTPro"/>
          <w:szCs w:val="24"/>
        </w:rPr>
        <w:t xml:space="preserve">even</w:t>
      </w:r>
      <w:r>
        <w:rPr>
          <w:rFonts w:ascii="Verdana" w:hAnsi="Verdana" w:eastAsia="Verdana" w:cs="ArialMTPro"/>
          <w:szCs w:val="24"/>
        </w:rPr>
        <w:t xml:space="preserve"> (</w:t>
      </w:r>
      <w:r>
        <w:rPr>
          <w:rFonts w:ascii="Verdana" w:hAnsi="Verdana" w:eastAsia="Verdana" w:cs="ArialMTPro"/>
          <w:szCs w:val="24"/>
        </w:rPr>
        <w:t xml:space="preserve">7</w:t>
      </w:r>
      <w:r>
        <w:rPr>
          <w:rFonts w:ascii="Verdana" w:hAnsi="Verdana" w:eastAsia="Verdana" w:cs="ArialMTPro"/>
          <w:szCs w:val="24"/>
        </w:rPr>
        <w:t xml:space="preserve">) years</w:t>
      </w:r>
      <w:r>
        <w:rPr/>
        <w:t xml:space="preserve"> </w:t>
      </w:r>
      <w:r>
        <w:rPr>
          <w:rFonts w:ascii="Verdana" w:hAnsi="Verdana" w:eastAsia="Verdana" w:cs="ArialMTPro"/>
          <w:color w:val="000000"/>
          <w:szCs w:val="24"/>
        </w:rPr>
        <w:t xml:space="preserve">from 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36"/>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36"/>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36"/>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36"/>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3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3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3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3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3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3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3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3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6"/>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6"/>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6"/>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6"/>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7"/>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8"/>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6"/>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6"/>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8"/>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3"/>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3"/>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3"/>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3"/>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3"/>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0"/>
          <w:footerReference w:type="default" r:id="rId331"/>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pStyle w:val="toc"/>
        <w:spacing w:line="276" w:lineRule="auto"/>
        <w:ind w:left="0" w:firstLine="0"/>
        <w:rPr>
          <w:color w:val="auto"/>
          <w:sz w:val="24"/>
          <w:szCs w:val="24"/>
        </w:rPr>
      </w:pPr>
      <w:r>
        <w:rPr>
          <w:color w:val="auto"/>
          <w:sz w:val="24"/>
          <w:szCs w:val="24"/>
        </w:rPr>
        <w:t xml:space="preserve">CCG 005MAPI Provision of Information on End-of-life Options</w:t>
      </w:r>
    </w:p>
    <w:p>
      <w:pPr>
        <w:kinsoku w:val="false"/>
        <w:overflowPunct w:val="false"/>
        <w:spacing w:before="6"/>
        <w:jc w:val="center"/>
        <w:rPr>
          <w:rFonts w:ascii="Verdana" w:hAnsi="Verdana" w:eastAsia="Verdana" w:cs="Verdana"/>
          <w:b/>
          <w:bCs/>
          <w:smallCaps/>
          <w:sz w:val="28"/>
          <w:szCs w:val="28"/>
        </w:rPr>
        <w:sectPr>
          <w:headerReference w:type="first" r:id="rId332"/>
          <w:footerReference w:type="first" r:id="rId333"/>
          <w:headerReference w:type="even" r:id="rId334"/>
          <w:footerReference w:type="even" r:id="rId335"/>
          <w:headerReference w:type="default" r:id="rId336"/>
          <w:footerReference w:type="default" r:id="rId337"/>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5"/>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sectPr>
          <w:footerReference w:type="default" r:id="rId33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7"/>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1"/>
        </w:numPr>
        <w:spacing/>
        <w:ind w:left="720"/>
        <w:contextualSpacing/>
        <w:jc w:val="both"/>
        <w:rPr>
          <w:rFonts w:ascii="Verdana" w:hAnsi="Verdana" w:eastAsia="Verdana"/>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9"/>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9"/>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9"/>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9"/>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9"/>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9"/>
        </w:numPr>
        <w:spacing/>
        <w:ind w:left="720"/>
        <w:jc w:val="both"/>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7"/>
          <w:footerReference w:type="first" r:id="rId348"/>
          <w:headerReference w:type="even" r:id="rId349"/>
          <w:footerReference w:type="even" r:id="rId350"/>
          <w:headerReference w:type="default" r:id="rId351"/>
          <w:footerReference w:type="default" r:id="rId3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80"/>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80"/>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80"/>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80"/>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80"/>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80"/>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80"/>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80"/>
        </w:numPr>
        <w:spacing/>
        <w:contextualSpacing/>
        <w:jc w:val="both"/>
        <w:rPr>
          <w:rFonts w:ascii="Verdana" w:hAnsi="Verdana" w:eastAsia="Verdana"/>
          <w:color w:val="FF0000"/>
          <w:sz w:val="24"/>
          <w:szCs w:val="24"/>
        </w:rPr>
        <w:sectPr>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7"/>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9"/>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9"/>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53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7"/>
          <w:footerReference w:type="default" r:id="rId358"/>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7"/>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7"/>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7"/>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70"/>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70"/>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9"/>
          <w:footerReference w:type="default" r:id="rId360"/>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38"/>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38"/>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39"/>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39"/>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$73</w:t>
      </w:r>
      <w:r>
        <w:rPr>
          <w:rFonts w:ascii="Verdana" w:hAnsi="Verdana" w:eastAsia="Verdana"/>
        </w:rPr>
        <w:t xml:space="preserve"> </w:t>
      </w:r>
      <w:r>
        <w:rPr>
          <w:rFonts w:ascii="Verdana" w:hAnsi="Verdana" w:eastAsia="Verdana"/>
        </w:rPr>
        <w:t xml:space="preserve">in an </w:t>
      </w:r>
      <w:r>
        <w:rPr>
          <w:rFonts w:ascii="Verdana" w:hAnsi="Verdana" w:eastAsia="Verdana"/>
        </w:rPr>
        <w:t xml:space="preserve">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$73 in </w:t>
      </w:r>
      <w:r>
        <w:rPr>
          <w:rFonts w:ascii="Verdana" w:hAnsi="Verdana" w:eastAsia="Verdana"/>
        </w:rPr>
        <w:t xml:space="preserve">a non-interest bearing account, interest-bearing account, or petty cash fund.</w:t>
      </w:r>
    </w:p>
    <w:p>
      <w:pPr>
        <w:pStyle w:val="psection-3"/>
        <w:numPr>
          <w:ilvl w:val="0"/>
          <w:numId w:val="839"/>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38"/>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1"/>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1"/>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1"/>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1"/>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38"/>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40"/>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4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4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40"/>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40"/>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38"/>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41"/>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4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4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38"/>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42"/>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38"/>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43"/>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43"/>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43"/>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43"/>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38"/>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44"/>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44"/>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4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4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4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4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4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4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4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4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44"/>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4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44"/>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44"/>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4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4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4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4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4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44"/>
        </w:numPr>
        <w:shd w:val="clear" w:color="auto" w:fill="FFFFFF"/>
        <w:spacing w:before="0" w:beforeAutospacing="0" w:after="150" w:afterAutospacing="0"/>
        <w:jc w:val="both"/>
        <w:rPr>
          <w:rFonts w:ascii="Verdana" w:hAnsi="Verdana" w:eastAsia="Verdana"/>
        </w:rPr>
        <w:sectPr>
          <w:headerReference w:type="default" r:id="rId361"/>
          <w:footerReference w:type="default" r:id="rId362"/>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6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5"/>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6"/>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6"/>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1"/>
        </w:numPr>
        <w:spacing w:after="160" w:line="259" w:lineRule="auto"/>
        <w:ind w:left="720"/>
        <w:contextualSpacing/>
        <w:jc w:val="both"/>
        <w:rPr>
          <w:rFonts w:ascii="Verdana" w:hAnsi="Verdana" w:eastAsia="Verdana"/>
          <w:sz w:val="24"/>
          <w:szCs w:val="24"/>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45"/>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45"/>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45"/>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845"/>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45"/>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45"/>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45"/>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spacing/>
        <w:ind w:left="900"/>
        <w:contextualSpacing/>
        <w:jc w:val="both"/>
        <w:rPr>
          <w:rFonts w:ascii="Verdana" w:hAnsi="Verdana" w:eastAsia="Verdana"/>
          <w:sz w:val="24"/>
          <w:szCs w:val="24"/>
        </w:rPr>
      </w:pPr>
      <w:r>
        <w:rPr>
          <w:rFonts w:ascii="Verdana" w:hAnsi="Verdana" w:eastAsia="Verdana"/>
          <w:sz w:val="24"/>
          <w:szCs w:val="24"/>
        </w:rPr>
        <w:t xml:space="preserve">Smoking is prohibited in the Facility except in designated “residential areas”.  </w:t>
      </w:r>
    </w:p>
    <w:p>
      <w:pPr>
        <w:pStyle w:val="ListParagraph"/>
        <w:numPr>
          <w:ilvl w:val="0"/>
          <w:numId w:val="846"/>
        </w:numPr>
        <w:spacing/>
        <w:ind w:left="1260"/>
        <w:contextualSpacing/>
        <w:jc w:val="both"/>
        <w:rPr>
          <w:rFonts w:ascii="Verdana" w:hAnsi="Verdana" w:eastAsia="Verdana"/>
          <w:sz w:val="24"/>
          <w:szCs w:val="24"/>
        </w:rPr>
      </w:pPr>
      <w:r>
        <w:rPr>
          <w:rFonts w:ascii="Verdana" w:hAnsi="Verdana" w:eastAsia="Verdana"/>
          <w:sz w:val="24"/>
          <w:szCs w:val="24"/>
        </w:rPr>
        <w:t xml:space="preserve">Specifically:</w:t>
      </w:r>
    </w:p>
    <w:p>
      <w:pPr>
        <w:pStyle w:val="ListParagraph"/>
        <w:numPr>
          <w:ilvl w:val="0"/>
          <w:numId w:val="847"/>
        </w:numPr>
        <w:spacing/>
        <w:contextualSpacing/>
        <w:jc w:val="both"/>
        <w:rPr>
          <w:rFonts w:ascii="Verdana" w:hAnsi="Verdana" w:eastAsia="Verdana"/>
          <w:sz w:val="24"/>
          <w:szCs w:val="24"/>
        </w:rPr>
      </w:pPr>
      <w:r>
        <w:rPr>
          <w:rFonts w:ascii="Verdana" w:hAnsi="Verdana" w:eastAsia="Verdana"/>
          <w:sz w:val="24"/>
          <w:szCs w:val="24"/>
        </w:rPr>
        <w:t xml:space="preserve">The Facility may apply to the local board of health for designation of part of the Facility as a residence.  </w:t>
      </w:r>
    </w:p>
    <w:p>
      <w:pPr>
        <w:pStyle w:val="ListParagraph"/>
        <w:numPr>
          <w:ilvl w:val="0"/>
          <w:numId w:val="847"/>
        </w:numPr>
        <w:spacing/>
        <w:contextualSpacing/>
        <w:jc w:val="both"/>
        <w:rPr>
          <w:rFonts w:ascii="Verdana" w:hAnsi="Verdana" w:eastAsia="Verdana"/>
          <w:sz w:val="24"/>
          <w:szCs w:val="24"/>
        </w:rPr>
      </w:pPr>
      <w:r>
        <w:rPr>
          <w:rFonts w:ascii="Verdana" w:hAnsi="Verdana" w:eastAsia="Verdana"/>
          <w:sz w:val="24"/>
          <w:szCs w:val="24"/>
        </w:rPr>
        <w:t xml:space="preserve">All applications shall designate the residential are of the Facility. The residential area may not contain an employee workspace, such as offices, restrooms, or other areas used primarily by employees.</w:t>
      </w:r>
    </w:p>
    <w:p>
      <w:pPr>
        <w:pStyle w:val="ListParagraph"/>
        <w:numPr>
          <w:ilvl w:val="0"/>
          <w:numId w:val="847"/>
        </w:numPr>
        <w:spacing/>
        <w:contextualSpacing/>
        <w:jc w:val="both"/>
        <w:rPr>
          <w:rFonts w:ascii="Verdana" w:hAnsi="Verdana" w:eastAsia="Verdana"/>
          <w:sz w:val="24"/>
          <w:szCs w:val="24"/>
        </w:rPr>
      </w:pPr>
      <w:r>
        <w:rPr>
          <w:rFonts w:ascii="Verdana" w:hAnsi="Verdana" w:eastAsia="Verdana"/>
          <w:sz w:val="24"/>
          <w:szCs w:val="24"/>
        </w:rPr>
        <w:t xml:space="preserve">The entire Facility shall not be designated as a residence.</w:t>
      </w:r>
    </w:p>
    <w:p>
      <w:pPr>
        <w:pStyle w:val="ListParagraph"/>
        <w:numPr>
          <w:ilvl w:val="0"/>
          <w:numId w:val="847"/>
        </w:numPr>
        <w:spacing/>
        <w:contextualSpacing/>
        <w:jc w:val="both"/>
        <w:rPr>
          <w:rFonts w:ascii="Verdana" w:hAnsi="Verdana" w:eastAsia="Verdana"/>
          <w:sz w:val="24"/>
          <w:szCs w:val="24"/>
        </w:rPr>
      </w:pPr>
      <w:r>
        <w:rPr>
          <w:rFonts w:ascii="Verdana" w:hAnsi="Verdana" w:eastAsia="Verdana"/>
          <w:sz w:val="24"/>
          <w:szCs w:val="24"/>
        </w:rPr>
        <w:t xml:space="preserve">The designated residential area must be for the sole use of permanent residents of the Facility. No temporary or short-term resident may reside in the residential portion of the facility.</w:t>
      </w:r>
    </w:p>
    <w:p>
      <w:pPr>
        <w:pStyle w:val="ListParagraph"/>
        <w:numPr>
          <w:ilvl w:val="0"/>
          <w:numId w:val="847"/>
        </w:numPr>
        <w:spacing/>
        <w:contextualSpacing/>
        <w:jc w:val="both"/>
        <w:rPr>
          <w:rFonts w:ascii="Verdana" w:hAnsi="Verdana" w:eastAsia="Verdana"/>
          <w:sz w:val="24"/>
          <w:szCs w:val="24"/>
        </w:rPr>
      </w:pPr>
      <w:r>
        <w:rPr>
          <w:rFonts w:ascii="Verdana" w:hAnsi="Verdana" w:eastAsia="Verdana"/>
          <w:sz w:val="24"/>
          <w:szCs w:val="24"/>
        </w:rPr>
        <w:t xml:space="preserve">All areas in the designated residential area in which smoking is allowed shall be conspicuously designated as smoking areas and be adequately ventilated to prevent the migration of smoke to nonsmoking areas.</w:t>
      </w:r>
    </w:p>
    <w:p>
      <w:pPr>
        <w:pStyle w:val="ListParagraph"/>
        <w:numPr>
          <w:ilvl w:val="0"/>
          <w:numId w:val="847"/>
        </w:numPr>
        <w:spacing/>
        <w:contextualSpacing/>
        <w:jc w:val="both"/>
        <w:rPr>
          <w:rFonts w:ascii="Verdana" w:hAnsi="Verdana" w:eastAsia="Verdana"/>
          <w:sz w:val="24"/>
          <w:szCs w:val="24"/>
        </w:rPr>
      </w:pPr>
      <w:r>
        <w:rPr>
          <w:rFonts w:ascii="Verdana" w:hAnsi="Verdana" w:eastAsia="Verdana"/>
          <w:sz w:val="24"/>
          <w:szCs w:val="24"/>
        </w:rPr>
        <w:t xml:space="preserve">The Facility shall provide suitable documentation, acceptable to the local board of health, that the Facility is the permanent domicile of the residents residing in that portion of the Facility, that information on the hazards of smoking and second-hand smoke have been provided to all residences and that smoking cessation aids are available to all residents who use tobacco products.</w:t>
      </w:r>
    </w:p>
    <w:p>
      <w:pPr>
        <w:pStyle w:val="ListParagraph"/>
        <w:numPr>
          <w:ilvl w:val="0"/>
          <w:numId w:val="847"/>
        </w:numPr>
        <w:spacing/>
        <w:contextualSpacing/>
        <w:jc w:val="both"/>
        <w:rPr>
          <w:rFonts w:ascii="Verdana" w:hAnsi="Verdana" w:eastAsia="Verdana"/>
          <w:sz w:val="24"/>
          <w:szCs w:val="24"/>
        </w:rPr>
      </w:pPr>
      <w:r>
        <w:rPr>
          <w:rFonts w:ascii="Verdana" w:hAnsi="Verdana" w:eastAsia="Verdana"/>
          <w:sz w:val="24"/>
          <w:szCs w:val="24"/>
        </w:rPr>
        <w:t xml:space="preserve">The designated residential area shall be in conformance with the all relevant smoking restriction requirements.  All residential areas shall be clearly designated as such and shall not be altered or otherwise changed without the express approval of the local board of health.</w:t>
      </w:r>
    </w:p>
    <w:p>
      <w:pPr>
        <w:pStyle w:val="ListParagraph"/>
        <w:numPr>
          <w:ilvl w:val="0"/>
          <w:numId w:val="847"/>
        </w:numPr>
        <w:spacing/>
        <w:contextualSpacing/>
        <w:jc w:val="both"/>
        <w:rPr>
          <w:rFonts w:ascii="Verdana" w:hAnsi="Verdana" w:eastAsia="Verdana"/>
          <w:sz w:val="24"/>
          <w:szCs w:val="24"/>
        </w:rPr>
      </w:pPr>
      <w:r>
        <w:rPr>
          <w:rFonts w:ascii="Verdana" w:hAnsi="Verdana" w:eastAsia="Verdana"/>
          <w:sz w:val="24"/>
          <w:szCs w:val="24"/>
        </w:rPr>
        <w:t xml:space="preserve">All areas of the Facility not designated as a residence shall comply with this section.</w:t>
      </w:r>
    </w:p>
    <w:p>
      <w:pPr>
        <w:pStyle w:val="ListParagraph"/>
        <w:numPr>
          <w:ilvl w:val="0"/>
          <w:numId w:val="847"/>
        </w:numPr>
        <w:spacing/>
        <w:contextualSpacing/>
        <w:jc w:val="both"/>
        <w:rPr>
          <w:rFonts w:ascii="Verdana" w:hAnsi="Verdana" w:eastAsia="Verdana"/>
          <w:sz w:val="24"/>
          <w:szCs w:val="24"/>
        </w:rPr>
      </w:pPr>
      <w:r>
        <w:rPr>
          <w:rFonts w:ascii="Verdana" w:hAnsi="Verdana" w:eastAsia="Verdana"/>
          <w:sz w:val="24"/>
          <w:szCs w:val="24"/>
        </w:rPr>
        <w:t xml:space="preserve">The Facility shall make reasonable accommodations for an employee, resident or visitor who does not wish to be exposed to smoke.</w:t>
      </w:r>
    </w:p>
    <w:p>
      <w:pPr>
        <w:pStyle w:val="ListParagraph"/>
        <w:numPr>
          <w:ilvl w:val="0"/>
          <w:numId w:val="847"/>
        </w:numPr>
        <w:spacing/>
        <w:contextualSpacing/>
        <w:jc w:val="both"/>
        <w:rPr>
          <w:rFonts w:ascii="Verdana" w:hAnsi="Verdana" w:eastAsia="Verdana"/>
          <w:sz w:val="24"/>
          <w:szCs w:val="24"/>
        </w:rPr>
      </w:pPr>
      <w:r>
        <w:rPr>
          <w:rFonts w:ascii="Verdana" w:hAnsi="Verdana" w:eastAsia="Verdana"/>
          <w:sz w:val="24"/>
          <w:szCs w:val="24"/>
        </w:rPr>
        <w:t xml:space="preserve">Upon compliance with this policy, submission of the required documentation and satisfactory inspection, the local board of health shall certify the designated portion of the Facility as a residence. The certification shall be valid for 1 year from the date of issuance. No fewer than 30 days before the expiration of the certification, the Facility may apply for re-certification. If the local board of health does not renew the certification before its expiration or provide notice that it has found sufficient cause to not recertify the residence portion of the Facility as such, the certification shall be considered to continue until the time as the local board of health notifies the Facility of its certification status.</w:t>
      </w:r>
    </w:p>
    <w:p>
      <w:pPr>
        <w:pStyle w:val="ListParagraph"/>
        <w:numPr>
          <w:ilvl w:val="0"/>
          <w:numId w:val="846"/>
        </w:numPr>
        <w:spacing/>
        <w:ind w:left="1170"/>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3"/>
          <w:numId w:val="848"/>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3"/>
          <w:numId w:val="848"/>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3"/>
          <w:numId w:val="848"/>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3"/>
          <w:numId w:val="848"/>
        </w:numPr>
        <w:spacing/>
        <w:contextualSpacing/>
        <w:jc w:val="both"/>
        <w:rPr>
          <w:rFonts w:ascii="Verdana" w:hAnsi="Verdana" w:eastAsia="Verdana"/>
          <w:sz w:val="24"/>
          <w:szCs w:val="24"/>
        </w:rPr>
      </w:pPr>
      <w:r>
        <w:rPr>
          <w:rFonts w:ascii="Verdana" w:hAnsi="Verdana" w:eastAsia="Verdana"/>
          <w:sz w:val="24"/>
          <w:szCs w:val="24"/>
        </w:rPr>
        <w:t xml:space="preserve">ash trays on noncombustible material in sufficient numbers. </w:t>
      </w:r>
    </w:p>
    <w:p>
      <w:pPr>
        <w:pStyle w:val="ListParagraph"/>
        <w:numPr>
          <w:ilvl w:val="0"/>
          <w:numId w:val="846"/>
        </w:numPr>
        <w:spacing/>
        <w:ind w:left="1170"/>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w:t>
      </w:r>
    </w:p>
    <w:p>
      <w:pPr>
        <w:pStyle w:val="ListParagraph"/>
        <w:numPr>
          <w:ilvl w:val="0"/>
          <w:numId w:val="845"/>
        </w:numPr>
        <w:spacing/>
        <w:contextualSpacing/>
        <w:jc w:val="both"/>
        <w:rPr>
          <w:rFonts w:ascii="Verdana" w:hAnsi="Verdana" w:eastAsia="Verdana"/>
          <w:sz w:val="24"/>
          <w:szCs w:val="24"/>
        </w:rPr>
      </w:pPr>
      <w:r>
        <w:rPr>
          <w:rFonts w:ascii="Verdana" w:hAnsi="Verdana" w:eastAsia="Verdana"/>
          <w:sz w:val="24"/>
          <w:szCs w:val="24"/>
        </w:rPr>
        <w:t xml:space="preserve">Discrimination or retaliation against a person making a complaint of a violation with regard to this policy is prohibited.</w:t>
      </w:r>
    </w:p>
    <w:p>
      <w:pPr>
        <w:pStyle w:val="ListParagraph"/>
        <w:numPr>
          <w:ilvl w:val="0"/>
          <w:numId w:val="118"/>
        </w:numPr>
        <w:spacing/>
        <w:contextualSpacing/>
        <w:jc w:val="both"/>
        <w:rPr>
          <w:rFonts w:ascii="Verdana" w:hAnsi="Verdana" w:eastAsia="Verdana"/>
          <w:sz w:val="24"/>
          <w:szCs w:val="24"/>
        </w:rPr>
      </w:pPr>
      <w:r>
        <w:rPr>
          <w:rFonts w:ascii="Verdana" w:hAnsi="Verdana" w:eastAsia="Verdana"/>
          <w:sz w:val="24"/>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5"/>
          <w:footerReference w:type="default" r:id="rId366"/>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49"/>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49"/>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49"/>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49"/>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49"/>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49"/>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49"/>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7"/>
          <w:footerReference w:type="default" r:id="rId36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7"/>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7"/>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7"/>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50"/>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50"/>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50"/>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50"/>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50"/>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50"/>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50"/>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50"/>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50"/>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50"/>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50"/>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50"/>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50"/>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7"/>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7"/>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7"/>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7"/>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7"/>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51"/>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51"/>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51"/>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51"/>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 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51"/>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51"/>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51"/>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7"/>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7"/>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487"/>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52"/>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52"/>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52"/>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discharge;</w:t>
      </w:r>
    </w:p>
    <w:p>
      <w:pPr>
        <w:pStyle w:val="ListParagraph"/>
        <w:numPr>
          <w:ilvl w:val="0"/>
          <w:numId w:val="852"/>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52"/>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3"/>
          <w:footerReference w:type="first" r:id="rId374"/>
          <w:headerReference w:type="even" r:id="rId375"/>
          <w:footerReference w:type="even" r:id="rId376"/>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3"/>
          <w:footerReference w:type="first" r:id="rId384"/>
          <w:headerReference w:type="even" r:id="rId385"/>
          <w:footerReference w:type="even" r:id="rId386"/>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0"/>
          <w:footerReference w:type="first" r:id="rId391"/>
          <w:headerReference w:type="even" r:id="rId392"/>
          <w:footerReference w:type="even" r:id="rId393"/>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53"/>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54"/>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54"/>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54"/>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54"/>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54"/>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54"/>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54"/>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54"/>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54"/>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54"/>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54"/>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54"/>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54"/>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54"/>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54"/>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54"/>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54"/>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54"/>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5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5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5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54"/>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54"/>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54"/>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54"/>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1"/>
        </w:numPr>
        <w:spacing w:after="160" w:line="259" w:lineRule="auto"/>
        <w:ind w:left="1800"/>
        <w:contextualSpacing/>
        <w:jc w:val="both"/>
        <w:rPr>
          <w:rFonts w:ascii="Verdana" w:hAnsi="Verdana" w:eastAsia="Verdana"/>
          <w:sz w:val="24"/>
          <w:szCs w:val="24"/>
        </w:rPr>
        <w:sectPr>
          <w:headerReference w:type="first" r:id="rId396"/>
          <w:footerReference w:type="first" r:id="rId397"/>
          <w:headerReference w:type="even" r:id="rId398"/>
          <w:footerReference w:type="even" r:id="rId399"/>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8"/>
        </w:numPr>
        <w:spacing w:after="160" w:line="259" w:lineRule="auto"/>
        <w:ind w:left="1440"/>
        <w:contextualSpacing/>
        <w:jc w:val="both"/>
        <w:rPr>
          <w:rFonts w:ascii="Verdana" w:hAnsi="Verdana" w:eastAsia="Verdana"/>
          <w:sz w:val="24"/>
          <w:szCs w:val="24"/>
        </w:rPr>
        <w:sectPr>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5"/>
        </w:numPr>
        <w:spacing w:before="120" w:line="260" w:lineRule="atLeast"/>
        <w:ind w:left="720"/>
        <w:jc w:val="both"/>
        <w:rPr>
          <w:rFonts w:ascii="Verdana" w:hAnsi="Verdana" w:eastAsia="Verdana"/>
          <w:sz w:val="24"/>
        </w:rPr>
      </w:pPr>
      <w:bookmarkStart w:id="52" w:name="Bookmark__b"/>
      <w:bookmarkEnd w:id="52"/>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53" w:name="Bookmark__b_1"/>
      <w:bookmarkEnd w:id="53"/>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4" w:name="Bookmark__b_2"/>
      <w:bookmarkEnd w:id="54"/>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5" w:name="Bookmark__b_3"/>
      <w:bookmarkEnd w:id="55"/>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6" w:name="Bookmark__b_3_i"/>
      <w:bookmarkEnd w:id="56"/>
    </w:p>
    <w:p>
      <w:pPr>
        <w:pStyle w:val="Normal0"/>
        <w:numPr>
          <w:ilvl w:val="1"/>
          <w:numId w:val="291"/>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7" w:name="Bookmark__b_3_ii"/>
      <w:bookmarkEnd w:id="57"/>
    </w:p>
    <w:p>
      <w:pPr>
        <w:pStyle w:val="Normal0"/>
        <w:numPr>
          <w:ilvl w:val="1"/>
          <w:numId w:val="291"/>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1"/>
        </w:numPr>
        <w:spacing w:before="120" w:line="260" w:lineRule="atLeast"/>
        <w:ind w:left="1080"/>
        <w:jc w:val="both"/>
        <w:rPr>
          <w:rFonts w:ascii="Verdana" w:hAnsi="Verdana" w:eastAsia="Verdana"/>
          <w:sz w:val="24"/>
        </w:rPr>
      </w:pPr>
      <w:bookmarkStart w:id="58" w:name="Bookmark__b_4"/>
      <w:bookmarkEnd w:id="58"/>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9" w:name="Bookmark__b_5"/>
      <w:bookmarkEnd w:id="59"/>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60" w:name="Bookmark__b_6"/>
      <w:bookmarkEnd w:id="60"/>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61" w:name="Bookmark__b_7"/>
      <w:bookmarkEnd w:id="61"/>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62" w:name="Bookmark__b_7_i"/>
      <w:bookmarkEnd w:id="62"/>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63" w:name="Bookmark__b_7_ii"/>
      <w:bookmarkEnd w:id="63"/>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4" w:name="Bookmark__b_7_iii"/>
      <w:bookmarkEnd w:id="64"/>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5"/>
        </w:numPr>
        <w:spacing w:before="120" w:line="260" w:lineRule="atLeast"/>
        <w:ind w:left="720"/>
        <w:jc w:val="both"/>
        <w:rPr>
          <w:rFonts w:ascii="Verdana" w:hAnsi="Verdana" w:eastAsia="Verdana"/>
          <w:sz w:val="24"/>
        </w:rPr>
      </w:pPr>
      <w:bookmarkStart w:id="65" w:name="Bookmark__c"/>
      <w:bookmarkEnd w:id="65"/>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6" w:name="Bookmark__c_1"/>
      <w:bookmarkEnd w:id="66"/>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7" w:name="Bookmark__c_2"/>
      <w:bookmarkEnd w:id="67"/>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8" w:name="Bookmark__c_2_i"/>
      <w:bookmarkEnd w:id="68"/>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9" w:name="Bookmark__c_2_ii"/>
      <w:bookmarkEnd w:id="69"/>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70" w:name="Bookmark__c_2_iii"/>
      <w:bookmarkEnd w:id="70"/>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71" w:name="Bookmark__c_2_iv"/>
      <w:bookmarkEnd w:id="71"/>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72" w:name="Bookmark__c_2_v"/>
      <w:bookmarkEnd w:id="72"/>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73" w:name="Bookmark__c_3"/>
      <w:bookmarkEnd w:id="73"/>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4" w:name="Bookmark__c_3_i"/>
      <w:bookmarkEnd w:id="74"/>
      <w:r>
        <w:rPr>
          <w:rFonts w:ascii="Verdana" w:hAnsi="Verdana" w:eastAsia="Verdana"/>
          <w:sz w:val="24"/>
        </w:rPr>
        <w:t xml:space="preserve">:</w:t>
      </w:r>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5" w:name="Bookmark__c_3_ii"/>
      <w:bookmarkEnd w:id="75"/>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6" w:name="Bookmark__c_3_iii"/>
      <w:bookmarkEnd w:id="76"/>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77" w:name="Bookmark__c_4"/>
      <w:bookmarkEnd w:id="77"/>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8" w:name="Bookmark__c_5"/>
      <w:bookmarkEnd w:id="78"/>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9" w:name="Bookmark__c_6"/>
      <w:bookmarkEnd w:id="79"/>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80" w:name="Bookmark__c_7"/>
      <w:bookmarkEnd w:id="80"/>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81" w:name="Bookmark__c_8"/>
      <w:bookmarkEnd w:id="81"/>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82" w:name="Bookmark__d"/>
      <w:bookmarkEnd w:id="82"/>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83" w:name="Bookmark__d_1"/>
      <w:bookmarkEnd w:id="83"/>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4" w:name="Bookmark__d_2"/>
      <w:bookmarkEnd w:id="84"/>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5" w:name="Bookmark__d_3"/>
      <w:bookmarkEnd w:id="85"/>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6" w:name="Bookmark__d_5"/>
      <w:bookmarkEnd w:id="86"/>
      <w:r>
        <w:rPr>
          <w:rFonts w:ascii="Verdana" w:hAnsi="Verdana" w:eastAsia="Verdana"/>
          <w:color w:val="000000"/>
          <w:sz w:val="24"/>
        </w:rPr>
        <w:t xml:space="preserve">if any, among options</w:t>
      </w:r>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7" w:name="Bookmark__e"/>
      <w:bookmarkEnd w:id="87"/>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8" w:name="Bookmark__e_1"/>
      <w:bookmarkEnd w:id="88"/>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9" w:name="Bookmark__e_2"/>
      <w:bookmarkEnd w:id="89"/>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90" w:name="Bookmark__e_3"/>
      <w:bookmarkEnd w:id="90"/>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91" w:name="Bookmark__e_4"/>
      <w:bookmarkEnd w:id="91"/>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92" w:name="Bookmark__e_5"/>
      <w:bookmarkEnd w:id="92"/>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93" w:name="Bookmark__e_6"/>
      <w:bookmarkEnd w:id="93"/>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4" w:name="Bookmark__e_7"/>
      <w:bookmarkEnd w:id="94"/>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5" w:name="Bookmark__e_7_i"/>
      <w:bookmarkEnd w:id="95"/>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6" w:name="Bookmark__e_7_ii"/>
      <w:bookmarkEnd w:id="96"/>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7" w:name="Bookmark__e_7_iii"/>
      <w:bookmarkEnd w:id="97"/>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8" w:name="Bookmark__e_8"/>
      <w:bookmarkEnd w:id="98"/>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9" w:name="Bookmark__f"/>
      <w:bookmarkEnd w:id="99"/>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100" w:name="Bookmark__f_1"/>
      <w:bookmarkEnd w:id="100"/>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101" w:name="Bookmark__f_2"/>
      <w:bookmarkEnd w:id="101"/>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102" w:name="Bookmark__f_3"/>
      <w:bookmarkEnd w:id="102"/>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103" w:name="Bookmark__f_4"/>
      <w:bookmarkEnd w:id="103"/>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4" w:name="Bookmark__f_4_i"/>
      <w:bookmarkEnd w:id="104"/>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5" w:name="Bookmark__f_4_i_a"/>
      <w:bookmarkEnd w:id="105"/>
      <w:r>
        <w:rPr>
          <w:rFonts w:ascii="Verdana" w:hAnsi="Verdana" w:eastAsia="Verdana"/>
          <w:color w:val="000000"/>
          <w:sz w:val="24"/>
        </w:rPr>
        <w:t xml:space="preserve">:</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6" w:name="Bookmark__f_4_i_b"/>
      <w:bookmarkEnd w:id="106"/>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7" w:name="Bookmark__f_4_i_c"/>
      <w:bookmarkEnd w:id="10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8" w:name="Bookmark__f_4_i_d"/>
      <w:bookmarkEnd w:id="108"/>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9" w:name="Bookmark__f_4_i_e"/>
      <w:bookmarkEnd w:id="109"/>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10" w:name="Bookmark__f_4_i_f"/>
      <w:bookmarkEnd w:id="110"/>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11" w:name="Bookmark__f_4_i_g"/>
      <w:bookmarkEnd w:id="11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12" w:name="Bookmark__f_4_ii"/>
      <w:bookmarkEnd w:id="112"/>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13" w:name="Bookmark__f_4_iii"/>
      <w:bookmarkEnd w:id="113"/>
      <w:r>
        <w:rPr>
          <w:rFonts w:ascii="Verdana" w:hAnsi="Verdana" w:eastAsia="Verdana"/>
          <w:color w:val="000000"/>
          <w:sz w:val="24"/>
        </w:rPr>
        <w:t xml:space="preserve">.</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4" w:name="Bookmark__f_4_vi_a"/>
      <w:bookmarkEnd w:id="11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5" w:name="Bookmark__f_4_vi_b"/>
      <w:bookmarkEnd w:id="115"/>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16" w:name="Bookmark__f_4_vi_c"/>
      <w:bookmarkEnd w:id="116"/>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7" w:name="Bookmark__f_4_vi_d"/>
      <w:bookmarkEnd w:id="11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8" w:name="Bookmark__f_5"/>
      <w:bookmarkEnd w:id="118"/>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9" w:name="Bookmark__f_5_ii"/>
      <w:bookmarkEnd w:id="119"/>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20" w:name="Bookmark__f_5_iv_b"/>
      <w:bookmarkEnd w:id="120"/>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21" w:name="Bookmark__f_6"/>
      <w:bookmarkEnd w:id="121"/>
    </w:p>
    <w:p>
      <w:pPr>
        <w:pStyle w:val="Normal0"/>
        <w:numPr>
          <w:ilvl w:val="0"/>
          <w:numId w:val="445"/>
        </w:numPr>
        <w:spacing w:before="120" w:line="260" w:lineRule="atLeast"/>
        <w:ind w:left="1080"/>
        <w:jc w:val="both"/>
        <w:rPr>
          <w:rFonts w:ascii="Verdana" w:hAnsi="Verdana" w:eastAsia="Verdana"/>
          <w:sz w:val="24"/>
        </w:rPr>
      </w:pPr>
      <w:bookmarkStart w:id="122" w:name="Bookmark__f_7"/>
      <w:bookmarkEnd w:id="122"/>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23" w:name="Bookmark__f_8"/>
      <w:bookmarkEnd w:id="123"/>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4" w:name="Bookmark__f_9"/>
      <w:bookmarkEnd w:id="124"/>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5" w:name="Bookmark__f_9_i"/>
      <w:bookmarkEnd w:id="125"/>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6" w:name="Bookmark__f_9_ii"/>
      <w:bookmarkEnd w:id="126"/>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7" w:name="Bookmark__f_9_iii"/>
      <w:bookmarkEnd w:id="127"/>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8" w:name="Bookmark__f_9_iv"/>
      <w:bookmarkEnd w:id="128"/>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9" w:name="Bookmark__f_10"/>
      <w:bookmarkEnd w:id="129"/>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30" w:name="Bookmark__f_10_i"/>
      <w:bookmarkEnd w:id="130"/>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31" w:name="Bookmark__f_10_ii"/>
      <w:bookmarkEnd w:id="131"/>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32" w:name="Bookmark__f_10_ii_b"/>
      <w:bookmarkEnd w:id="13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33" w:name="Bookmark__f_10_iii"/>
      <w:bookmarkEnd w:id="133"/>
      <w:r>
        <w:rPr>
          <w:rFonts w:ascii="Verdana" w:hAnsi="Verdana" w:eastAsia="Verdana"/>
          <w:color w:val="000000"/>
          <w:sz w:val="24"/>
        </w:rPr>
        <w:t xml:space="preserve"> State laws may have additional requirements.</w:t>
      </w:r>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4" w:name="Bookmark__f_10_iii_b"/>
      <w:bookmarkEnd w:id="13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5" w:name="Bookmark__f_10_iii_c"/>
      <w:bookmarkEnd w:id="135"/>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6" w:name="Bookmark__f_10_iv"/>
      <w:bookmarkEnd w:id="136"/>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7" w:name="Bookmark__f_10_iv_a"/>
      <w:bookmarkEnd w:id="13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8" w:name="Bookmark__f_10_iv_b"/>
      <w:bookmarkEnd w:id="138"/>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9" w:name="Bookmark__f_10_v"/>
      <w:bookmarkEnd w:id="139"/>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40" w:name="Bookmark__f_10_vi"/>
      <w:bookmarkEnd w:id="140"/>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41" w:name="Bookmark__f_11"/>
      <w:bookmarkEnd w:id="141"/>
    </w:p>
    <w:p>
      <w:pPr>
        <w:pStyle w:val="Normal0"/>
        <w:numPr>
          <w:ilvl w:val="0"/>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42" w:name="Bookmark__f_11_i"/>
      <w:bookmarkEnd w:id="142"/>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43" w:name="Bookmark__f_11_i_a"/>
      <w:bookmarkEnd w:id="143"/>
      <w:r>
        <w:rPr>
          <w:rFonts w:ascii="Verdana" w:hAnsi="Verdana" w:eastAsia="Verdana"/>
          <w:color w:val="000000"/>
          <w:sz w:val="24"/>
        </w:rPr>
        <w:t xml:space="preserve">:</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4" w:name="Bookmark__f_11_i_b"/>
      <w:bookmarkEnd w:id="144"/>
      <w:r>
        <w:rPr>
          <w:rFonts w:ascii="Verdana" w:hAnsi="Verdana" w:eastAsia="Verdana"/>
          <w:color w:val="000000"/>
          <w:sz w:val="24"/>
        </w:rPr>
        <w:t xml:space="preserve"> </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5" w:name="Bookmark__f_11_i_c"/>
      <w:bookmarkEnd w:id="145"/>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6" w:name="Bookmark__f_11_i_d"/>
      <w:bookmarkEnd w:id="146"/>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7" w:name="Bookmark__f_11_i_e"/>
      <w:bookmarkEnd w:id="14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8" w:name="Bookmark__f_11_i_f"/>
      <w:bookmarkEnd w:id="148"/>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9" w:name="Bookmark__f_11_i_g"/>
      <w:bookmarkEnd w:id="149"/>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50" w:name="Bookmark__f_11_ii"/>
      <w:bookmarkEnd w:id="150"/>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51" w:name="Bookmark__f_11_ii_a"/>
      <w:bookmarkEnd w:id="15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52" w:name="Bookmark__f_11_ii_b"/>
      <w:bookmarkEnd w:id="15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53" w:name="Bookmark__f_11_ii_c"/>
      <w:bookmarkEnd w:id="15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4" w:name="Bookmark__f_11_ii_d"/>
      <w:bookmarkEnd w:id="15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5" w:name="Bookmark__f_11_ii_e"/>
      <w:bookmarkEnd w:id="155"/>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6" w:name="Bookmark__f_11_ii_f"/>
      <w:bookmarkEnd w:id="156"/>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7" w:name="Bookmark__f_11_ii_g"/>
      <w:bookmarkEnd w:id="15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8" w:name="Bookmark__f_11_ii_h"/>
      <w:bookmarkEnd w:id="158"/>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9" w:name="Bookmark__f_11_ii_i"/>
      <w:bookmarkEnd w:id="159"/>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60" w:name="Bookmark__f_11_ii_j"/>
      <w:bookmarkEnd w:id="160"/>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61" w:name="Bookmark__f_11_ii_k"/>
      <w:bookmarkEnd w:id="16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62" w:name="Bookmark__f_11_ii_l"/>
      <w:bookmarkEnd w:id="16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63" w:name="Bookmark__f_11_ii_l_1"/>
      <w:bookmarkEnd w:id="163"/>
    </w:p>
    <w:p>
      <w:pPr>
        <w:pStyle w:val="Normal0"/>
        <w:numPr>
          <w:ilvl w:val="3"/>
          <w:numId w:val="445"/>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4" w:name="Bookmark__f_11_ii_l_2"/>
      <w:bookmarkEnd w:id="164"/>
    </w:p>
    <w:p>
      <w:pPr>
        <w:pStyle w:val="Normal0"/>
        <w:numPr>
          <w:ilvl w:val="3"/>
          <w:numId w:val="445"/>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5" w:name="Bookmark__f_11_iii"/>
      <w:bookmarkEnd w:id="165"/>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6" w:name="Bookmark__g"/>
      <w:bookmarkStart w:id="167" w:name="Bookmark__g_1"/>
      <w:bookmarkEnd w:id="166"/>
      <w:bookmarkEnd w:id="167"/>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8" w:name="Bookmark__g_2"/>
      <w:bookmarkEnd w:id="16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9" w:name="Bookmark__g_2_ii_a"/>
      <w:bookmarkEnd w:id="16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70" w:name="Bookmark__g_2_ii_b"/>
      <w:bookmarkEnd w:id="17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71" w:name="Bookmark__g_2_ii_c"/>
      <w:bookmarkEnd w:id="17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72" w:name="Bookmark__g_3"/>
      <w:bookmarkEnd w:id="172"/>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73" w:name="Bookmark__g_4"/>
      <w:bookmarkEnd w:id="17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4" w:name="Bookmark__g_4_i"/>
      <w:bookmarkEnd w:id="17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5" w:name="Bookmark__g_4_i_a"/>
      <w:bookmarkEnd w:id="175"/>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6" w:name="Bookmark__g_4_i_b"/>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7" w:name="Bookmark__g_4_i_c"/>
      <w:bookmarkEnd w:id="17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8" w:name="Bookmark__g_4_i_d"/>
      <w:bookmarkEnd w:id="178"/>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9" w:name="Bookmark__g_4_ii"/>
      <w:bookmarkEnd w:id="17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80" w:name="Bookmark__g_4_iii"/>
      <w:bookmarkEnd w:id="180"/>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81" w:name="Bookmark__g_4_iv"/>
      <w:bookmarkEnd w:id="181"/>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82" w:name="Bookmark__g_4_v"/>
      <w:bookmarkEnd w:id="182"/>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83" w:name="Bookmark__g_4_vi"/>
      <w:bookmarkEnd w:id="183"/>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4" w:name="Bookmark__g_5"/>
      <w:bookmarkEnd w:id="18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5" w:name="Bookmark__g_5_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6" w:name="Bookmark__g_5_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187" w:name="Bookmark__g_7"/>
      <w:bookmarkEnd w:id="18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8" w:name="Bookmark__g_7_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9" w:name="Bookmark__g_7_i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90" w:name="Bookmark__g_7_ii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91" w:name="Bookmark__g_8"/>
      <w:bookmarkEnd w:id="19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92" w:name="Bookmark__g_8_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93" w:name="Bookmark__g_8_i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4" w:name="Bookmark__g_9_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5" w:name="Bookmark__g_9_i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6" w:name="Bookmark__g_9_ii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7" w:name="Bookmark__g_10"/>
      <w:bookmarkEnd w:id="19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8" w:name="Bookmark__g_10_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9" w:name="Bookmark__g_10_ii"/>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200" w:name="Bookmark__g_11_i"/>
      <w:bookmarkEnd w:id="20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201" w:name="Bookmark__g_11_i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202" w:name="Bookmark__g_11_i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203" w:name="Bookmark__g_11_iv"/>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4" w:name="Bookmark__g_12"/>
      <w:bookmarkEnd w:id="20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5" w:name="Bookmark__g_12_i"/>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6" w:name="Bookmark__g_12_ii"/>
      <w:bookmarkEnd w:id="20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7" w:name="Bookmark__g_12_iii"/>
      <w:bookmarkEnd w:id="20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8" w:name="Bookmark__g_12_iv"/>
      <w:bookmarkEnd w:id="20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9" w:name="Bookmark__g_12_v"/>
      <w:bookmarkEnd w:id="20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10" w:name="Bookmark__g_13"/>
      <w:bookmarkEnd w:id="21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11" w:name="Bookmark__g_14"/>
      <w:bookmarkEnd w:id="21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12" w:name="Bookmark__g_14_a"/>
      <w:bookmarkEnd w:id="21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13" w:name="Bookmark__g_14_b"/>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4" w:name="Bookmark__g_14_c"/>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5" w:name="Bookmark__g_14_d"/>
      <w:bookmarkEnd w:id="21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6" w:name="Bookmark__g_14_d_ii"/>
      <w:bookmarkEnd w:id="21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7" w:name="Bookmark__g_14_d_iii_a"/>
      <w:bookmarkEnd w:id="21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8" w:name="Bookmark__g_14_d_iii_b"/>
      <w:bookmarkEnd w:id="21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9" w:name="Bookmark__g_15"/>
      <w:bookmarkEnd w:id="21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20" w:name="Bookmark__g_16_iii"/>
      <w:bookmarkEnd w:id="22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21" w:name="Bookmark__g_17"/>
      <w:bookmarkEnd w:id="221"/>
      <w:r>
        <w:rPr>
          <w:rFonts w:ascii="Verdana" w:hAnsi="Verdana" w:eastAsia="Verdana"/>
          <w:color w:val="000000"/>
          <w:sz w:val="24"/>
        </w:rPr>
        <w:t xml:space="preserve">The Facility</w:t>
      </w:r>
      <w:r>
        <w:rPr>
          <w:rFonts w:ascii="Verdana" w:hAnsi="Verdana" w:eastAsia="Verdana"/>
          <w:color w:val="000000"/>
          <w:sz w:val="24"/>
        </w:rPr>
        <w:t xml:space="preserve"> will</w:t>
      </w:r>
      <w:bookmarkStart w:id="222" w:name="Bookmark__g_17_i"/>
      <w:bookmarkEnd w:id="222"/>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23" w:name="Bookmark__g_17_i_a"/>
      <w:bookmarkEnd w:id="223"/>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4" w:name="Bookmark__g_17_i_b"/>
      <w:bookmarkEnd w:id="224"/>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5" w:name="Bookmark__g_17_ii"/>
      <w:bookmarkEnd w:id="225"/>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6" w:name="Bookmark__g_18"/>
      <w:bookmarkEnd w:id="226"/>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7" w:name="Bookmark__g_18_i"/>
      <w:bookmarkEnd w:id="22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8" w:name="Bookmark__g_18_ii"/>
      <w:bookmarkEnd w:id="22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9" w:name="Bookmark__g_18_iii"/>
      <w:bookmarkEnd w:id="22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30" w:name="Bookmark__g_18_iv"/>
      <w:bookmarkEnd w:id="23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31" w:name="Bookmark__g_18_v"/>
      <w:bookmarkStart w:id="232" w:name="Bookmark__h"/>
      <w:bookmarkEnd w:id="231"/>
      <w:bookmarkEnd w:id="232"/>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33" w:name="Bookmark__h_1"/>
      <w:bookmarkEnd w:id="233"/>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4" w:name="Bookmark__h_2"/>
      <w:bookmarkEnd w:id="234"/>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5" w:name="Bookmark__h_3_i"/>
      <w:bookmarkEnd w:id="235"/>
      <w:r>
        <w:rPr>
          <w:rFonts w:ascii="Verdana" w:hAnsi="Verdana" w:eastAsia="Verdana"/>
          <w:color w:val="000000"/>
          <w:sz w:val="24"/>
        </w:rPr>
        <w:t xml:space="preserve">.</w:t>
      </w:r>
    </w:p>
    <w:p>
      <w:pPr>
        <w:pStyle w:val="Normal0"/>
        <w:numPr>
          <w:ilvl w:val="1"/>
          <w:numId w:val="519"/>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6" w:name="Bookmark__h_3_ii"/>
      <w:bookmarkEnd w:id="236"/>
    </w:p>
    <w:p>
      <w:pPr>
        <w:pStyle w:val="Normal0"/>
        <w:numPr>
          <w:ilvl w:val="1"/>
          <w:numId w:val="519"/>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7" w:name="Bookmark__i"/>
      <w:bookmarkEnd w:id="237"/>
    </w:p>
    <w:p>
      <w:pPr>
        <w:pStyle w:val="Normal0"/>
        <w:numPr>
          <w:ilvl w:val="0"/>
          <w:numId w:val="805"/>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8" w:name="Bookmark__i_1"/>
      <w:bookmarkEnd w:id="238"/>
      <w:r>
        <w:rPr>
          <w:rFonts w:ascii="Verdana" w:hAnsi="Verdana" w:eastAsia="Verdana"/>
          <w:sz w:val="24"/>
        </w:rPr>
        <w:t xml:space="preserve">:</w:t>
      </w:r>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9" w:name="Bookmark__i_1_i"/>
      <w:bookmarkEnd w:id="239"/>
    </w:p>
    <w:p>
      <w:pPr>
        <w:pStyle w:val="Normal0"/>
        <w:numPr>
          <w:ilvl w:val="1"/>
          <w:numId w:val="703"/>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3"/>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40" w:name="Bookmark__i_2"/>
      <w:bookmarkEnd w:id="240"/>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41" w:name="Bookmark__i_3"/>
      <w:bookmarkEnd w:id="241"/>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42" w:name="Bookmark__i_4"/>
      <w:bookmarkEnd w:id="242"/>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43" w:name="Bookmark__i_5"/>
      <w:bookmarkEnd w:id="243"/>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4" w:name="Bookmark__i_6"/>
      <w:bookmarkEnd w:id="244"/>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5" w:name="Bookmark__i_7"/>
      <w:bookmarkEnd w:id="245"/>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5"/>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6" w:name="Bookmark__j"/>
      <w:bookmarkStart w:id="247" w:name="Bookmark__j_1"/>
      <w:bookmarkEnd w:id="246"/>
      <w:bookmarkEnd w:id="247"/>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8" w:name="Bookmark__j_2"/>
      <w:bookmarkEnd w:id="248"/>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9" w:name="Bookmark__j_4_i"/>
      <w:bookmarkEnd w:id="249"/>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50" w:name="Bookmark__j_4_ii"/>
      <w:bookmarkEnd w:id="250"/>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51" w:name="Bookmark__j_4_iii"/>
      <w:bookmarkEnd w:id="251"/>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52" w:name="Bookmark__j_4_iv"/>
      <w:bookmarkEnd w:id="252"/>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53" w:name="Bookmark__j_4_v"/>
      <w:bookmarkEnd w:id="253"/>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4" w:name="Bookmark__j_4_vi"/>
      <w:bookmarkEnd w:id="254"/>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5" w:name="Bookmark__j_4_vii"/>
      <w:bookmarkEnd w:id="255"/>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6" w:name="Bookmark__k"/>
      <w:bookmarkEnd w:id="256"/>
    </w:p>
    <w:p>
      <w:pPr>
        <w:pStyle w:val="Normal0"/>
        <w:numPr>
          <w:ilvl w:val="0"/>
          <w:numId w:val="805"/>
        </w:numPr>
        <w:spacing w:before="120" w:line="260" w:lineRule="atLeast"/>
        <w:ind w:left="720"/>
        <w:jc w:val="both"/>
        <w:rPr>
          <w:rFonts w:ascii="Verdana" w:hAnsi="Verdana" w:eastAsia="Verdana"/>
          <w:color w:val="000000"/>
          <w:sz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I.A.a.i-ii of this policy.</w:t>
      </w:r>
    </w:p>
    <w:p>
      <w:pPr>
        <w:pStyle w:val="ListParagraph"/>
        <w:numPr>
          <w:ilvl w:val="2"/>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7"/>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2"/>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7"/>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7"/>
        </w:numPr>
        <w:spacing w:after="160" w:line="259" w:lineRule="auto"/>
        <w:contextualSpacing/>
        <w:jc w:val="both"/>
        <w:rPr>
          <w:rFonts w:ascii="Verdana" w:hAnsi="Verdana" w:eastAsia="Verdana"/>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4"/>
        </w:numPr>
        <w:spacing w:after="160" w:line="259" w:lineRule="auto"/>
        <w:contextualSpacing/>
        <w:jc w:val="both"/>
        <w:rPr>
          <w:rFonts w:ascii="Verdana" w:hAnsi="Verdana" w:eastAsia="Verdan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9"/>
        </w:numPr>
        <w:spacing w:after="160" w:line="259" w:lineRule="auto"/>
        <w:contextualSpacing/>
        <w:jc w:val="both"/>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7"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55"/>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55"/>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55"/>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55"/>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55"/>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55"/>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55"/>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55"/>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55"/>
        </w:numPr>
        <w:spacing w:after="160" w:line="256" w:lineRule="auto"/>
        <w:ind w:left="720"/>
        <w:contextualSpacing/>
        <w:jc w:val="both"/>
        <w:rPr>
          <w:rFonts w:ascii="Verdana" w:hAnsi="Verdana" w:eastAsia="Verdana"/>
          <w:color w:val="FF0000"/>
          <w:sz w:val="24"/>
          <w:szCs w:val="24"/>
        </w:rPr>
      </w:pPr>
      <w:bookmarkStart w:id="258"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8"/>
    <w:p>
      <w:pPr>
        <w:pStyle w:val="ListParagraph"/>
        <w:numPr>
          <w:ilvl w:val="0"/>
          <w:numId w:val="855"/>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55"/>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55"/>
        </w:numPr>
        <w:spacing w:after="160" w:line="256" w:lineRule="auto"/>
        <w:ind w:left="720"/>
        <w:contextualSpacing/>
        <w:jc w:val="both"/>
        <w:rPr>
          <w:rFonts w:ascii="Verdana" w:hAnsi="Verdana" w:eastAsia="Verdana"/>
          <w:sz w:val="24"/>
          <w:szCs w:val="24"/>
        </w:rPr>
      </w:pPr>
      <w:bookmarkStart w:id="259" w:name="_Hlk507585456"/>
      <w:r>
        <w:rPr>
          <w:rFonts w:ascii="Verdana" w:hAnsi="Verdana" w:eastAsia="Verdana"/>
          <w:sz w:val="24"/>
          <w:szCs w:val="24"/>
        </w:rPr>
        <w:t xml:space="preserve">The Facility will provide for education of staff concerning its policies and procedures on advance directives.</w:t>
      </w:r>
    </w:p>
    <w:bookmarkEnd w:id="259"/>
    <w:p>
      <w:pPr>
        <w:pStyle w:val="ListParagraph"/>
        <w:numPr>
          <w:ilvl w:val="0"/>
          <w:numId w:val="855"/>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55"/>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5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5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55"/>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7"/>
    <w:p>
      <w:pPr>
        <w:pStyle w:val="ListParagraph"/>
        <w:numPr>
          <w:ilvl w:val="0"/>
          <w:numId w:val="751"/>
        </w:numPr>
        <w:spacing w:after="160" w:line="259" w:lineRule="auto"/>
        <w:ind w:left="720"/>
        <w:contextualSpacing/>
        <w:jc w:val="both"/>
        <w:rPr>
          <w:rFonts w:ascii="Verdana" w:hAnsi="Verdana" w:eastAsia="Verdana"/>
          <w:color w:val="FF0000"/>
          <w:sz w:val="24"/>
          <w:szCs w:val="24"/>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18"/>
          <w:footerReference w:type="first" r:id="rId419"/>
          <w:headerReference w:type="even" r:id="rId420"/>
          <w:footerReference w:type="even" r:id="rId421"/>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2"/>
        </w:numPr>
        <w:spacing w:after="160" w:line="259" w:lineRule="auto"/>
        <w:contextualSpacing/>
        <w:jc w:val="both"/>
        <w:rPr>
          <w:rFonts w:ascii="Verdana" w:hAnsi="Verdana" w:eastAsia="Verdana"/>
          <w:sz w:val="24"/>
          <w:szCs w:val="24"/>
        </w:rPr>
        <w:sectPr>
          <w:headerReference w:type="first" r:id="rId424"/>
          <w:footerReference w:type="first" r:id="rId425"/>
          <w:headerReference w:type="even" r:id="rId426"/>
          <w:footerReference w:type="even" r:id="rId427"/>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5"/>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5"/>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5"/>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5"/>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56"/>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56"/>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56"/>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56"/>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56"/>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5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5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56"/>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59"/>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59"/>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59"/>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59"/>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59"/>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56"/>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56"/>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56"/>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56"/>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56"/>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60" w:name="_Hlk20392876"/>
      <w:r>
        <w:rPr>
          <w:rFonts w:ascii="Verdana" w:hAnsi="Verdana" w:eastAsia="Verdana"/>
          <w:bCs/>
          <w:color w:val="333333"/>
          <w:sz w:val="24"/>
          <w:shd w:val="clear" w:color="auto" w:fill="FFFFFF"/>
        </w:rPr>
        <w:t xml:space="preserve">Each resident must remain under the care of a physician</w:t>
      </w:r>
      <w:bookmarkEnd w:id="260"/>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63"/>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63"/>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63"/>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63"/>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64"/>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64"/>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64"/>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63"/>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65"/>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65"/>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65"/>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65"/>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63"/>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63"/>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63"/>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66"/>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66"/>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66"/>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3"/>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67"/>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67"/>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3"/>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63"/>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63"/>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3"/>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63"/>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63"/>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68"/>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69"/>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69"/>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70"/>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70"/>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70"/>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70"/>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70"/>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70"/>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70"/>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70"/>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69"/>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69"/>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68"/>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71"/>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71"/>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71"/>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71"/>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71"/>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68"/>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70"/>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68"/>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7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7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7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7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7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7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7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68"/>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68"/>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68"/>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68"/>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68"/>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68"/>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68"/>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68"/>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68"/>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Annual review. The Facility will conduct an annual review of its IPCP and update their program, as necessary.</w:t>
      </w: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4"/>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4"/>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61"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61"/>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shd w:val="clear" w:color="auto" w:fill="FFFFFF"/>
        <w:spacing w:before="150" w:after="150" w:line="240" w:lineRule="auto"/>
        <w:contextualSpacing/>
        <w:rPr>
          <w:rFonts w:ascii="Verdana" w:hAnsi="Verdana" w:eastAsia="Verdana" w:cs="Times New Roman"/>
          <w:bCs/>
          <w:szCs w:val="24"/>
        </w:rPr>
        <w:sectPr>
          <w:footerReference w:type="default" r:id="rId44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r>
        <w:rPr>
          <w:rFonts w:ascii="Verdana" w:hAnsi="Verdana" w:eastAsia="Verdana"/>
          <w:b/>
          <w:smallCaps/>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Provision of Information on </w:t>
      </w:r>
    </w:p>
    <w:p>
      <w:pPr>
        <w:spacing/>
        <w:jc w:val="center"/>
        <w:rPr>
          <w:rFonts w:ascii="Verdana" w:hAnsi="Verdana" w:eastAsia="Verdana"/>
          <w:b/>
          <w:smallCaps/>
          <w:sz w:val="28"/>
        </w:rPr>
      </w:pPr>
      <w:r>
        <w:rPr>
          <w:rFonts w:ascii="Verdana" w:hAnsi="Verdana" w:eastAsia="Verdana"/>
          <w:b/>
          <w:smallCaps/>
          <w:sz w:val="28"/>
        </w:rPr>
        <w:t xml:space="preserve">Palliative Care and End-Of-Life Options</w:t>
      </w:r>
    </w:p>
    <w:p>
      <w:pPr>
        <w:spacing/>
        <w:rPr>
          <w:rFonts w:ascii="Verdana" w:hAnsi="Verdana" w:eastAsia="Verdana"/>
          <w:b/>
          <w:szCs w:val="24"/>
        </w:rPr>
      </w:pP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timely and appropriate provision of information regarding palliative care and end-of-life options.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146"/>
        </w:numPr>
        <w:spacing w:after="160" w:line="259" w:lineRule="auto"/>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 shall distribute to appropriate residents, directly or through professionally qualified individuals, culturally and linguistically suitable information regarding the availability of palliative care and end-of-life options. This obligation shall be fulfilled by providing the resident with:</w:t>
      </w:r>
    </w:p>
    <w:p>
      <w:pPr>
        <w:pStyle w:val="ListParagraph"/>
        <w:numPr>
          <w:ilvl w:val="1"/>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Department of Public Health-based information pamphlet; or</w:t>
      </w:r>
    </w:p>
    <w:p>
      <w:pPr>
        <w:pStyle w:val="ListParagraph"/>
        <w:numPr>
          <w:ilvl w:val="1"/>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similar informational pamphlet that meets the following specifications, at a minimum:</w:t>
      </w:r>
    </w:p>
    <w:p>
      <w:pPr>
        <w:pStyle w:val="ListParagraph"/>
        <w:numPr>
          <w:ilvl w:val="2"/>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definition and explanation of advanced care planning, palliative care services, and hospice services; and</w:t>
      </w:r>
    </w:p>
    <w:p>
      <w:pPr>
        <w:pStyle w:val="ListParagraph"/>
        <w:numPr>
          <w:ilvl w:val="2"/>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All other requirements as defined in guidelines by the Department of Public Health.</w:t>
      </w:r>
    </w:p>
    <w:p>
      <w:pPr>
        <w:pStyle w:val="ListParagraph"/>
        <w:numPr>
          <w:ilvl w:val="0"/>
          <w:numId w:val="1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information shall be provided to appropriate residents in a timely manner.</w:t>
      </w:r>
    </w:p>
    <w:p>
      <w:pPr>
        <w:pStyle w:val="ListParagraph"/>
        <w:numPr>
          <w:ilvl w:val="0"/>
          <w:numId w:val="1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provide this policy to residents upon admission and ensuring they receive an informational pamphlet. This policy shall be made available to the Department of Public Health upon request.</w:t>
      </w:r>
    </w:p>
    <w:p>
      <w:pPr>
        <w:pStyle w:val="ListParagraph"/>
        <w:numPr>
          <w:ilvl w:val="0"/>
          <w:numId w:val="1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inform all primary care providers providing care within or on behalf of the Facility of the requirement to offer to provide end-of-life counseling to residents with a terminal illness or condition. Specifically:</w:t>
      </w:r>
    </w:p>
    <w:p>
      <w:pPr>
        <w:pStyle w:val="ListParagraph"/>
        <w:numPr>
          <w:ilvl w:val="1"/>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a resident is diagnosed with a terminal illness or condition, the resident’s attending health care practitioner shall offer to provide the resident with information and counseling regarding palliative care and end-of-life options appropriate for the resident, including, but not limited to:</w:t>
      </w:r>
    </w:p>
    <w:p>
      <w:pPr>
        <w:pStyle w:val="ListParagraph"/>
        <w:numPr>
          <w:ilvl w:val="2"/>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range of options appropriate for the resident;</w:t>
      </w:r>
    </w:p>
    <w:p>
      <w:pPr>
        <w:pStyle w:val="ListParagraph"/>
        <w:numPr>
          <w:ilvl w:val="2"/>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prognosis, risks and benefits of the various options; and </w:t>
      </w:r>
    </w:p>
    <w:p>
      <w:pPr>
        <w:pStyle w:val="ListParagraph"/>
        <w:numPr>
          <w:ilvl w:val="2"/>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legal rights to comprehensive pain and symptom management at the end-of-life.</w:t>
      </w:r>
    </w:p>
    <w:p>
      <w:pPr>
        <w:pStyle w:val="ListParagraph"/>
        <w:numPr>
          <w:ilvl w:val="1"/>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information and counseling may be provided orally or in writing. </w:t>
      </w:r>
    </w:p>
    <w:p>
      <w:pPr>
        <w:pStyle w:val="ListParagraph"/>
        <w:numPr>
          <w:ilvl w:val="1"/>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Where the resident lacks capacity to reasonably understand and make informed choices relating to palliative care, the attending health care practitioner shall provide information and counseling under this policy to a person with authority to make health care decisions for that resident. </w:t>
      </w:r>
    </w:p>
    <w:p>
      <w:pPr>
        <w:pStyle w:val="ListParagraph"/>
        <w:numPr>
          <w:ilvl w:val="1"/>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health care practitioner may arrange for information and counseling under this policy to be provided by another professionally qualified individual.</w:t>
      </w:r>
    </w:p>
    <w:p>
      <w:pPr>
        <w:pStyle w:val="ListParagraph"/>
        <w:numPr>
          <w:ilvl w:val="1"/>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attending health care practitioner is not willing to provide the patient with information and counseling under this section, the attending health care practitioner shall arrange for another physician or nurse practitioner to do so or shall refer or transfer the patient to another physician or nurse practitioner willing to do so.</w:t>
      </w:r>
    </w:p>
    <w:p>
      <w:pPr>
        <w:pStyle w:val="ListParagraph"/>
        <w:numPr>
          <w:ilvl w:val="1"/>
          <w:numId w:val="1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Nothing in this policy shall be construed to permit a healthcare professional to offer to provide information about assisted suicide or the prescribing of medication to end life.</w:t>
      </w:r>
    </w:p>
    <w:p>
      <w:pPr>
        <w:pStyle w:val="ListParagraph"/>
        <w:numPr>
          <w:ilvl w:val="0"/>
          <w:numId w:val="1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Where the resident lacks capacity to reasonably understand and make informed decisions, the information required by this policy shall be provided to the person with legal authority to make health care decisions for the resident.</w:t>
      </w:r>
    </w:p>
    <w:p>
      <w:pPr>
        <w:pStyle w:val="ListParagraph"/>
        <w:numPr>
          <w:ilvl w:val="0"/>
          <w:numId w:val="146"/>
        </w:numPr>
        <w:spacing w:after="160" w:line="259" w:lineRule="auto"/>
        <w:ind w:left="720"/>
        <w:contextualSpacing/>
        <w:jc w:val="both"/>
        <w:rPr>
          <w:rFonts w:ascii="Verdana" w:hAnsi="Verdana" w:eastAsia="Verdana"/>
        </w:rPr>
      </w:pPr>
      <w:r>
        <w:rPr>
          <w:rFonts w:ascii="Verdana" w:hAnsi="Verdana" w:eastAsia="Verdana"/>
          <w:sz w:val="24"/>
          <w:szCs w:val="24"/>
        </w:rPr>
        <w:t xml:space="preserve">Proof of Compliance and Ethics with this policy shall be made available to the Department of Public Health upon request.</w:t>
      </w:r>
    </w:p>
    <w:p>
      <w:pPr>
        <w:shd w:val="clear" w:color="auto" w:fill="FFFFFF"/>
        <w:tabs>
          <w:tab w:val="left" w:pos="1260"/>
        </w:tabs>
        <w:spacing w:after="0" w:line="240" w:lineRule="auto"/>
        <w:rPr>
          <w:rFonts w:ascii="Verdana" w:hAnsi="Verdana" w:eastAsia="Verdana" w:cs="Calibri"/>
          <w:color w:val="212121"/>
          <w:szCs w:val="24"/>
        </w:rPr>
      </w:pPr>
    </w:p>
    <w:sectPr>
      <w:headerReference w:type="default" r:id="rId446"/>
      <w:footerReference w:type="default" r:id="rId447"/>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42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1711720340"/>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72271077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3</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bookmarkStart w:id="263" w:name="_Hlk22736008"/>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bookmarkEnd w:id="263"/>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00530</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00531</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005MAPI</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206220350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13</w:t>
    </w:r>
    <w:r>
      <w:rPr>
        <w:rFonts w:ascii="Verdana" w:hAnsi="Verdana" w:eastAsia="Verdana" w:cs="Times New Roman"/>
        <w:sz w:val="12"/>
        <w:szCs w:val="12"/>
      </w:rPr>
      <w:fldChar w:fldCharType="end"/>
    </w: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a632f9af-dc28-416f-90b5-dc22dd3c5f52" type="##_x0000_t75" o:allowincell="f" style="position:absolute;margin-left:0pt;margin-top:0pt;width:467.2pt;height:293.8pt;mso-position-horizontal-relative:margin;mso-position-vertical-relative:margin;mso-position-horizontal:center;mso-position-vertical:center;z-index:-251654118;visibility:visible">
          <v:imagedata r:id="rId448" gain="19661f" blacklevel="22938f"/>
        </v:shape>
      </w:pict>
    </w:r>
    <w:bookmarkStart w:id="262"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62"/>
    <w:r>
      <w:rPr>
        <w:rFonts w:ascii="Verdana" w:hAnsi="Verdana" w:eastAsia="Verdana" w:cs="ArialMTPro"/>
        <w:b/>
        <w:bCs/>
        <w:smallCaps/>
        <w:color w:val="000000"/>
        <w:sz w:val="20"/>
        <w:szCs w:val="20"/>
      </w:rPr>
      <w:t xml:space="preserve">s</w: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5f1444ea-c2ca-4641-aa08-b5b213d5995b" type="##_x0000_t75" o:allowincell="f" style="position:absolute;margin-left:0pt;margin-top:0pt;width:467.2pt;height:293.8pt;mso-position-horizontal-relative:margin;mso-position-vertical-relative:margin;mso-position-horizontal:center;mso-position-vertical:center;z-index:-251653094;visibility:visible">
          <v:imagedata r:id="rId448" gain="19661f" blacklevel="22938f"/>
        </v:shape>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9e7aa85c-d499-40fc-847f-c2ee7eb1eb1f" type="##_x0000_t75" o:allowincell="f" style="position:absolute;margin-left:0pt;margin-top:0pt;width:467.2pt;height:293.8pt;mso-position-horizontal-relative:margin;mso-position-vertical-relative:margin;mso-position-horizontal:center;mso-position-vertical:center;z-index:-251652070;visibility:visible">
          <v:imagedata r:id="rId448" gain="19661f" blacklevel="22938f"/>
        </v:shape>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094E9A5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686D242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56187FC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652C0BC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205315B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A011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8">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9">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0">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2">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4">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5">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6">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7">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8">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9">
    <w:nsid w:val="0590DD5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0">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1">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2">
    <w:nsid w:val="0E03624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3">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4">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5">
    <w:nsid w:val="507DC34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6">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7">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8">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9">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2">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3">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4">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5">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6">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7">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8">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50">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1">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2">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5">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7">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8">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9">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0">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2">
    <w:nsid w:val="3417A15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3">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4">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5">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6">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7">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8">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9">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70">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1">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3">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4">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5">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6">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8">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9">
    <w:nsid w:val="5387B6EF"/>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80">
    <w:nsid w:val="621E230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1">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2">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3">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4">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5">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6">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7">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8">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9">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0">
    <w:nsid w:val="0994781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1">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2">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3">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4">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5">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7">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8">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0">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1">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3">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4">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5">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6">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7">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8">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1">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2">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3">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4">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5">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6">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7">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8">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0">
    <w:nsid w:val="71BCA1D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1">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2">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3">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5">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7">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8">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9">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30">
    <w:nsid w:val="56722F1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1">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2">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4">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6">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7">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8">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9">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0">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1">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2">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3">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4">
    <w:nsid w:val="1250F28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5">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6">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7">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8">
    <w:nsid w:val="7FA6986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9">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50">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1">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2">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4">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5">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6">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7">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8">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9">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1">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2">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3">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4">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5">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6">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7">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8">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9">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0">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1">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2">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3">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4">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5">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6">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7">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8">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2">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3">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4">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5">
    <w:nsid w:val="663ECFF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6">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7">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8">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9">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0">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1">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3">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4">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5">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7">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8">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9">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0">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1">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2">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4">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5">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6">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7">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8">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9">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0">
    <w:nsid w:val="2FBEB55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1">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2">
    <w:nsid w:val="2B06F4F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3">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4">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5">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6">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7">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8">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0">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5"/>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1">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3">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4">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6">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7">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8">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9">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0">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1">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2">
    <w:nsid w:val="55F668C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3">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4">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5">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6">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7">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8">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9">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0">
    <w:nsid w:val="03902BB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1">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2">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3">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4">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5">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6">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8">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9">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0">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1">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2">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4">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5">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6">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7">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8">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9">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0">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1">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2">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3">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4">
    <w:nsid w:val="1BC7980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5">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7">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8">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9">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70">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1">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2">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3">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4">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5">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6">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7">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8">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9">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0">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2">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3">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4">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5">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6">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7">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8">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9">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90">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1">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2">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3">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4">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5">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6">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7">
    <w:nsid w:val="403F740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8">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0">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1">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2">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3">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6">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9">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0">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1">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2">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3">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4">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5">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6">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7">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9">
    <w:nsid w:val="1572FDF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20">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1">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3">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4">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5">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6">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0">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1">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5">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6">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7">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8">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9">
    <w:nsid w:val="22EDB4F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0">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2">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4">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5">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6">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7">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8">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9">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50">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1">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2">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3">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4">
    <w:nsid w:val="3DAFCAC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5">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6">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7">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8">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9">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1">
    <w:nsid w:val="164BF20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2">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3">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4">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5">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6">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7">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8">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9">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70">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1">
    <w:nsid w:val="150DF74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2">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3">
    <w:nsid w:val="1BA4798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4">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5">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6">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7">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8">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9">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0">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1">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3">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4">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5">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6">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8">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0">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2">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7">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8">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9">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0">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1">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3">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4">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5">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6">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8">
    <w:nsid w:val="2765B92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9">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0">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1">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2">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3">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4">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6">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7">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9">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0">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1">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2">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4">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5">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6">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7">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8">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30">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2">
    <w:nsid w:val="73AE669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3">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4">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5">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6">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7">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9">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40">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1">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2">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3">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4">
    <w:nsid w:val="2B4F3D7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5">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6">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7">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8">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9">
    <w:nsid w:val="36152D2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0">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1">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2">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4">
    <w:nsid w:val="5E7CD48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5">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6">
    <w:nsid w:val="7A3AF96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7">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8">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9">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1">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2">
    <w:nsid w:val="373BED1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3">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4">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5">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6">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9">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0">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1">
    <w:nsid w:val="4159005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2">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3">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4">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5">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6">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7">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8">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9">
    <w:nsid w:val="6D9F83B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0">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1">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2">
    <w:nsid w:val="1A4D9CF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3CF7A3E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4">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5">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7">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8">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9">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0">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1">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2">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4">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5">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6">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7">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8">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9">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600">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1">
    <w:nsid w:val="034EFF7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2">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3">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4">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5">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6">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7">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8">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3">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4">
    <w:nsid w:val="23A2224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5">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6">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7">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1">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3">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4">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5">
    <w:nsid w:val="53F0E00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6">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7">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8">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9">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30">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1">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2">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3">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4">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5">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6">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7">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8">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9">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1">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2">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3">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4">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7">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8">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9">
    <w:nsid w:val="3176CFC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0">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1">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2">
    <w:nsid w:val="46BB7D7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46F11CA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4">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5">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6">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7">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60">
    <w:nsid w:val="487BAF1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1">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2">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3">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4">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5">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6">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7">
    <w:nsid w:val="71A2F91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8">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0">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1">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2">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4">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5">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8">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9">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2">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5">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7">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8">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0">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1">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2">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3">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4">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5">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6">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7">
    <w:nsid w:val="7FEDC74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8">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9">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00">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1">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2">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3">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4">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5">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7">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8">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9">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10">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2">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4">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5">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6">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7">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8">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9">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20">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1">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2">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3">
    <w:nsid w:val="2BDBCBF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4">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5">
    <w:nsid w:val="7EAB682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6">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7">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8">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0">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2">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3">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4">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5">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6">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7">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8">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9">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4">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7">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9">
    <w:nsid w:val="4324075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0">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2">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3">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4">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5">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6">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7">
    <w:nsid w:val="2580EA5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8">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9">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2">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3">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4">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5">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6">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7">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9">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2">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4">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6">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7">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0">
    <w:nsid w:val="6277A2B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1">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2">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3">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6EF5486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2">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3">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4">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5">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6">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7">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8">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9">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0">
    <w:nsid w:val="13AE998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1">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2">
    <w:nsid w:val="123AAE2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3">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4">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5">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3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8">
    <w:abstractNumId w:val="792"/>
    <w:lvlOverride w:ilvl="0">
      <w:startOverride w:val="1"/>
    </w:lvlOverride>
    <w:lvlOverride w:ilvl="1">
      <w:startOverride w:val="2"/>
    </w:lvlOverride>
    <w:lvlOverride w:ilvl="2">
      <w:startOverride w:val="1"/>
    </w:lvlOverride>
    <w:lvlOverride w:ilvl="3">
      <w:startOverride w:val="1"/>
    </w:lvlOverride>
  </w:num>
  <w:num w:numId="809">
    <w:abstractNumId w:val="0"/>
    <w:lvlOverride w:ilvl="0">
      <w:startOverride w:val="1"/>
    </w:lvlOverride>
    <w:lvlOverride w:ilvl="1">
      <w:startOverride w:val="1"/>
    </w:lvlOverride>
    <w:lvlOverride w:ilvl="2">
      <w:startOverride w:val="1"/>
    </w:lvlOverride>
    <w:lvlOverride w:ilvl="3">
      <w:startOverride w:val="1"/>
    </w:lvlOverride>
  </w:num>
  <w:num w:numId="810">
    <w:abstractNumId w:val="260"/>
    <w:lvlOverride w:ilvl="0">
      <w:startOverride w:val="2"/>
    </w:lvlOverride>
    <w:lvlOverride w:ilvl="1">
      <w:startOverride w:val="1"/>
    </w:lvlOverride>
    <w:lvlOverride w:ilvl="2">
      <w:startOverride w:val="1"/>
    </w:lvlOverride>
    <w:lvlOverride w:ilvl="3">
      <w:startOverride w:val="1"/>
    </w:lvlOverride>
  </w:num>
  <w:num w:numId="811">
    <w:abstractNumId w:val="704"/>
    <w:lvlOverride w:ilvl="0">
      <w:startOverride w:val="1"/>
    </w:lvlOverride>
    <w:lvlOverride w:ilvl="1">
      <w:startOverride w:val="1"/>
    </w:lvlOverride>
    <w:lvlOverride w:ilvl="2">
      <w:startOverride w:val="1"/>
    </w:lvlOverride>
    <w:lvlOverride w:ilvl="3">
      <w:startOverride w:val="1"/>
    </w:lvlOverride>
  </w:num>
  <w:num w:numId="812">
    <w:abstractNumId w:val="488"/>
    <w:lvlOverride w:ilvl="0">
      <w:startOverride w:val="2"/>
    </w:lvlOverride>
    <w:lvlOverride w:ilvl="1">
      <w:startOverride w:val="1"/>
    </w:lvlOverride>
    <w:lvlOverride w:ilvl="2">
      <w:startOverride w:val="1"/>
    </w:lvlOverride>
    <w:lvlOverride w:ilvl="3">
      <w:startOverride w:val="1"/>
    </w:lvlOverride>
  </w:num>
  <w:num w:numId="813">
    <w:abstractNumId w:val="17"/>
    <w:lvlOverride w:ilvl="0">
      <w:startOverride w:val="1"/>
    </w:lvlOverride>
    <w:lvlOverride w:ilvl="1">
      <w:startOverride w:val="2"/>
    </w:lvlOverride>
    <w:lvlOverride w:ilvl="2">
      <w:startOverride w:val="1"/>
    </w:lvlOverride>
    <w:lvlOverride w:ilvl="3">
      <w:startOverride w:val="1"/>
    </w:lvlOverride>
  </w:num>
  <w:num w:numId="814">
    <w:abstractNumId w:val="8"/>
    <w:lvlOverride w:ilvl="0">
      <w:startOverride w:val="1"/>
    </w:lvlOverride>
    <w:lvlOverride w:ilvl="1">
      <w:startOverride w:val="1"/>
    </w:lvlOverride>
    <w:lvlOverride w:ilvl="2">
      <w:startOverride w:val="2"/>
    </w:lvlOverride>
    <w:lvlOverride w:ilvl="3">
      <w:startOverride w:val="1"/>
    </w:lvlOverride>
  </w:num>
  <w:num w:numId="815">
    <w:abstractNumId w:val="15"/>
    <w:lvlOverride w:ilvl="0">
      <w:startOverride w:val="1"/>
    </w:lvlOverride>
    <w:lvlOverride w:ilvl="1">
      <w:startOverride w:val="3"/>
    </w:lvlOverride>
    <w:lvlOverride w:ilvl="2">
      <w:startOverride w:val="1"/>
    </w:lvlOverride>
    <w:lvlOverride w:ilvl="3">
      <w:startOverride w:val="1"/>
    </w:lvlOverride>
  </w:num>
  <w:num w:numId="816">
    <w:abstractNumId w:val="29"/>
    <w:lvlOverride w:ilvl="0">
      <w:startOverride w:val="1"/>
    </w:lvlOverride>
    <w:lvlOverride w:ilvl="1">
      <w:startOverride w:val="2"/>
    </w:lvlOverride>
    <w:lvlOverride w:ilvl="2">
      <w:startOverride w:val="1"/>
    </w:lvlOverride>
    <w:lvlOverride w:ilvl="3">
      <w:startOverride w:val="1"/>
    </w:lvlOverride>
  </w:num>
  <w:num w:numId="817">
    <w:abstractNumId w:val="663"/>
    <w:lvlOverride w:ilvl="0">
      <w:startOverride w:val="8"/>
    </w:lvlOverride>
    <w:lvlOverride w:ilvl="1">
      <w:startOverride w:val="1"/>
    </w:lvlOverride>
    <w:lvlOverride w:ilvl="2">
      <w:startOverride w:val="1"/>
    </w:lvlOverride>
    <w:lvlOverride w:ilvl="3">
      <w:startOverride w:val="1"/>
    </w:lvlOverride>
  </w:num>
  <w:num w:numId="818">
    <w:abstractNumId w:val="166"/>
    <w:lvlOverride w:ilvl="0">
      <w:startOverride w:val="1"/>
    </w:lvlOverride>
    <w:lvlOverride w:ilvl="1">
      <w:startOverride w:val="1"/>
    </w:lvlOverride>
    <w:lvlOverride w:ilvl="2">
      <w:startOverride w:val="1"/>
    </w:lvlOverride>
    <w:lvlOverride w:ilvl="3">
      <w:startOverride w:val="1"/>
    </w:lvlOverride>
  </w:num>
  <w:num w:numId="819">
    <w:abstractNumId w:val="370"/>
    <w:lvlOverride w:ilvl="0">
      <w:startOverride w:val="1"/>
    </w:lvlOverride>
    <w:lvlOverride w:ilvl="1">
      <w:startOverride w:val="1"/>
    </w:lvlOverride>
    <w:lvlOverride w:ilvl="2">
      <w:startOverride w:val="2"/>
    </w:lvlOverride>
    <w:lvlOverride w:ilvl="3">
      <w:startOverride w:val="1"/>
    </w:lvlOverride>
  </w:num>
  <w:num w:numId="820">
    <w:abstractNumId w:val="798"/>
    <w:lvlOverride w:ilvl="0">
      <w:startOverride w:val="1"/>
    </w:lvlOverride>
    <w:lvlOverride w:ilvl="1">
      <w:startOverride w:val="3"/>
    </w:lvlOverride>
    <w:lvlOverride w:ilvl="2">
      <w:startOverride w:val="1"/>
    </w:lvlOverride>
    <w:lvlOverride w:ilvl="3">
      <w:startOverride w:val="1"/>
    </w:lvlOverride>
  </w:num>
  <w:num w:numId="821">
    <w:abstractNumId w:val="131"/>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22">
    <w:abstractNumId w:val="131"/>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23">
    <w:abstractNumId w:val="248"/>
    <w:lvlOverride w:ilvl="2">
      <w:lvl w:ilvl="2">
        <w:start w:val="1"/>
        <w:numFmt w:val="lowerLetter"/>
        <w:suff w:val="tab"/>
        <w:lvlText w:val="%3."/>
        <w:pPr>
          <w:tabs>
            <w:tab w:val="num" w:pos="1512"/>
          </w:tabs>
          <w:spacing/>
          <w:ind w:left="2088" w:hanging="576"/>
        </w:pPr>
        <w:rPr>
          <w:rFonts w:cs="Times New Roman" w:hint="default"/>
          <w:b w:val="0"/>
        </w:rPr>
      </w:lvl>
    </w:lvlOverride>
  </w:num>
  <w:num w:numId="824">
    <w:abstractNumId w:val="2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4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5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7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79"/>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31">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72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33">
    <w:abstractNumId w:val="7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614"/>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35">
    <w:abstractNumId w:val="7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61"/>
    <w:lvlOverride w:ilvl="0">
      <w:startOverride w:val="1"/>
    </w:lvlOverride>
    <w:lvlOverride w:ilvl="1">
      <w:startOverride w:val="1"/>
    </w:lvlOverride>
    <w:lvlOverride w:ilvl="2">
      <w:startOverride w:val="1"/>
    </w:lvlOverride>
    <w:lvlOverride w:ilvl="3">
      <w:startOverride w:val="1"/>
    </w:lvlOverride>
  </w:num>
  <w:num w:numId="837">
    <w:abstractNumId w:val="6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7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4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5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2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5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2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4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4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7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3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4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7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2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7">
    <w:abstractNumId w:val="4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8">
    <w:abstractNumId w:val="2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9">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0">
    <w:abstractNumId w:val="4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1">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2">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3">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5">
    <w:abstractNumId w:val="5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6">
    <w:abstractNumId w:val="7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7">
    <w:abstractNumId w:val="6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8">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9">
    <w:abstractNumId w:val="3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0">
    <w:abstractNumId w:val="6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1">
    <w:abstractNumId w:val="7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2">
    <w:abstractNumId w:val="3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3"/>
    </w:numPr>
    <w:pPr>
      <w:keepNext/>
      <w:numPr>
        <w:ilvl w:val="0"/>
        <w:numId w:val="753"/>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3"/>
    </w:numPr>
    <w:pPr>
      <w:numPr>
        <w:ilvl w:val="1"/>
        <w:numId w:val="753"/>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3"/>
    </w:numPr>
    <w:pPr>
      <w:numPr>
        <w:ilvl w:val="2"/>
        <w:numId w:val="753"/>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3"/>
    </w:numPr>
    <w:pPr>
      <w:numPr>
        <w:ilvl w:val="3"/>
        <w:numId w:val="753"/>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3"/>
    </w:numPr>
    <w:pPr>
      <w:numPr>
        <w:ilvl w:val="4"/>
        <w:numId w:val="753"/>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30"/>
    </w:numPr>
    <w:pPr>
      <w:numPr>
        <w:ilvl w:val="0"/>
        <w:numId w:val="230"/>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3"/>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5"/>
    </w:numPr>
    <w:pPr>
      <w:numPr>
        <w:ilvl w:val="0"/>
        <w:numId w:val="665"/>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6"/>
    </w:numPr>
    <w:pPr>
      <w:numPr>
        <w:ilvl w:val="0"/>
        <w:numId w:val="316"/>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3"/>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8"/>
    </w:numPr>
    <w:pPr>
      <w:numPr>
        <w:ilvl w:val="0"/>
        <w:numId w:val="448"/>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49" Type="http://schemas.openxmlformats.org/officeDocument/2006/relationships/styles" Target="styles.xml" /><Relationship Id="rId450" Type="http://schemas.openxmlformats.org/officeDocument/2006/relationships/settings" Target="settings.xml" /><Relationship Id="rId451" Type="http://schemas.openxmlformats.org/officeDocument/2006/relationships/theme" Target="theme/theme1.xml" /><Relationship Id="rId452" Type="http://schemas.openxmlformats.org/officeDocument/2006/relationships/numbering" Target="numbering.xml" /><Relationship Id="rId453"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90" Type="http://schemas.openxmlformats.org/officeDocument/2006/relationships/footer" Target="footer190.xml" /><Relationship Id="rId204" Type="http://schemas.openxmlformats.org/officeDocument/2006/relationships/footer" Target="footer204.xml" /><Relationship Id="rId235" Type="http://schemas.openxmlformats.org/officeDocument/2006/relationships/footer" Target="footer235.xml" /><Relationship Id="rId257" Type="http://schemas.openxmlformats.org/officeDocument/2006/relationships/footer" Target="footer257.xml" /><Relationship Id="rId267" Type="http://schemas.openxmlformats.org/officeDocument/2006/relationships/footer" Target="footer267.xml" /><Relationship Id="rId273" Type="http://schemas.openxmlformats.org/officeDocument/2006/relationships/footer" Target="footer273.xml" /><Relationship Id="rId281" Type="http://schemas.openxmlformats.org/officeDocument/2006/relationships/footer" Target="footer281.xml" /><Relationship Id="rId301" Type="http://schemas.openxmlformats.org/officeDocument/2006/relationships/footer" Target="footer301.xml" /><Relationship Id="rId335" Type="http://schemas.openxmlformats.org/officeDocument/2006/relationships/footer" Target="footer335.xml" /><Relationship Id="rId350" Type="http://schemas.openxmlformats.org/officeDocument/2006/relationships/footer" Target="footer350.xml" /><Relationship Id="rId376" Type="http://schemas.openxmlformats.org/officeDocument/2006/relationships/footer" Target="footer376.xml" /><Relationship Id="rId386" Type="http://schemas.openxmlformats.org/officeDocument/2006/relationships/footer" Target="footer386.xml" /><Relationship Id="rId393" Type="http://schemas.openxmlformats.org/officeDocument/2006/relationships/footer" Target="footer393.xml" /><Relationship Id="rId399" Type="http://schemas.openxmlformats.org/officeDocument/2006/relationships/footer" Target="footer399.xml" /><Relationship Id="rId421" Type="http://schemas.openxmlformats.org/officeDocument/2006/relationships/footer" Target="footer421.xml" /><Relationship Id="rId427" Type="http://schemas.openxmlformats.org/officeDocument/2006/relationships/footer" Target="footer427.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7" Type="http://schemas.openxmlformats.org/officeDocument/2006/relationships/header" Target="header177.xml" /><Relationship Id="rId181" Type="http://schemas.openxmlformats.org/officeDocument/2006/relationships/header" Target="header181.xml" /><Relationship Id="rId189" Type="http://schemas.openxmlformats.org/officeDocument/2006/relationships/header" Target="header189.xml" /><Relationship Id="rId203" Type="http://schemas.openxmlformats.org/officeDocument/2006/relationships/header" Target="header203.xml" /><Relationship Id="rId234" Type="http://schemas.openxmlformats.org/officeDocument/2006/relationships/header" Target="header234.xml" /><Relationship Id="rId256" Type="http://schemas.openxmlformats.org/officeDocument/2006/relationships/header" Target="header256.xml" /><Relationship Id="rId266" Type="http://schemas.openxmlformats.org/officeDocument/2006/relationships/header" Target="header266.xml" /><Relationship Id="rId272" Type="http://schemas.openxmlformats.org/officeDocument/2006/relationships/header" Target="header272.xml" /><Relationship Id="rId280" Type="http://schemas.openxmlformats.org/officeDocument/2006/relationships/header" Target="header280.xml" /><Relationship Id="rId300" Type="http://schemas.openxmlformats.org/officeDocument/2006/relationships/header" Target="header300.xml" /><Relationship Id="rId334" Type="http://schemas.openxmlformats.org/officeDocument/2006/relationships/header" Target="header334.xml" /><Relationship Id="rId349" Type="http://schemas.openxmlformats.org/officeDocument/2006/relationships/header" Target="header349.xml" /><Relationship Id="rId375" Type="http://schemas.openxmlformats.org/officeDocument/2006/relationships/header" Target="header375.xml" /><Relationship Id="rId385" Type="http://schemas.openxmlformats.org/officeDocument/2006/relationships/header" Target="header385.xml" /><Relationship Id="rId392" Type="http://schemas.openxmlformats.org/officeDocument/2006/relationships/header" Target="header392.xml" /><Relationship Id="rId398" Type="http://schemas.openxmlformats.org/officeDocument/2006/relationships/header" Target="header398.xml" /><Relationship Id="rId420" Type="http://schemas.openxmlformats.org/officeDocument/2006/relationships/header" Target="header420.xml" /><Relationship Id="rId426" Type="http://schemas.openxmlformats.org/officeDocument/2006/relationships/header" Target="header426.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6" Type="http://schemas.openxmlformats.org/officeDocument/2006/relationships/footer" Target="footer176.xml" /><Relationship Id="rId188" Type="http://schemas.openxmlformats.org/officeDocument/2006/relationships/footer" Target="footer188.xml" /><Relationship Id="rId202" Type="http://schemas.openxmlformats.org/officeDocument/2006/relationships/footer" Target="footer202.xml" /><Relationship Id="rId233" Type="http://schemas.openxmlformats.org/officeDocument/2006/relationships/footer" Target="footer233.xml" /><Relationship Id="rId255" Type="http://schemas.openxmlformats.org/officeDocument/2006/relationships/footer" Target="footer255.xml" /><Relationship Id="rId265" Type="http://schemas.openxmlformats.org/officeDocument/2006/relationships/footer" Target="footer265.xml" /><Relationship Id="rId271" Type="http://schemas.openxmlformats.org/officeDocument/2006/relationships/footer" Target="footer271.xml" /><Relationship Id="rId279" Type="http://schemas.openxmlformats.org/officeDocument/2006/relationships/footer" Target="footer279.xml" /><Relationship Id="rId299" Type="http://schemas.openxmlformats.org/officeDocument/2006/relationships/footer" Target="footer299.xml" /><Relationship Id="rId333" Type="http://schemas.openxmlformats.org/officeDocument/2006/relationships/footer" Target="footer333.xml" /><Relationship Id="rId348" Type="http://schemas.openxmlformats.org/officeDocument/2006/relationships/footer" Target="footer348.xml" /><Relationship Id="rId374" Type="http://schemas.openxmlformats.org/officeDocument/2006/relationships/footer" Target="footer374.xml" /><Relationship Id="rId384" Type="http://schemas.openxmlformats.org/officeDocument/2006/relationships/footer" Target="footer384.xml" /><Relationship Id="rId391" Type="http://schemas.openxmlformats.org/officeDocument/2006/relationships/footer" Target="footer391.xml" /><Relationship Id="rId397" Type="http://schemas.openxmlformats.org/officeDocument/2006/relationships/footer" Target="footer397.xml" /><Relationship Id="rId419" Type="http://schemas.openxmlformats.org/officeDocument/2006/relationships/footer" Target="footer419.xml" /><Relationship Id="rId425" Type="http://schemas.openxmlformats.org/officeDocument/2006/relationships/footer" Target="footer425.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5" Type="http://schemas.openxmlformats.org/officeDocument/2006/relationships/header" Target="header175.xml" /><Relationship Id="rId180" Type="http://schemas.openxmlformats.org/officeDocument/2006/relationships/header" Target="header180.xml" /><Relationship Id="rId187" Type="http://schemas.openxmlformats.org/officeDocument/2006/relationships/header" Target="header187.xml" /><Relationship Id="rId201" Type="http://schemas.openxmlformats.org/officeDocument/2006/relationships/header" Target="header201.xml" /><Relationship Id="rId232" Type="http://schemas.openxmlformats.org/officeDocument/2006/relationships/header" Target="header232.xml" /><Relationship Id="rId254" Type="http://schemas.openxmlformats.org/officeDocument/2006/relationships/header" Target="header254.xml" /><Relationship Id="rId264" Type="http://schemas.openxmlformats.org/officeDocument/2006/relationships/header" Target="header264.xml" /><Relationship Id="rId270" Type="http://schemas.openxmlformats.org/officeDocument/2006/relationships/header" Target="header270.xml" /><Relationship Id="rId278" Type="http://schemas.openxmlformats.org/officeDocument/2006/relationships/header" Target="header278.xml" /><Relationship Id="rId298" Type="http://schemas.openxmlformats.org/officeDocument/2006/relationships/header" Target="header298.xml" /><Relationship Id="rId332" Type="http://schemas.openxmlformats.org/officeDocument/2006/relationships/header" Target="header332.xml" /><Relationship Id="rId347" Type="http://schemas.openxmlformats.org/officeDocument/2006/relationships/header" Target="header347.xml" /><Relationship Id="rId373" Type="http://schemas.openxmlformats.org/officeDocument/2006/relationships/header" Target="header373.xml" /><Relationship Id="rId383" Type="http://schemas.openxmlformats.org/officeDocument/2006/relationships/header" Target="header383.xml" /><Relationship Id="rId390" Type="http://schemas.openxmlformats.org/officeDocument/2006/relationships/header" Target="header390.xml" /><Relationship Id="rId396" Type="http://schemas.openxmlformats.org/officeDocument/2006/relationships/header" Target="header396.xml" /><Relationship Id="rId418" Type="http://schemas.openxmlformats.org/officeDocument/2006/relationships/header" Target="header418.xml" /><Relationship Id="rId424" Type="http://schemas.openxmlformats.org/officeDocument/2006/relationships/header" Target="header424.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2" Type="http://schemas.openxmlformats.org/officeDocument/2006/relationships/footer" Target="footer172.xml" /><Relationship Id="rId174" Type="http://schemas.openxmlformats.org/officeDocument/2006/relationships/footer" Target="footer174.xml" /><Relationship Id="rId179" Type="http://schemas.openxmlformats.org/officeDocument/2006/relationships/footer" Target="footer179.xml" /><Relationship Id="rId184" Type="http://schemas.openxmlformats.org/officeDocument/2006/relationships/footer" Target="footer184.xml" /><Relationship Id="rId186" Type="http://schemas.openxmlformats.org/officeDocument/2006/relationships/footer" Target="footer186.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9" Type="http://schemas.openxmlformats.org/officeDocument/2006/relationships/footer" Target="footer269.xml" /><Relationship Id="rId275" Type="http://schemas.openxmlformats.org/officeDocument/2006/relationships/footer" Target="footer275.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7" Type="http://schemas.openxmlformats.org/officeDocument/2006/relationships/footer" Target="footer337.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23" Type="http://schemas.openxmlformats.org/officeDocument/2006/relationships/footer" Target="footer423.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47" Type="http://schemas.openxmlformats.org/officeDocument/2006/relationships/footer" Target="footer447.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3" Type="http://schemas.openxmlformats.org/officeDocument/2006/relationships/header" Target="header173.xml" /><Relationship Id="rId178" Type="http://schemas.openxmlformats.org/officeDocument/2006/relationships/header" Target="header178.xml" /><Relationship Id="rId182" Type="http://schemas.openxmlformats.org/officeDocument/2006/relationships/header" Target="header182.xml" /><Relationship Id="rId183" Type="http://schemas.openxmlformats.org/officeDocument/2006/relationships/header" Target="header183.xml" /><Relationship Id="rId185" Type="http://schemas.openxmlformats.org/officeDocument/2006/relationships/header" Target="header185.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8" Type="http://schemas.openxmlformats.org/officeDocument/2006/relationships/header" Target="header268.xml" /><Relationship Id="rId274" Type="http://schemas.openxmlformats.org/officeDocument/2006/relationships/header" Target="header274.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6" Type="http://schemas.openxmlformats.org/officeDocument/2006/relationships/header" Target="header336.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22" Type="http://schemas.openxmlformats.org/officeDocument/2006/relationships/header" Target="header422.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46" Type="http://schemas.openxmlformats.org/officeDocument/2006/relationships/header" Target="header446.xml" /><Relationship Id="rId454"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3" Type="http://schemas.openxmlformats.org/officeDocument/2006/relationships/image" Target="media/image4.wmf" /><Relationship Id="rId389" Type="http://schemas.openxmlformats.org/officeDocument/2006/relationships/image" Target="media/image5.gif" /><Relationship Id="rId444" Type="http://schemas.openxmlformats.org/officeDocument/2006/relationships/image" Target="media/image6.emf" /><Relationship Id="rId455" Type="http://schemas.openxmlformats.org/officeDocument/2006/relationships/customXml" Target="../customXml/item1.xml" /></Relationships>
</file>

<file path=word/_rels/header175.xml.rels>&#65279;<?xml version="1.0" encoding="utf-8" standalone="yes"?><Relationships xmlns="http://schemas.openxmlformats.org/package/2006/relationships"><Relationship Id="rId448" Type="http://schemas.openxmlformats.org/officeDocument/2006/relationships/image" Target="media/image3.png" /></Relationships>
</file>

<file path=word/_rels/header177.xml.rels>&#65279;<?xml version="1.0" encoding="utf-8" standalone="yes"?><Relationships xmlns="http://schemas.openxmlformats.org/package/2006/relationships"><Relationship Id="rId448" Type="http://schemas.openxmlformats.org/officeDocument/2006/relationships/image" Target="media/image3.png" /></Relationships>
</file>

<file path=word/_rels/header178.xml.rels>&#65279;<?xml version="1.0" encoding="utf-8" standalone="yes"?><Relationships xmlns="http://schemas.openxmlformats.org/package/2006/relationships"><Relationship Id="rId448"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3853B-FD31-493A-BA5D-18D5C5509892}">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1787</TotalTime>
  <Pages>532</Pages>
  <Words>142454</Words>
  <Characters>811992</Characters>
  <Application>Microsoft Office Word</Application>
  <DocSecurity>0</DocSecurity>
  <Lines>6766</Lines>
  <Paragraphs>1905</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2019-12-08T22:39:00Z</cp:lastPrinted>
  <cp:revision>42</cp:revision>
  <dcterms:created xsi:type="dcterms:W3CDTF">2019-07-09T16:54:00Z</dcterms:created>
  <dcterms:modified xsi:type="dcterms:W3CDTF">2019-12-13T02:04:00Z</dcterms:modified>
</cp:coreProperties>
</file>