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4.xml" ContentType="application/vnd.openxmlformats-officedocument.wordprocessingml.footer+xml"/>
  <Override PartName="/word/footer110.xml" ContentType="application/vnd.openxmlformats-officedocument.wordprocessingml.footer+xml"/>
  <Override PartName="/word/footer135.xml" ContentType="application/vnd.openxmlformats-officedocument.wordprocessingml.footer+xml"/>
  <Override PartName="/word/footer167.xml" ContentType="application/vnd.openxmlformats-officedocument.wordprocessingml.footer+xml"/>
  <Override PartName="/word/footer192.xml" ContentType="application/vnd.openxmlformats-officedocument.wordprocessingml.footer+xml"/>
  <Override PartName="/word/footer206.xml" ContentType="application/vnd.openxmlformats-officedocument.wordprocessingml.footer+xml"/>
  <Override PartName="/word/footer237.xml" ContentType="application/vnd.openxmlformats-officedocument.wordprocessingml.footer+xml"/>
  <Override PartName="/word/footer259.xml" ContentType="application/vnd.openxmlformats-officedocument.wordprocessingml.footer+xml"/>
  <Override PartName="/word/footer269.xml" ContentType="application/vnd.openxmlformats-officedocument.wordprocessingml.footer+xml"/>
  <Override PartName="/word/footer275.xml" ContentType="application/vnd.openxmlformats-officedocument.wordprocessingml.footer+xml"/>
  <Override PartName="/word/footer283.xml" ContentType="application/vnd.openxmlformats-officedocument.wordprocessingml.footer+xml"/>
  <Override PartName="/word/footer303.xml" ContentType="application/vnd.openxmlformats-officedocument.wordprocessingml.footer+xml"/>
  <Override PartName="/word/footer337.xml" ContentType="application/vnd.openxmlformats-officedocument.wordprocessingml.footer+xml"/>
  <Override PartName="/word/footer352.xml" ContentType="application/vnd.openxmlformats-officedocument.wordprocessingml.footer+xml"/>
  <Override PartName="/word/footer378.xml" ContentType="application/vnd.openxmlformats-officedocument.wordprocessingml.footer+xml"/>
  <Override PartName="/word/footer388.xml" ContentType="application/vnd.openxmlformats-officedocument.wordprocessingml.footer+xml"/>
  <Override PartName="/word/footer395.xml" ContentType="application/vnd.openxmlformats-officedocument.wordprocessingml.footer+xml"/>
  <Override PartName="/word/footer401.xml" ContentType="application/vnd.openxmlformats-officedocument.wordprocessingml.footer+xml"/>
  <Override PartName="/word/footer423.xml" ContentType="application/vnd.openxmlformats-officedocument.wordprocessingml.footer+xml"/>
  <Override PartName="/word/footer429.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34.xml" ContentType="application/vnd.openxmlformats-officedocument.wordprocessingml.header+xml"/>
  <Override PartName="/word/header166.xml" ContentType="application/vnd.openxmlformats-officedocument.wordprocessingml.header+xml"/>
  <Override PartName="/word/header179.xml" ContentType="application/vnd.openxmlformats-officedocument.wordprocessingml.header+xml"/>
  <Override PartName="/word/header183.xml" ContentType="application/vnd.openxmlformats-officedocument.wordprocessingml.header+xml"/>
  <Override PartName="/word/header191.xml" ContentType="application/vnd.openxmlformats-officedocument.wordprocessingml.header+xml"/>
  <Override PartName="/word/header205.xml" ContentType="application/vnd.openxmlformats-officedocument.wordprocessingml.header+xml"/>
  <Override PartName="/word/header236.xml" ContentType="application/vnd.openxmlformats-officedocument.wordprocessingml.header+xml"/>
  <Override PartName="/word/header258.xml" ContentType="application/vnd.openxmlformats-officedocument.wordprocessingml.header+xml"/>
  <Override PartName="/word/header268.xml" ContentType="application/vnd.openxmlformats-officedocument.wordprocessingml.header+xml"/>
  <Override PartName="/word/header274.xml" ContentType="application/vnd.openxmlformats-officedocument.wordprocessingml.header+xml"/>
  <Override PartName="/word/header282.xml" ContentType="application/vnd.openxmlformats-officedocument.wordprocessingml.header+xml"/>
  <Override PartName="/word/header302.xml" ContentType="application/vnd.openxmlformats-officedocument.wordprocessingml.header+xml"/>
  <Override PartName="/word/header336.xml" ContentType="application/vnd.openxmlformats-officedocument.wordprocessingml.header+xml"/>
  <Override PartName="/word/header351.xml" ContentType="application/vnd.openxmlformats-officedocument.wordprocessingml.header+xml"/>
  <Override PartName="/word/header377.xml" ContentType="application/vnd.openxmlformats-officedocument.wordprocessingml.header+xml"/>
  <Override PartName="/word/header387.xml" ContentType="application/vnd.openxmlformats-officedocument.wordprocessingml.header+xml"/>
  <Override PartName="/word/header394.xml" ContentType="application/vnd.openxmlformats-officedocument.wordprocessingml.header+xml"/>
  <Override PartName="/word/header400.xml" ContentType="application/vnd.openxmlformats-officedocument.wordprocessingml.header+xml"/>
  <Override PartName="/word/header422.xml" ContentType="application/vnd.openxmlformats-officedocument.wordprocessingml.header+xml"/>
  <Override PartName="/word/header428.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3.xml" ContentType="application/vnd.openxmlformats-officedocument.wordprocessingml.footer+xml"/>
  <Override PartName="/word/footer109.xml" ContentType="application/vnd.openxmlformats-officedocument.wordprocessingml.footer+xml"/>
  <Override PartName="/word/footer133.xml" ContentType="application/vnd.openxmlformats-officedocument.wordprocessingml.footer+xml"/>
  <Override PartName="/word/footer165.xml" ContentType="application/vnd.openxmlformats-officedocument.wordprocessingml.footer+xml"/>
  <Override PartName="/word/footer178.xml" ContentType="application/vnd.openxmlformats-officedocument.wordprocessingml.footer+xml"/>
  <Override PartName="/word/footer190.xml" ContentType="application/vnd.openxmlformats-officedocument.wordprocessingml.footer+xml"/>
  <Override PartName="/word/footer204.xml" ContentType="application/vnd.openxmlformats-officedocument.wordprocessingml.footer+xml"/>
  <Override PartName="/word/footer235.xml" ContentType="application/vnd.openxmlformats-officedocument.wordprocessingml.footer+xml"/>
  <Override PartName="/word/footer257.xml" ContentType="application/vnd.openxmlformats-officedocument.wordprocessingml.footer+xml"/>
  <Override PartName="/word/footer267.xml" ContentType="application/vnd.openxmlformats-officedocument.wordprocessingml.footer+xml"/>
  <Override PartName="/word/footer273.xml" ContentType="application/vnd.openxmlformats-officedocument.wordprocessingml.footer+xml"/>
  <Override PartName="/word/footer281.xml" ContentType="application/vnd.openxmlformats-officedocument.wordprocessingml.footer+xml"/>
  <Override PartName="/word/footer301.xml" ContentType="application/vnd.openxmlformats-officedocument.wordprocessingml.footer+xml"/>
  <Override PartName="/word/footer335.xml" ContentType="application/vnd.openxmlformats-officedocument.wordprocessingml.footer+xml"/>
  <Override PartName="/word/footer350.xml" ContentType="application/vnd.openxmlformats-officedocument.wordprocessingml.footer+xml"/>
  <Override PartName="/word/footer376.xml" ContentType="application/vnd.openxmlformats-officedocument.wordprocessingml.footer+xml"/>
  <Override PartName="/word/footer386.xml" ContentType="application/vnd.openxmlformats-officedocument.wordprocessingml.footer+xml"/>
  <Override PartName="/word/footer393.xml" ContentType="application/vnd.openxmlformats-officedocument.wordprocessingml.footer+xml"/>
  <Override PartName="/word/footer399.xml" ContentType="application/vnd.openxmlformats-officedocument.wordprocessingml.footer+xml"/>
  <Override PartName="/word/footer421.xml" ContentType="application/vnd.openxmlformats-officedocument.wordprocessingml.footer+xml"/>
  <Override PartName="/word/footer427.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32.xml" ContentType="application/vnd.openxmlformats-officedocument.wordprocessingml.header+xml"/>
  <Override PartName="/word/header164.xml" ContentType="application/vnd.openxmlformats-officedocument.wordprocessingml.header+xml"/>
  <Override PartName="/word/header177.xml" ContentType="application/vnd.openxmlformats-officedocument.wordprocessingml.header+xml"/>
  <Override PartName="/word/header182.xml" ContentType="application/vnd.openxmlformats-officedocument.wordprocessingml.header+xml"/>
  <Override PartName="/word/header189.xml" ContentType="application/vnd.openxmlformats-officedocument.wordprocessingml.header+xml"/>
  <Override PartName="/word/header203.xml" ContentType="application/vnd.openxmlformats-officedocument.wordprocessingml.header+xml"/>
  <Override PartName="/word/header234.xml" ContentType="application/vnd.openxmlformats-officedocument.wordprocessingml.header+xml"/>
  <Override PartName="/word/header256.xml" ContentType="application/vnd.openxmlformats-officedocument.wordprocessingml.header+xml"/>
  <Override PartName="/word/header266.xml" ContentType="application/vnd.openxmlformats-officedocument.wordprocessingml.header+xml"/>
  <Override PartName="/word/header272.xml" ContentType="application/vnd.openxmlformats-officedocument.wordprocessingml.header+xml"/>
  <Override PartName="/word/header280.xml" ContentType="application/vnd.openxmlformats-officedocument.wordprocessingml.header+xml"/>
  <Override PartName="/word/header300.xml" ContentType="application/vnd.openxmlformats-officedocument.wordprocessingml.header+xml"/>
  <Override PartName="/word/header334.xml" ContentType="application/vnd.openxmlformats-officedocument.wordprocessingml.header+xml"/>
  <Override PartName="/word/header349.xml" ContentType="application/vnd.openxmlformats-officedocument.wordprocessingml.header+xml"/>
  <Override PartName="/word/header375.xml" ContentType="application/vnd.openxmlformats-officedocument.wordprocessingml.header+xml"/>
  <Override PartName="/word/header385.xml" ContentType="application/vnd.openxmlformats-officedocument.wordprocessingml.header+xml"/>
  <Override PartName="/word/header392.xml" ContentType="application/vnd.openxmlformats-officedocument.wordprocessingml.header+xml"/>
  <Override PartName="/word/header398.xml" ContentType="application/vnd.openxmlformats-officedocument.wordprocessingml.header+xml"/>
  <Override PartName="/word/header420.xml" ContentType="application/vnd.openxmlformats-officedocument.wordprocessingml.header+xml"/>
  <Override PartName="/word/header426.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5.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6.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3.xml" ContentType="application/vnd.openxmlformats-officedocument.wordprocessingml.footer+xml"/>
  <Override PartName="/word/footer169.xml" ContentType="application/vnd.openxmlformats-officedocument.wordprocessingml.footer+xml"/>
  <Override PartName="/word/footer171.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6.xml" ContentType="application/vnd.openxmlformats-officedocument.wordprocessingml.footer+xml"/>
  <Override PartName="/word/footer181.xml" ContentType="application/vnd.openxmlformats-officedocument.wordprocessingml.footer+xml"/>
  <Override PartName="/word/footer186.xml" ContentType="application/vnd.openxmlformats-officedocument.wordprocessingml.footer+xml"/>
  <Override PartName="/word/footer188.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2.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4.xml" ContentType="application/vnd.openxmlformats-officedocument.wordprocessingml.footer+xml"/>
  <Override PartName="/word/footer217.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1.xml" ContentType="application/vnd.openxmlformats-officedocument.wordprocessingml.footer+xml"/>
  <Override PartName="/word/footer233.xml" ContentType="application/vnd.openxmlformats-officedocument.wordprocessingml.footer+xml"/>
  <Override PartName="/word/footer239.xml" ContentType="application/vnd.openxmlformats-officedocument.wordprocessingml.footer+xml"/>
  <Override PartName="/word/footer241.xml" ContentType="application/vnd.openxmlformats-officedocument.wordprocessingml.footer+xml"/>
  <Override PartName="/word/footer243.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5.xml" ContentType="application/vnd.openxmlformats-officedocument.wordprocessingml.footer+xml"/>
  <Override PartName="/word/footer261.xml" ContentType="application/vnd.openxmlformats-officedocument.wordprocessingml.footer+xml"/>
  <Override PartName="/word/footer263.xml" ContentType="application/vnd.openxmlformats-officedocument.wordprocessingml.footer+xml"/>
  <Override PartName="/word/footer265.xml" ContentType="application/vnd.openxmlformats-officedocument.wordprocessingml.footer+xml"/>
  <Override PartName="/word/footer271.xml" ContentType="application/vnd.openxmlformats-officedocument.wordprocessingml.footer+xml"/>
  <Override PartName="/word/footer277.xml" ContentType="application/vnd.openxmlformats-officedocument.wordprocessingml.footer+xml"/>
  <Override PartName="/word/footer279.xml" ContentType="application/vnd.openxmlformats-officedocument.wordprocessingml.footer+xml"/>
  <Override PartName="/word/footer285.xml" ContentType="application/vnd.openxmlformats-officedocument.wordprocessingml.footer+xml"/>
  <Override PartName="/word/footer287.xml" ContentType="application/vnd.openxmlformats-officedocument.wordprocessingml.footer+xml"/>
  <Override PartName="/word/footer289.xml" ContentType="application/vnd.openxmlformats-officedocument.wordprocessingml.footer+xml"/>
  <Override PartName="/word/footer291.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299.xml" ContentType="application/vnd.openxmlformats-officedocument.wordprocessingml.footer+xml"/>
  <Override PartName="/word/footer305.xml" ContentType="application/vnd.openxmlformats-officedocument.wordprocessingml.footer+xml"/>
  <Override PartName="/word/footer307.xml" ContentType="application/vnd.openxmlformats-officedocument.wordprocessingml.footer+xml"/>
  <Override PartName="/word/footer309.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3.xml" ContentType="application/vnd.openxmlformats-officedocument.wordprocessingml.footer+xml"/>
  <Override PartName="/word/footer325.xml" ContentType="application/vnd.openxmlformats-officedocument.wordprocessingml.footer+xml"/>
  <Override PartName="/word/footer327.xml" ContentType="application/vnd.openxmlformats-officedocument.wordprocessingml.footer+xml"/>
  <Override PartName="/word/footer329.xml" ContentType="application/vnd.openxmlformats-officedocument.wordprocessingml.footer+xml"/>
  <Override PartName="/word/footer331.xml" ContentType="application/vnd.openxmlformats-officedocument.wordprocessingml.footer+xml"/>
  <Override PartName="/word/footer333.xml" ContentType="application/vnd.openxmlformats-officedocument.wordprocessingml.footer+xml"/>
  <Override PartName="/word/footer339.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48.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4.xml" ContentType="application/vnd.openxmlformats-officedocument.wordprocessingml.footer+xml"/>
  <Override PartName="/word/footer380.xml" ContentType="application/vnd.openxmlformats-officedocument.wordprocessingml.footer+xml"/>
  <Override PartName="/word/footer382.xml" ContentType="application/vnd.openxmlformats-officedocument.wordprocessingml.footer+xml"/>
  <Override PartName="/word/footer384.xml" ContentType="application/vnd.openxmlformats-officedocument.wordprocessingml.footer+xml"/>
  <Override PartName="/word/footer390.xml" ContentType="application/vnd.openxmlformats-officedocument.wordprocessingml.footer+xml"/>
  <Override PartName="/word/footer397.xml" ContentType="application/vnd.openxmlformats-officedocument.wordprocessingml.footer+xml"/>
  <Override PartName="/word/footer403.xml" ContentType="application/vnd.openxmlformats-officedocument.wordprocessingml.footer+xml"/>
  <Override PartName="/word/footer405.xml" ContentType="application/vnd.openxmlformats-officedocument.wordprocessingml.footer+xml"/>
  <Override PartName="/word/footer407.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3.xml" ContentType="application/vnd.openxmlformats-officedocument.wordprocessingml.footer+xml"/>
  <Override PartName="/word/footer415.xml" ContentType="application/vnd.openxmlformats-officedocument.wordprocessingml.footer+xml"/>
  <Override PartName="/word/footer417.xml" ContentType="application/vnd.openxmlformats-officedocument.wordprocessingml.footer+xml"/>
  <Override PartName="/word/footer419.xml" ContentType="application/vnd.openxmlformats-officedocument.wordprocessingml.footer+xml"/>
  <Override PartName="/word/footer425.xml" ContentType="application/vnd.openxmlformats-officedocument.wordprocessingml.footer+xml"/>
  <Override PartName="/word/footer431.xml" ContentType="application/vnd.openxmlformats-officedocument.wordprocessingml.footer+xml"/>
  <Override PartName="/word/footer433.xml" ContentType="application/vnd.openxmlformats-officedocument.wordprocessingml.footer+xml"/>
  <Override PartName="/word/footer435.xml" ContentType="application/vnd.openxmlformats-officedocument.wordprocessingml.footer+xml"/>
  <Override PartName="/word/footer437.xml" ContentType="application/vnd.openxmlformats-officedocument.wordprocessingml.footer+xml"/>
  <Override PartName="/word/footer439.xml" ContentType="application/vnd.openxmlformats-officedocument.wordprocessingml.footer+xml"/>
  <Override PartName="/word/footer441.xml" ContentType="application/vnd.openxmlformats-officedocument.wordprocessingml.footer+xml"/>
  <Override PartName="/word/footer443.xml" ContentType="application/vnd.openxmlformats-officedocument.wordprocessingml.footer+xml"/>
  <Override PartName="/word/footer445.xml" ContentType="application/vnd.openxmlformats-officedocument.wordprocessingml.footer+xml"/>
  <Override PartName="/word/footer447.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2.xml" ContentType="application/vnd.openxmlformats-officedocument.wordprocessingml.header+xml"/>
  <Override PartName="/word/header168.xml" ContentType="application/vnd.openxmlformats-officedocument.wordprocessingml.header+xml"/>
  <Override PartName="/word/header170.xml" ContentType="application/vnd.openxmlformats-officedocument.wordprocessingml.header+xml"/>
  <Override PartName="/word/header172.xml" ContentType="application/vnd.openxmlformats-officedocument.wordprocessingml.header+xml"/>
  <Override PartName="/word/header175.xml" ContentType="application/vnd.openxmlformats-officedocument.wordprocessingml.header+xml"/>
  <Override PartName="/word/header180.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7.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1.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3.xml" ContentType="application/vnd.openxmlformats-officedocument.wordprocessingml.header+xml"/>
  <Override PartName="/word/header216.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0.xml" ContentType="application/vnd.openxmlformats-officedocument.wordprocessingml.header+xml"/>
  <Override PartName="/word/header232.xml" ContentType="application/vnd.openxmlformats-officedocument.wordprocessingml.header+xml"/>
  <Override PartName="/word/header238.xml" ContentType="application/vnd.openxmlformats-officedocument.wordprocessingml.header+xml"/>
  <Override PartName="/word/header240.xml" ContentType="application/vnd.openxmlformats-officedocument.wordprocessingml.header+xml"/>
  <Override PartName="/word/header242.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4.xml" ContentType="application/vnd.openxmlformats-officedocument.wordprocessingml.header+xml"/>
  <Override PartName="/word/header260.xml" ContentType="application/vnd.openxmlformats-officedocument.wordprocessingml.header+xml"/>
  <Override PartName="/word/header262.xml" ContentType="application/vnd.openxmlformats-officedocument.wordprocessingml.header+xml"/>
  <Override PartName="/word/header264.xml" ContentType="application/vnd.openxmlformats-officedocument.wordprocessingml.header+xml"/>
  <Override PartName="/word/header270.xml" ContentType="application/vnd.openxmlformats-officedocument.wordprocessingml.header+xml"/>
  <Override PartName="/word/header276.xml" ContentType="application/vnd.openxmlformats-officedocument.wordprocessingml.header+xml"/>
  <Override PartName="/word/header278.xml" ContentType="application/vnd.openxmlformats-officedocument.wordprocessingml.header+xml"/>
  <Override PartName="/word/header284.xml" ContentType="application/vnd.openxmlformats-officedocument.wordprocessingml.header+xml"/>
  <Override PartName="/word/header286.xml" ContentType="application/vnd.openxmlformats-officedocument.wordprocessingml.header+xml"/>
  <Override PartName="/word/header288.xml" ContentType="application/vnd.openxmlformats-officedocument.wordprocessingml.header+xml"/>
  <Override PartName="/word/header290.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298.xml" ContentType="application/vnd.openxmlformats-officedocument.wordprocessingml.header+xml"/>
  <Override PartName="/word/header304.xml" ContentType="application/vnd.openxmlformats-officedocument.wordprocessingml.header+xml"/>
  <Override PartName="/word/header306.xml" ContentType="application/vnd.openxmlformats-officedocument.wordprocessingml.header+xml"/>
  <Override PartName="/word/header308.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2.xml" ContentType="application/vnd.openxmlformats-officedocument.wordprocessingml.header+xml"/>
  <Override PartName="/word/header324.xml" ContentType="application/vnd.openxmlformats-officedocument.wordprocessingml.header+xml"/>
  <Override PartName="/word/header326.xml" ContentType="application/vnd.openxmlformats-officedocument.wordprocessingml.header+xml"/>
  <Override PartName="/word/header328.xml" ContentType="application/vnd.openxmlformats-officedocument.wordprocessingml.header+xml"/>
  <Override PartName="/word/header330.xml" ContentType="application/vnd.openxmlformats-officedocument.wordprocessingml.header+xml"/>
  <Override PartName="/word/header332.xml" ContentType="application/vnd.openxmlformats-officedocument.wordprocessingml.header+xml"/>
  <Override PartName="/word/header338.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47.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3.xml" ContentType="application/vnd.openxmlformats-officedocument.wordprocessingml.header+xml"/>
  <Override PartName="/word/header379.xml" ContentType="application/vnd.openxmlformats-officedocument.wordprocessingml.header+xml"/>
  <Override PartName="/word/header381.xml" ContentType="application/vnd.openxmlformats-officedocument.wordprocessingml.header+xml"/>
  <Override PartName="/word/header383.xml" ContentType="application/vnd.openxmlformats-officedocument.wordprocessingml.header+xml"/>
  <Override PartName="/word/header389.xml" ContentType="application/vnd.openxmlformats-officedocument.wordprocessingml.header+xml"/>
  <Override PartName="/word/header396.xml" ContentType="application/vnd.openxmlformats-officedocument.wordprocessingml.header+xml"/>
  <Override PartName="/word/header402.xml" ContentType="application/vnd.openxmlformats-officedocument.wordprocessingml.header+xml"/>
  <Override PartName="/word/header404.xml" ContentType="application/vnd.openxmlformats-officedocument.wordprocessingml.header+xml"/>
  <Override PartName="/word/header406.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2.xml" ContentType="application/vnd.openxmlformats-officedocument.wordprocessingml.header+xml"/>
  <Override PartName="/word/header414.xml" ContentType="application/vnd.openxmlformats-officedocument.wordprocessingml.header+xml"/>
  <Override PartName="/word/header416.xml" ContentType="application/vnd.openxmlformats-officedocument.wordprocessingml.header+xml"/>
  <Override PartName="/word/header418.xml" ContentType="application/vnd.openxmlformats-officedocument.wordprocessingml.header+xml"/>
  <Override PartName="/word/header424.xml" ContentType="application/vnd.openxmlformats-officedocument.wordprocessingml.header+xml"/>
  <Override PartName="/word/header430.xml" ContentType="application/vnd.openxmlformats-officedocument.wordprocessingml.header+xml"/>
  <Override PartName="/word/header432.xml" ContentType="application/vnd.openxmlformats-officedocument.wordprocessingml.header+xml"/>
  <Override PartName="/word/header434.xml" ContentType="application/vnd.openxmlformats-officedocument.wordprocessingml.header+xml"/>
  <Override PartName="/word/header436.xml" ContentType="application/vnd.openxmlformats-officedocument.wordprocessingml.header+xml"/>
  <Override PartName="/word/header438.xml" ContentType="application/vnd.openxmlformats-officedocument.wordprocessingml.header+xml"/>
  <Override PartName="/word/header440.xml" ContentType="application/vnd.openxmlformats-officedocument.wordprocessingml.header+xml"/>
  <Override PartName="/word/header442.xml" ContentType="application/vnd.openxmlformats-officedocument.wordprocessingml.header+xml"/>
  <Override PartName="/word/header444.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6"/>
        </w:numPr>
        <w:spacing w:line="480" w:lineRule="auto"/>
        <w:rPr>
          <w:sz w:val="24"/>
          <w:szCs w:val="24"/>
        </w:rPr>
      </w:pPr>
      <w:r>
        <w:rPr>
          <w:sz w:val="24"/>
          <w:szCs w:val="24"/>
        </w:rPr>
        <w:t xml:space="preserve">INTRODUCTION</w:t>
      </w:r>
    </w:p>
    <w:p>
      <w:pPr>
        <w:pStyle w:val="ABCgood"/>
        <w:numPr>
          <w:ilvl w:val="1"/>
          <w:numId w:val="456"/>
        </w:numPr>
        <w:spacing w:line="480" w:lineRule="auto"/>
        <w:rPr>
          <w:sz w:val="24"/>
          <w:szCs w:val="24"/>
        </w:rPr>
      </w:pPr>
      <w:r>
        <w:rPr>
          <w:sz w:val="24"/>
          <w:szCs w:val="24"/>
        </w:rPr>
        <w:t xml:space="preserve">OVERVIEW</w:t>
      </w:r>
    </w:p>
    <w:p>
      <w:pPr>
        <w:pStyle w:val="ABCgood"/>
        <w:numPr>
          <w:ilvl w:val="1"/>
          <w:numId w:val="456"/>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6"/>
        </w:numPr>
        <w:spacing w:line="480" w:lineRule="auto"/>
        <w:rPr>
          <w:sz w:val="24"/>
          <w:szCs w:val="24"/>
        </w:rPr>
      </w:pPr>
      <w:r>
        <w:rPr>
          <w:sz w:val="24"/>
          <w:szCs w:val="24"/>
        </w:rPr>
        <w:t xml:space="preserve">SCREENING FOR EXCLUDED INDIVIDUALS AND ENTITIES</w:t>
      </w:r>
    </w:p>
    <w:p>
      <w:pPr>
        <w:pStyle w:val="ParagraphStyle1"/>
        <w:numPr>
          <w:ilvl w:val="0"/>
          <w:numId w:val="456"/>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6"/>
        </w:numPr>
        <w:spacing w:line="480" w:lineRule="auto"/>
        <w:rPr>
          <w:sz w:val="24"/>
          <w:szCs w:val="24"/>
        </w:rPr>
      </w:pPr>
      <w:r>
        <w:rPr>
          <w:sz w:val="24"/>
          <w:szCs w:val="24"/>
        </w:rPr>
        <w:t xml:space="preserve">PROCEDURES, DIRECTIVES, POLICIES, AND GUIDANCE</w:t>
      </w:r>
    </w:p>
    <w:p>
      <w:pPr>
        <w:pStyle w:val="ABCgood"/>
        <w:numPr>
          <w:ilvl w:val="1"/>
          <w:numId w:val="456"/>
        </w:numPr>
        <w:spacing w:line="480" w:lineRule="auto"/>
        <w:rPr>
          <w:sz w:val="24"/>
          <w:szCs w:val="24"/>
        </w:rPr>
      </w:pPr>
      <w:r>
        <w:rPr>
          <w:sz w:val="24"/>
          <w:szCs w:val="24"/>
        </w:rPr>
        <w:t xml:space="preserve">IMPLEMENTING WRITTEN POLICIES, PROCEDURES, AND STANDARDS OF CONDUCT</w:t>
      </w:r>
    </w:p>
    <w:p>
      <w:pPr>
        <w:pStyle w:val="ABCgood"/>
        <w:numPr>
          <w:ilvl w:val="1"/>
          <w:numId w:val="456"/>
        </w:numPr>
        <w:spacing w:line="480" w:lineRule="auto"/>
        <w:rPr>
          <w:sz w:val="24"/>
          <w:szCs w:val="24"/>
        </w:rPr>
      </w:pPr>
      <w:r>
        <w:rPr>
          <w:sz w:val="24"/>
          <w:szCs w:val="24"/>
        </w:rPr>
        <w:t xml:space="preserve">EFFECTIVE EDUCATION AND TRAINING PROGRAMS</w:t>
      </w:r>
    </w:p>
    <w:p>
      <w:pPr>
        <w:pStyle w:val="ABCgood"/>
        <w:numPr>
          <w:ilvl w:val="1"/>
          <w:numId w:val="456"/>
        </w:numPr>
        <w:spacing w:line="480" w:lineRule="auto"/>
        <w:rPr>
          <w:sz w:val="24"/>
          <w:szCs w:val="24"/>
        </w:rPr>
      </w:pPr>
      <w:r>
        <w:rPr>
          <w:sz w:val="24"/>
          <w:szCs w:val="24"/>
        </w:rPr>
        <w:t xml:space="preserve">REPORTING SYSTEM AND DEVELOPING OPEN LINES OF COMMUNICATION</w:t>
      </w:r>
    </w:p>
    <w:p>
      <w:pPr>
        <w:pStyle w:val="ABCgood"/>
        <w:numPr>
          <w:ilvl w:val="1"/>
          <w:numId w:val="456"/>
        </w:numPr>
        <w:spacing w:line="480" w:lineRule="auto"/>
        <w:rPr>
          <w:sz w:val="24"/>
          <w:szCs w:val="24"/>
        </w:rPr>
      </w:pPr>
      <w:r>
        <w:rPr>
          <w:sz w:val="24"/>
          <w:szCs w:val="24"/>
        </w:rPr>
        <w:t xml:space="preserve">ENFORCING DISCIPLINARY STANDARDS THROUGH WELL-PUBLICIZED GUIDELINES</w:t>
      </w:r>
    </w:p>
    <w:p>
      <w:pPr>
        <w:pStyle w:val="ABCgood"/>
        <w:numPr>
          <w:ilvl w:val="1"/>
          <w:numId w:val="456"/>
        </w:numPr>
        <w:spacing w:line="480" w:lineRule="auto"/>
        <w:rPr>
          <w:sz w:val="24"/>
          <w:szCs w:val="24"/>
        </w:rPr>
      </w:pPr>
      <w:r>
        <w:rPr>
          <w:sz w:val="24"/>
          <w:szCs w:val="24"/>
        </w:rPr>
        <w:t xml:space="preserve">POLICY OF NON-INTIMIDATION AND NON-RETALIATION</w:t>
      </w:r>
    </w:p>
    <w:p>
      <w:pPr>
        <w:pStyle w:val="ABCgood"/>
        <w:numPr>
          <w:ilvl w:val="1"/>
          <w:numId w:val="456"/>
        </w:numPr>
        <w:spacing w:line="480" w:lineRule="auto"/>
        <w:rPr>
          <w:sz w:val="24"/>
          <w:szCs w:val="24"/>
        </w:rPr>
      </w:pPr>
      <w:r>
        <w:rPr>
          <w:sz w:val="24"/>
          <w:szCs w:val="24"/>
        </w:rPr>
        <w:t xml:space="preserve">CONDUCTING INTERNAL AUDITING AND MONITORING</w:t>
      </w:r>
    </w:p>
    <w:p>
      <w:pPr>
        <w:pStyle w:val="ABCgood"/>
        <w:numPr>
          <w:ilvl w:val="1"/>
          <w:numId w:val="456"/>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6"/>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6"/>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2"/>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2"/>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is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2"/>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2"/>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2"/>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2"/>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Procedures, and require compliance with the documents.</w:t>
      </w:r>
      <w:bookmarkStart w:id="14" w:name="_Toc262470057"/>
    </w:p>
    <w:p>
      <w:pPr>
        <w:pStyle w:val="50s"/>
        <w:numPr>
          <w:ilvl w:val="0"/>
          <w:numId w:val="582"/>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2"/>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2"/>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are in compliance with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2"/>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2"/>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2"/>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2"/>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sufficient funding, resources, and staff to fully perform his or her responsibilities;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2"/>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8"/>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8"/>
        </w:numPr>
        <w:spacing w:after="120" w:line="240" w:lineRule="auto"/>
        <w:rPr>
          <w:rFonts w:ascii="Verdana" w:hAnsi="Verdana" w:eastAsia="Verdana"/>
          <w:szCs w:val="24"/>
        </w:rPr>
      </w:pPr>
      <w:r>
        <w:rPr>
          <w:rFonts w:ascii="Verdana" w:hAnsi="Verdana" w:eastAsia="Verdana"/>
          <w:szCs w:val="24"/>
        </w:rPr>
        <w:t xml:space="preserve">Non-Intimidation and Non-Retaliation for good-faith reporting of compliance and/or ethics issues;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8"/>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8"/>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8"/>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8"/>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8"/>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8"/>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8"/>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8"/>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5"/>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5"/>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5"/>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5"/>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8"/>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8"/>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9"/>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9"/>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9"/>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9"/>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9"/>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9"/>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9"/>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9"/>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9"/>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9"/>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9"/>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9"/>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9"/>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9"/>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9"/>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9"/>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p>
    <w:p>
      <w:pPr>
        <w:pStyle w:val="ListParagraph"/>
        <w:numPr>
          <w:ilvl w:val="3"/>
          <w:numId w:val="389"/>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9"/>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9"/>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7"/>
        </w:numPr>
        <w:spacing w:line="480" w:lineRule="auto"/>
        <w:rPr>
          <w:sz w:val="24"/>
          <w:szCs w:val="24"/>
        </w:rPr>
      </w:pPr>
      <w:r>
        <w:rPr>
          <w:sz w:val="24"/>
          <w:szCs w:val="24"/>
        </w:rPr>
        <w:t xml:space="preserve">CODE OF CONDUCT</w:t>
      </w:r>
    </w:p>
    <w:p>
      <w:pPr>
        <w:pStyle w:val="ABCgood"/>
        <w:numPr>
          <w:ilvl w:val="1"/>
          <w:numId w:val="770"/>
        </w:numPr>
        <w:spacing w:line="480" w:lineRule="auto"/>
        <w:rPr>
          <w:sz w:val="24"/>
          <w:szCs w:val="24"/>
        </w:rPr>
      </w:pPr>
      <w:r>
        <w:rPr>
          <w:sz w:val="24"/>
          <w:szCs w:val="24"/>
        </w:rPr>
        <w:t xml:space="preserve">HONESTY AND LAWFUL CONDUCT </w:t>
      </w:r>
    </w:p>
    <w:p>
      <w:pPr>
        <w:pStyle w:val="ABCgood"/>
        <w:numPr>
          <w:ilvl w:val="1"/>
          <w:numId w:val="770"/>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70"/>
        </w:numPr>
        <w:spacing w:line="480" w:lineRule="auto"/>
        <w:rPr>
          <w:sz w:val="24"/>
          <w:szCs w:val="24"/>
        </w:rPr>
      </w:pPr>
      <w:r>
        <w:rPr>
          <w:sz w:val="24"/>
          <w:szCs w:val="24"/>
        </w:rPr>
        <w:t xml:space="preserve">QUESTIONS AND CONCERNS </w:t>
      </w:r>
    </w:p>
    <w:p>
      <w:pPr>
        <w:pStyle w:val="ABCgood"/>
        <w:numPr>
          <w:ilvl w:val="1"/>
          <w:numId w:val="770"/>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70"/>
        </w:numPr>
        <w:spacing w:before="100" w:line="480" w:lineRule="auto"/>
        <w:rPr>
          <w:sz w:val="24"/>
          <w:szCs w:val="24"/>
        </w:rPr>
      </w:pPr>
      <w:r>
        <w:rPr>
          <w:sz w:val="24"/>
          <w:szCs w:val="24"/>
        </w:rPr>
        <w:t xml:space="preserve">CODE OF CONDUCT STANDARDS </w:t>
      </w:r>
    </w:p>
    <w:p>
      <w:pPr>
        <w:pStyle w:val="ABCgood"/>
        <w:numPr>
          <w:ilvl w:val="1"/>
          <w:numId w:val="770"/>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70"/>
        </w:numPr>
        <w:spacing w:line="480" w:lineRule="auto"/>
        <w:rPr>
          <w:sz w:val="24"/>
          <w:szCs w:val="24"/>
        </w:rPr>
      </w:pPr>
      <w:r>
        <w:rPr>
          <w:sz w:val="24"/>
          <w:szCs w:val="24"/>
        </w:rPr>
        <w:t xml:space="preserve">STANDARDS RELATING TO QUALITY OF CARE AND SERVICES </w:t>
      </w:r>
    </w:p>
    <w:p>
      <w:pPr>
        <w:pStyle w:val="ABCgood"/>
        <w:numPr>
          <w:ilvl w:val="1"/>
          <w:numId w:val="770"/>
        </w:numPr>
        <w:spacing w:line="480" w:lineRule="auto"/>
        <w:rPr>
          <w:sz w:val="24"/>
          <w:szCs w:val="24"/>
        </w:rPr>
      </w:pPr>
      <w:r>
        <w:rPr>
          <w:sz w:val="24"/>
          <w:szCs w:val="24"/>
        </w:rPr>
        <w:t xml:space="preserve">STANDARDS RELATING TO BILLING AND CODING </w:t>
      </w:r>
    </w:p>
    <w:p>
      <w:pPr>
        <w:pStyle w:val="ABCgood"/>
        <w:numPr>
          <w:ilvl w:val="1"/>
          <w:numId w:val="770"/>
        </w:numPr>
        <w:spacing w:line="480" w:lineRule="auto"/>
        <w:rPr>
          <w:sz w:val="24"/>
          <w:szCs w:val="24"/>
        </w:rPr>
      </w:pPr>
      <w:r>
        <w:rPr>
          <w:sz w:val="24"/>
          <w:szCs w:val="24"/>
        </w:rPr>
        <w:t xml:space="preserve">STANDARDS RELATING TO BUSINESS PRACTICES </w:t>
      </w:r>
    </w:p>
    <w:p>
      <w:pPr>
        <w:pStyle w:val="ABCgood"/>
        <w:numPr>
          <w:ilvl w:val="1"/>
          <w:numId w:val="770"/>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70"/>
        </w:numPr>
        <w:spacing w:line="480" w:lineRule="auto"/>
        <w:rPr>
          <w:sz w:val="24"/>
          <w:szCs w:val="24"/>
        </w:rPr>
      </w:pPr>
      <w:r>
        <w:rPr>
          <w:sz w:val="24"/>
          <w:szCs w:val="24"/>
        </w:rPr>
        <w:t xml:space="preserve">STANDARDS RELATING TO CONFIDENTIALITY</w:t>
      </w:r>
    </w:p>
    <w:p>
      <w:pPr>
        <w:pStyle w:val="II"/>
        <w:numPr>
          <w:ilvl w:val="0"/>
          <w:numId w:val="770"/>
        </w:numPr>
        <w:spacing w:before="100" w:line="480" w:lineRule="auto"/>
        <w:rPr>
          <w:sz w:val="24"/>
          <w:szCs w:val="24"/>
        </w:rPr>
      </w:pPr>
      <w:r>
        <w:rPr>
          <w:sz w:val="24"/>
          <w:szCs w:val="24"/>
        </w:rPr>
        <w:t xml:space="preserve">EDUCATION </w:t>
      </w:r>
    </w:p>
    <w:p>
      <w:pPr>
        <w:pStyle w:val="IIIIII"/>
        <w:numPr>
          <w:ilvl w:val="0"/>
          <w:numId w:val="770"/>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70"/>
        </w:numPr>
        <w:spacing w:before="100" w:line="480" w:lineRule="auto"/>
        <w:rPr>
          <w:sz w:val="24"/>
          <w:szCs w:val="24"/>
        </w:rPr>
      </w:pPr>
      <w:r>
        <w:rPr>
          <w:sz w:val="24"/>
          <w:szCs w:val="24"/>
        </w:rPr>
        <w:t xml:space="preserve">REPORTING OF VIOLATIONS</w:t>
      </w:r>
    </w:p>
    <w:p>
      <w:pPr>
        <w:pStyle w:val="IIIIII"/>
        <w:numPr>
          <w:ilvl w:val="0"/>
          <w:numId w:val="770"/>
        </w:numPr>
        <w:spacing w:before="100" w:line="480" w:lineRule="auto"/>
        <w:rPr>
          <w:sz w:val="24"/>
          <w:szCs w:val="24"/>
        </w:rPr>
      </w:pPr>
      <w:r>
        <w:rPr>
          <w:sz w:val="24"/>
          <w:szCs w:val="24"/>
        </w:rPr>
        <w:t xml:space="preserve">DISCIPLINARY ACTION </w:t>
      </w:r>
    </w:p>
    <w:p>
      <w:pPr>
        <w:pStyle w:val="IIIIII"/>
        <w:numPr>
          <w:ilvl w:val="0"/>
          <w:numId w:val="770"/>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w:t>
      </w:r>
      <w:bookmarkStart w:id="20" w:name="_GoBack"/>
      <w:bookmarkEnd w:id="20"/>
      <w:r>
        <w:rPr>
          <w:rFonts w:ascii="Verdana" w:hAnsi="Verdana" w:eastAsia="Verdana"/>
          <w:szCs w:val="24"/>
        </w:rPr>
        <w:t xml:space="preserve">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9"/>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9"/>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9"/>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9"/>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9"/>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9"/>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9"/>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4"/>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4"/>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4"/>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4"/>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4"/>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4"/>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4"/>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4"/>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4"/>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4"/>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w:t>
      </w:r>
      <w:r>
        <w:rPr>
          <w:rFonts w:ascii="Verdana" w:hAnsi="Verdana" w:eastAsia="Verdana"/>
          <w:sz w:val="24"/>
          <w:szCs w:val="24"/>
        </w:rPr>
        <w:t xml:space="preserve">i</w:t>
      </w:r>
      <w:r>
        <w:rPr>
          <w:rFonts w:ascii="Verdana" w:hAnsi="Verdana" w:eastAsia="Verdana"/>
          <w:sz w:val="24"/>
          <w:szCs w:val="24"/>
        </w:rPr>
        <w:t xml:space="preserve">)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4"/>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4"/>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4"/>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4"/>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4"/>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4"/>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4"/>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4"/>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4"/>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4"/>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4"/>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4"/>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4"/>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4"/>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4"/>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4"/>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4"/>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4"/>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tabs>
          <w:tab w:val="left" w:pos="900"/>
        </w:tabs>
        <w:spacing w:after="0"/>
        <w:ind w:left="1728"/>
        <w:rPr>
          <w:rFonts w:ascii="Verdana" w:hAnsi="Verdana" w:eastAsia="Verdana"/>
          <w:color w:val="FF0000"/>
          <w:sz w:val="16"/>
          <w:szCs w:val="16"/>
        </w:rPr>
      </w:pPr>
    </w:p>
    <w:p>
      <w:pPr>
        <w:numPr>
          <w:ilvl w:val="2"/>
          <w:numId w:val="614"/>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4"/>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4"/>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7"/>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7"/>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7"/>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7"/>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7"/>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w:t>
      </w:r>
      <w:r>
        <w:rPr>
          <w:rFonts w:ascii="Verdana" w:hAnsi="Verdana" w:eastAsia="Verdana"/>
          <w:szCs w:val="24"/>
        </w:rPr>
        <w:t xml:space="preserve">i</w:t>
      </w:r>
      <w:r>
        <w:rPr>
          <w:rFonts w:ascii="Verdana" w:hAnsi="Verdana" w:eastAsia="Verdana"/>
          <w:szCs w:val="24"/>
        </w:rPr>
        <w:t xml:space="preserve">)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7"/>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7"/>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7"/>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7"/>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7"/>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7"/>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7"/>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1"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1"/>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5"/>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6"/>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6"/>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6"/>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w:t>
      </w:r>
      <w:r>
        <w:rPr>
          <w:rFonts w:ascii="Verdana" w:hAnsi="Verdana" w:eastAsia="Verdana"/>
          <w:szCs w:val="24"/>
        </w:rPr>
        <w:t xml:space="preserve">i</w:t>
      </w:r>
      <w:r>
        <w:rPr>
          <w:rFonts w:ascii="Verdana" w:hAnsi="Verdana" w:eastAsia="Verdana"/>
          <w:szCs w:val="24"/>
        </w:rPr>
        <w:t xml:space="preserve">-xix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2" w:name="co_anchor_a692745_1"/>
      <w:bookmarkEnd w:id="22"/>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3" w:name="co_anchor_a507117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4" w:name="co_anchor_a329580_1"/>
      <w:bookmarkEnd w:id="24"/>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3"/>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3"/>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3"/>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3"/>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1"/>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1"/>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1"/>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1"/>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1"/>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1"/>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1"/>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1"/>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1"/>
        </w:numPr>
        <w:spacing/>
        <w:jc w:val="both"/>
        <w:rPr>
          <w:rFonts w:ascii="Verdana" w:hAnsi="Verdana" w:eastAsia="Verdana"/>
        </w:rPr>
      </w:pPr>
      <w:r>
        <w:rPr>
          <w:rFonts w:ascii="Verdana" w:hAnsi="Verdana" w:eastAsia="Verdana"/>
        </w:rPr>
        <w:t xml:space="preserve">Trend analysis, and</w:t>
      </w:r>
    </w:p>
    <w:p>
      <w:pPr>
        <w:pStyle w:val="List"/>
        <w:numPr>
          <w:ilvl w:val="2"/>
          <w:numId w:val="771"/>
        </w:numPr>
        <w:spacing/>
        <w:jc w:val="both"/>
        <w:rPr>
          <w:rFonts w:ascii="Verdana" w:hAnsi="Verdana" w:eastAsia="Verdana"/>
        </w:rPr>
      </w:pPr>
      <w:r>
        <w:rPr>
          <w:rFonts w:ascii="Verdana" w:hAnsi="Verdana" w:eastAsia="Verdana"/>
        </w:rPr>
        <w:t xml:space="preserve">On-site visits.  </w:t>
      </w:r>
    </w:p>
    <w:p>
      <w:pPr>
        <w:pStyle w:val="List"/>
        <w:numPr>
          <w:ilvl w:val="0"/>
          <w:numId w:val="771"/>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1"/>
        </w:numPr>
        <w:spacing/>
        <w:jc w:val="both"/>
        <w:rPr>
          <w:rFonts w:ascii="Verdana" w:hAnsi="Verdana" w:eastAsia="Verdana"/>
        </w:rPr>
      </w:pPr>
      <w:r>
        <w:rPr>
          <w:rFonts w:ascii="Verdana" w:hAnsi="Verdana" w:eastAsia="Cambria"/>
        </w:rPr>
        <w:t xml:space="preserve">billings;</w:t>
      </w:r>
    </w:p>
    <w:p>
      <w:pPr>
        <w:pStyle w:val="List"/>
        <w:numPr>
          <w:ilvl w:val="1"/>
          <w:numId w:val="771"/>
        </w:numPr>
        <w:spacing/>
        <w:jc w:val="both"/>
        <w:rPr>
          <w:rFonts w:ascii="Verdana" w:hAnsi="Verdana" w:eastAsia="Verdana"/>
        </w:rPr>
      </w:pPr>
      <w:r>
        <w:rPr>
          <w:rFonts w:ascii="Verdana" w:hAnsi="Verdana" w:eastAsia="Cambria"/>
        </w:rPr>
        <w:t xml:space="preserve">payments;</w:t>
      </w:r>
    </w:p>
    <w:p>
      <w:pPr>
        <w:pStyle w:val="List"/>
        <w:numPr>
          <w:ilvl w:val="1"/>
          <w:numId w:val="771"/>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1"/>
        </w:numPr>
        <w:spacing/>
        <w:jc w:val="both"/>
        <w:rPr>
          <w:rFonts w:ascii="Verdana" w:hAnsi="Verdana" w:eastAsia="Verdana"/>
        </w:rPr>
      </w:pPr>
      <w:r>
        <w:rPr>
          <w:rFonts w:ascii="Verdana" w:hAnsi="Verdana" w:eastAsia="Cambria"/>
        </w:rPr>
        <w:t xml:space="preserve">governance;</w:t>
      </w:r>
    </w:p>
    <w:p>
      <w:pPr>
        <w:pStyle w:val="List"/>
        <w:numPr>
          <w:ilvl w:val="1"/>
          <w:numId w:val="771"/>
        </w:numPr>
        <w:spacing/>
        <w:jc w:val="both"/>
        <w:rPr>
          <w:rFonts w:ascii="Verdana" w:hAnsi="Verdana" w:eastAsia="Verdana"/>
        </w:rPr>
      </w:pPr>
      <w:r>
        <w:rPr>
          <w:rFonts w:ascii="Verdana" w:hAnsi="Verdana" w:eastAsia="Cambria"/>
        </w:rPr>
        <w:t xml:space="preserve">mandatory reporting;</w:t>
      </w:r>
    </w:p>
    <w:p>
      <w:pPr>
        <w:pStyle w:val="List"/>
        <w:numPr>
          <w:ilvl w:val="1"/>
          <w:numId w:val="771"/>
        </w:numPr>
        <w:spacing/>
        <w:jc w:val="both"/>
        <w:rPr>
          <w:rFonts w:ascii="Verdana" w:hAnsi="Verdana" w:eastAsia="Verdana"/>
        </w:rPr>
      </w:pPr>
      <w:r>
        <w:rPr>
          <w:rFonts w:ascii="Verdana" w:hAnsi="Verdana" w:eastAsia="Cambria"/>
        </w:rPr>
        <w:t xml:space="preserve">credentialing; and</w:t>
      </w:r>
    </w:p>
    <w:p>
      <w:pPr>
        <w:pStyle w:val="List"/>
        <w:numPr>
          <w:ilvl w:val="1"/>
          <w:numId w:val="771"/>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1"/>
        </w:numPr>
        <w:spacing/>
        <w:jc w:val="both"/>
        <w:rPr>
          <w:rFonts w:ascii="Verdana" w:hAnsi="Verdana" w:eastAsia="Verdana"/>
        </w:rPr>
      </w:pPr>
      <w:r>
        <w:rPr>
          <w:rFonts w:ascii="Verdana" w:hAnsi="Verdana" w:eastAsia="Verdana"/>
        </w:rPr>
        <w:t xml:space="preserve">Conducting the Audit</w:t>
      </w:r>
    </w:p>
    <w:p>
      <w:pPr>
        <w:pStyle w:val="List"/>
        <w:numPr>
          <w:ilvl w:val="1"/>
          <w:numId w:val="771"/>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1"/>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1"/>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1"/>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1"/>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1"/>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1"/>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1"/>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1"/>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1"/>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1"/>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1"/>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1"/>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1"/>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1"/>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1"/>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8"/>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8"/>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8"/>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8"/>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8"/>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8"/>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8"/>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8"/>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8"/>
        </w:numPr>
        <w:spacing/>
        <w:jc w:val="both"/>
        <w:rPr>
          <w:rFonts w:ascii="Verdana" w:hAnsi="Verdana" w:eastAsia="Verdana"/>
          <w:bCs/>
        </w:rPr>
      </w:pPr>
      <w:r>
        <w:rPr>
          <w:rFonts w:ascii="Verdana" w:hAnsi="Verdana" w:eastAsia="Verdana"/>
          <w:bCs/>
        </w:rPr>
        <w:t xml:space="preserve">“Make-up” Trainings</w:t>
      </w:r>
    </w:p>
    <w:p>
      <w:pPr>
        <w:pStyle w:val="List"/>
        <w:numPr>
          <w:ilvl w:val="1"/>
          <w:numId w:val="468"/>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8"/>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8"/>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8"/>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8"/>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9"/>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9"/>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9"/>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9"/>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9"/>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9"/>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9"/>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9"/>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9"/>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5"/>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5"/>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5"/>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5"/>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5"/>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5"/>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5"/>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5"/>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5"/>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5"/>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5"/>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5"/>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5"/>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7"/>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9"/>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9"/>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9"/>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4"/>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4"/>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8"/>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8"/>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8"/>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8"/>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8"/>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8"/>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8"/>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w:t>
      </w:r>
      <w:r>
        <w:rPr>
          <w:rFonts w:ascii="Verdana" w:hAnsi="Verdana" w:eastAsia="Verdana" w:cs="Times New Roman"/>
          <w:bCs/>
          <w:kern w:val="32"/>
          <w:sz w:val="24"/>
          <w:szCs w:val="24"/>
        </w:rPr>
        <w:t xml:space="preserve">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w:t>
      </w:r>
      <w:r>
        <w:rPr>
          <w:rFonts w:ascii="Verdana" w:hAnsi="Verdana" w:eastAsia="Verdana" w:cs="Times New Roman"/>
          <w:bCs/>
          <w:iCs/>
          <w:kern w:val="32"/>
          <w:sz w:val="24"/>
          <w:szCs w:val="24"/>
        </w:rPr>
        <w:t xml:space="preserve">relay</w:t>
      </w:r>
      <w:r>
        <w:rPr>
          <w:rFonts w:ascii="Verdana" w:hAnsi="Verdana" w:eastAsia="Verdana" w:cs="Times New Roman"/>
          <w:bCs/>
          <w:iCs/>
          <w:kern w:val="32"/>
          <w:sz w:val="24"/>
          <w:szCs w:val="24"/>
        </w:rPr>
        <w:t xml:space="preserve"> all information and documentation from the identification and legal documents.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representatives may even imply that it is wrong for an Associate to refuse to speak with them during this first encounter.</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Pr>
          <w:rFonts w:ascii="Verdana" w:hAnsi="Verdana" w:eastAsia="Verdana" w:cs="Times New Roman"/>
          <w:bCs/>
          <w:iCs/>
          <w:kern w:val="32"/>
          <w:sz w:val="24"/>
          <w:szCs w:val="24"/>
        </w:rPr>
        <w:t xml:space="preserve">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2"/>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6"/>
        </w:numPr>
        <w:spacing w:after="0"/>
        <w:rPr>
          <w:rFonts w:ascii="Verdana" w:hAnsi="Verdana" w:eastAsia="Verdana"/>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r>
        <w:rPr>
          <w:rFonts w:ascii="Verdana" w:hAnsi="Verdana" w:eastAsia="Verdana" w:cs="Verdana"/>
          <w:b/>
          <w:bCs/>
          <w:caps/>
          <w:sz w:val="28"/>
          <w:szCs w:val="28"/>
        </w:rPr>
        <w:br/>
      </w:r>
      <w:r>
        <w:rPr>
          <w:rFonts w:ascii="Verdana" w:hAnsi="Verdana" w:eastAsia="Verdana" w:cs="Verdana"/>
          <w:b/>
          <w:bCs/>
          <w:smallCaps/>
          <w:sz w:val="28"/>
          <w:szCs w:val="28"/>
        </w:rPr>
        <w:t xml:space="preserve">Deficit Reduction Act Of 2005</w:t>
      </w:r>
      <w:r>
        <w:rPr>
          <w:rFonts w:ascii="Verdana" w:hAnsi="Verdana" w:eastAsia="Verdana"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ascii="Verdana" w:hAnsi="Verdana" w:eastAsia="Verdana" w:cs="Times New Roman"/>
          <w:smallCaps/>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45" w:lineRule="auto"/>
        <w:ind w:left="10"/>
        <w:rPr>
          <w:rFonts w:ascii="Verdana" w:hAnsi="Verdana" w:eastAsia="Verdana"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50" w:lineRule="auto"/>
        <w:ind w:left="10"/>
        <w:rPr>
          <w:rFonts w:ascii="Verdana" w:hAnsi="Verdana" w:eastAsia="Verdana"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PROCEDURE</w:t>
      </w:r>
    </w:p>
    <w:p>
      <w:pPr>
        <w:widowControl w:val="false"/>
        <w:numPr>
          <w:ilvl w:val="0"/>
          <w:numId w:val="77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502"/>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502"/>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502"/>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502"/>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502"/>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502"/>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w:t>
      </w:r>
      <w:r>
        <w:rPr>
          <w:rFonts w:ascii="Verdana" w:hAnsi="Verdana" w:eastAsia="Verdana" w:cs="Verdana"/>
          <w:szCs w:val="24"/>
        </w:rPr>
        <w:t xml:space="preserve">rights to be protected as whistleblowers (see below II B). </w:t>
      </w:r>
    </w:p>
    <w:p>
      <w:pPr>
        <w:widowControl w:val="false"/>
        <w:numPr>
          <w:ilvl w:val="0"/>
          <w:numId w:val="502"/>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805"/>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All Associates can make a report either openly or anonymously by calling our </w:t>
      </w:r>
      <w:r>
        <w:rPr>
          <w:rFonts w:ascii="Verdana" w:hAnsi="Verdana" w:eastAsia="Verdana" w:cs="Verdana"/>
          <w:szCs w:val="24"/>
        </w:rPr>
        <w:t xml:space="preserve">Compliance and Ethics</w:t>
      </w:r>
      <w:r>
        <w:rPr>
          <w:rFonts w:ascii="Verdana" w:hAnsi="Verdana" w:eastAsia="Verdana" w:cs="Verdana"/>
          <w:szCs w:val="24"/>
        </w:rPr>
        <w:t xml:space="preserve"> Hotline at (800) 610-2544.</w:t>
      </w:r>
    </w:p>
    <w:p>
      <w:pPr>
        <w:widowControl w:val="false"/>
        <w:numPr>
          <w:ilvl w:val="1"/>
          <w:numId w:val="805"/>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805"/>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805"/>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ascii="Verdana" w:hAnsi="Verdana" w:eastAsia="Verdana" w:cs="Times New Roman"/>
          <w:szCs w:val="24"/>
        </w:rPr>
      </w:pP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ascii="Verdana" w:hAnsi="Verdana" w:eastAsia="Verdana"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numPr>
          <w:ilvl w:val="0"/>
          <w:numId w:val="2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2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2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29"/>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Provide detailed information about the Federal and</w:t>
      </w:r>
    </w:p>
    <w:p>
      <w:pPr>
        <w:widowControl w:val="false"/>
        <w:numPr>
          <w:ilvl w:val="3"/>
          <w:numId w:val="29"/>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29"/>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29"/>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29"/>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2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2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2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4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Federal Civil False Claims Act – 31 U.S.C. §§ 3729 – 3733</w:t>
      </w:r>
    </w:p>
    <w:p>
      <w:pPr>
        <w:widowControl w:val="false"/>
        <w:numPr>
          <w:ilvl w:val="1"/>
          <w:numId w:val="4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w:t>
      </w:r>
      <w:r>
        <w:rPr>
          <w:rFonts w:ascii="Verdana" w:hAnsi="Verdana" w:eastAsia="Verdana" w:cs="Verdana"/>
          <w:szCs w:val="24"/>
        </w:rPr>
        <w:t xml:space="preserve">entitled, and then uses false statements or records in order to retain the money. </w:t>
      </w:r>
    </w:p>
    <w:p>
      <w:pPr>
        <w:widowControl w:val="false"/>
        <w:numPr>
          <w:ilvl w:val="1"/>
          <w:numId w:val="4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Examples of false claims include, but are not limited to: </w:t>
      </w:r>
    </w:p>
    <w:p>
      <w:pPr>
        <w:widowControl w:val="false"/>
        <w:numPr>
          <w:ilvl w:val="2"/>
          <w:numId w:val="4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or supply that was never provided; </w:t>
      </w:r>
    </w:p>
    <w:p>
      <w:pPr>
        <w:widowControl w:val="false"/>
        <w:numPr>
          <w:ilvl w:val="2"/>
          <w:numId w:val="4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4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4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4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4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496"/>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resulting in an unreturned overpayment. </w:t>
      </w:r>
    </w:p>
    <w:p>
      <w:pPr>
        <w:widowControl w:val="false"/>
        <w:numPr>
          <w:ilvl w:val="0"/>
          <w:numId w:val="14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Penalties </w:t>
      </w:r>
    </w:p>
    <w:p>
      <w:pPr>
        <w:widowControl w:val="false"/>
        <w:numPr>
          <w:ilvl w:val="1"/>
          <w:numId w:val="14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0"/>
          <w:numId w:val="139"/>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1"/>
          <w:numId w:val="13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1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139"/>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139"/>
        </w:numPr>
        <w:autoSpaceDE w:val="false"/>
        <w:autoSpaceDN w:val="false"/>
        <w:adjustRightInd w:val="false"/>
        <w:spacing w:after="0" w:line="240" w:lineRule="auto"/>
        <w:jc w:val="left"/>
        <w:rPr>
          <w:rFonts w:ascii="Verdana" w:hAnsi="Verdana" w:eastAsia="Verdana" w:cs="Times New Roman"/>
          <w:szCs w:val="24"/>
        </w:rPr>
      </w:pPr>
      <w:r>
        <w:rPr>
          <w:rFonts w:ascii="Verdana" w:hAnsi="Verdana" w:eastAsia="Verdana" w:cs="Verdana"/>
          <w:szCs w:val="24"/>
        </w:rPr>
        <w:t xml:space="preserve">Federal False Statements Statute – 42 U.S.C. § 1320a-7b(a)</w:t>
      </w:r>
    </w:p>
    <w:p>
      <w:pPr>
        <w:widowControl w:val="false"/>
        <w:numPr>
          <w:ilvl w:val="1"/>
          <w:numId w:val="139"/>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w:t>
      </w:r>
      <w:r>
        <w:rPr>
          <w:rFonts w:ascii="Verdana" w:hAnsi="Verdana" w:eastAsia="Verdana" w:cs="Verdana"/>
          <w:szCs w:val="24"/>
        </w:rPr>
        <w:t xml:space="preserve">United States government funds is subject to significant fines and imprisonment.</w:t>
      </w:r>
    </w:p>
    <w:p>
      <w:pPr>
        <w:widowControl w:val="false"/>
        <w:numPr>
          <w:ilvl w:val="2"/>
          <w:numId w:val="139"/>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139"/>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139"/>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29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29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297"/>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50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50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50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50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244"/>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244"/>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w:t>
      </w:r>
      <w:r>
        <w:rPr>
          <w:rFonts w:ascii="Verdana" w:hAnsi="Verdana" w:eastAsia="Verdana" w:cs="Verdana"/>
          <w:szCs w:val="24"/>
        </w:rPr>
        <w:t xml:space="preserve">and/or imprisonment for up to one (1) year. </w:t>
      </w:r>
    </w:p>
    <w:p>
      <w:pPr>
        <w:widowControl w:val="false"/>
        <w:numPr>
          <w:ilvl w:val="0"/>
          <w:numId w:val="119"/>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Federal Health Care Fraud Statute – 18 U.S.C. § 1347</w:t>
      </w:r>
    </w:p>
    <w:p>
      <w:pPr>
        <w:widowControl w:val="false"/>
        <w:numPr>
          <w:ilvl w:val="1"/>
          <w:numId w:val="119"/>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119"/>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119"/>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119"/>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4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4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4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widowControl w:val="false"/>
        <w:numPr>
          <w:ilvl w:val="0"/>
          <w:numId w:val="619"/>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Federal Criminal False Claims Act – 18 U.S.C.A. §§ 286-287</w:t>
      </w:r>
    </w:p>
    <w:p>
      <w:pPr>
        <w:widowControl w:val="false"/>
        <w:numPr>
          <w:ilvl w:val="1"/>
          <w:numId w:val="619"/>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619"/>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widowControl w:val="false"/>
        <w:numPr>
          <w:ilvl w:val="0"/>
          <w:numId w:val="612"/>
        </w:numPr>
        <w:overflowPunct w:val="false"/>
        <w:autoSpaceDE w:val="false"/>
        <w:autoSpaceDN w:val="false"/>
        <w:adjustRightInd w:val="false"/>
        <w:spacing w:after="0" w:line="263" w:lineRule="auto"/>
        <w:jc w:val="left"/>
        <w:rPr>
          <w:rFonts w:ascii="Verdana" w:hAnsi="Verdana" w:eastAsia="Verdana" w:cs="Times New Roman"/>
          <w:szCs w:val="24"/>
        </w:rPr>
      </w:pPr>
      <w:r>
        <w:rPr>
          <w:rFonts w:ascii="Verdana" w:hAnsi="Verdana" w:eastAsia="Verdana" w:cs="Verdana"/>
          <w:szCs w:val="24"/>
        </w:rPr>
        <w:t xml:space="preserve">The Program Fraud Civil Remedies Act (“PFCRA”) – 31 U.S.C. 3801-</w:t>
      </w:r>
      <w:r>
        <w:rPr>
          <w:rFonts w:ascii="Verdana" w:hAnsi="Verdana" w:eastAsia="Verdana" w:cs="Verdana"/>
          <w:szCs w:val="24"/>
        </w:rPr>
        <w:t xml:space="preserve">3812</w:t>
      </w:r>
    </w:p>
    <w:p>
      <w:pPr>
        <w:widowControl w:val="false"/>
        <w:numPr>
          <w:ilvl w:val="1"/>
          <w:numId w:val="612"/>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612"/>
        </w:numPr>
        <w:tabs>
          <w:tab w:val="clear" w:pos="72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61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271"/>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271"/>
        </w:numPr>
        <w:overflowPunct w:val="false"/>
        <w:autoSpaceDE w:val="false"/>
        <w:autoSpaceDN w:val="false"/>
        <w:adjustRightInd w:val="false"/>
        <w:spacing w:after="0" w:line="263" w:lineRule="auto"/>
        <w:ind w:left="1980"/>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271"/>
        </w:numPr>
        <w:overflowPunct w:val="false"/>
        <w:autoSpaceDE w:val="false"/>
        <w:autoSpaceDN w:val="false"/>
        <w:adjustRightInd w:val="false"/>
        <w:spacing w:after="0" w:line="245" w:lineRule="auto"/>
        <w:ind w:left="1980"/>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27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271"/>
        </w:numPr>
        <w:tabs>
          <w:tab w:val="clear" w:pos="1584"/>
        </w:tabs>
        <w:overflowPunct w:val="false"/>
        <w:autoSpaceDE w:val="false"/>
        <w:autoSpaceDN w:val="false"/>
        <w:adjustRightInd w:val="false"/>
        <w:spacing w:after="0" w:line="250" w:lineRule="auto"/>
        <w:ind w:left="1980"/>
        <w:rPr>
          <w:rFonts w:ascii="Verdana" w:hAnsi="Verdana" w:eastAsia="Verdana"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271"/>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53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53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numPr>
          <w:ilvl w:val="2"/>
          <w:numId w:val="53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539"/>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49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490"/>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49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490"/>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490"/>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490"/>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The United States Attorney General may authorize the Secretary of</w:t>
      </w:r>
      <w:r>
        <w:rPr>
          <w:rFonts w:ascii="Verdana" w:hAnsi="Verdana" w:eastAsia="Verdana"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490"/>
        </w:numPr>
        <w:overflowPunct w:val="false"/>
        <w:autoSpaceDE w:val="false"/>
        <w:autoSpaceDN w:val="false"/>
        <w:adjustRightInd w:val="false"/>
        <w:spacing w:after="0" w:line="250" w:lineRule="auto"/>
        <w:ind w:left="1260"/>
        <w:rPr>
          <w:rFonts w:ascii="Verdana" w:hAnsi="Verdana" w:eastAsia="Verdana" w:cs="Verdana"/>
          <w:szCs w:val="24"/>
        </w:rPr>
      </w:pPr>
      <w:r>
        <w:rPr>
          <w:rFonts w:ascii="Verdana" w:hAnsi="Verdana" w:eastAsia="Verdana" w:cs="Verdana"/>
          <w:szCs w:val="24"/>
        </w:rPr>
        <w:t xml:space="preserve">Any person upon whom the Secretary imposes civil monetary </w:t>
      </w:r>
      <w:r>
        <w:rPr>
          <w:rFonts w:ascii="Verdana" w:hAnsi="Verdana" w:eastAsia="Verdana" w:cs="Verdana"/>
          <w:szCs w:val="24"/>
        </w:rPr>
        <w:t xml:space="preserve">penalties or exclusions has the right to appeal to the United States Court of Appeal within 60 days after the Secretary makes his determination. If an appeal is not filed within this 60-day period, the Secretary’s determination is deemed final. </w:t>
      </w:r>
    </w:p>
    <w:p>
      <w:pPr>
        <w:widowControl w:val="false"/>
        <w:numPr>
          <w:ilvl w:val="1"/>
          <w:numId w:val="490"/>
        </w:numPr>
        <w:overflowPunct w:val="false"/>
        <w:autoSpaceDE w:val="false"/>
        <w:autoSpaceDN w:val="false"/>
        <w:adjustRightInd w:val="false"/>
        <w:spacing w:after="0" w:line="250" w:lineRule="auto"/>
        <w:ind w:left="126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pStyle w:val="ListParagraph"/>
        <w:widowControl w:val="false"/>
        <w:numPr>
          <w:ilvl w:val="0"/>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Maryland Medicaid Fraud Statute (Md. Code Ann., Crim. Law §§ 8-508 to 8-517).</w:t>
      </w:r>
    </w:p>
    <w:p>
      <w:pPr>
        <w:pStyle w:val="ListParagraph"/>
        <w:widowControl w:val="false"/>
        <w:numPr>
          <w:ilvl w:val="1"/>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Maryland Medicaid fraud statute Applies to the Maryland Medicaid program, insurers, HMOs, and MCOs that contract with the Medicaid program to provide health care services reimbursable by the Medicaid program, and their subcontractors (each a “State health plan”).</w:t>
      </w:r>
    </w:p>
    <w:p>
      <w:pPr>
        <w:pStyle w:val="ListParagraph"/>
        <w:widowControl w:val="false"/>
        <w:numPr>
          <w:ilvl w:val="1"/>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Maryland Medicaid Fraud statute prohibits a person from:</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knowingly and willfully defrauding or attempting to defraud a State health plan in connection with the delivery of or payment for a health care service, </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knowingly and willfully obtaining or attempting to obtain, by means of a false representation, money, property, or anything of value in connection with the delivery of or payment for a health care service that wholly or partly is reimbursed by or is a required benefit of a State health plan; </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knowingly and willfully defrauding or attempting to defraud a State health plan of the right to honest services; and </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with the intent to defraud, making a false representation relating to a health care service or a State health plan.</w:t>
      </w:r>
    </w:p>
    <w:p>
      <w:pPr>
        <w:pStyle w:val="ListParagraph"/>
        <w:widowControl w:val="false"/>
        <w:numPr>
          <w:ilvl w:val="1"/>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Violation of this statute is a felony punishable by imprisonment up to five years and/or a fine not exceeding $100,000. A person who violates this law may also liable to the State for a civil penalty of up to three times the amount of the overpayment. For purposes of the Maryland Medicaid Fraud statute, “false representations” include the knowing and willful “making of a materially false or fraudulent statement”, and the knowing and willful use of a false or fraudulent document that the person knows to be false or fraudulent. “State health plans” include the State’s Medicaid program, other State medical assistance plans administered by DHMH, and any person that provides or contracts or subcontracts to provide health care services for such program or plan. </w:t>
      </w:r>
    </w:p>
    <w:p>
      <w:pPr>
        <w:pStyle w:val="ListParagraph"/>
        <w:widowControl w:val="false"/>
        <w:numPr>
          <w:ilvl w:val="1"/>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Maryland Medicaid fraud statute does not provide for a private </w:t>
      </w:r>
      <w:r>
        <w:rPr>
          <w:rFonts w:ascii="Verdana" w:hAnsi="Verdana" w:eastAsia="Verdana" w:cs="Verdana"/>
          <w:sz w:val="24"/>
          <w:szCs w:val="24"/>
        </w:rPr>
        <w:t xml:space="preserve">right of action, nor does it contain </w:t>
      </w:r>
      <w:r>
        <w:rPr>
          <w:rFonts w:ascii="Verdana" w:hAnsi="Verdana" w:eastAsia="Verdana" w:cs="Verdana"/>
          <w:i/>
          <w:iCs/>
          <w:sz w:val="24"/>
          <w:szCs w:val="24"/>
        </w:rPr>
        <w:t xml:space="preserve">qui tam</w:t>
      </w:r>
      <w:r>
        <w:rPr>
          <w:rFonts w:ascii="Verdana" w:hAnsi="Verdana" w:eastAsia="Verdana" w:cs="Verdana"/>
          <w:sz w:val="24"/>
          <w:szCs w:val="24"/>
        </w:rPr>
        <w:t xml:space="preserve"> provisions. However, general whistleblower protections in the Health Care Worker Whistleblower Protection Act may apply. See Md. Code, Occupations Law §§ 1-501-506.</w:t>
      </w:r>
    </w:p>
    <w:p>
      <w:pPr>
        <w:pStyle w:val="ListParagraph"/>
        <w:widowControl w:val="false"/>
        <w:numPr>
          <w:ilvl w:val="1"/>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Additional sanctions under State law, which may apply to health care personnel who commit fraud, waste, or abuse, include loss of staff privileges at a health care facility or suspension or revocation of a health occupation license.</w:t>
      </w:r>
    </w:p>
    <w:p>
      <w:pPr>
        <w:pStyle w:val="ListParagraph"/>
        <w:widowControl w:val="false"/>
        <w:numPr>
          <w:ilvl w:val="0"/>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Maryland False Health Claims Act (Md. Code, Health-General §§ 2-601-611).</w:t>
      </w:r>
    </w:p>
    <w:p>
      <w:pPr>
        <w:pStyle w:val="ListParagraph"/>
        <w:widowControl w:val="false"/>
        <w:numPr>
          <w:ilvl w:val="1"/>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Under the Maryland False Health Claims Act (the “MD FCA”) a person may not: </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Knowingly present or cause to be presented a false or fraudulent claim for payment or approval;</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Knowingly make, use, or cause to be made or used a false record or statement material to a false or fraudulent claim;</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Conspire to commit a violation under the MD FCA;</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Have possession, custody, or control of money or other property used by or on behalf of the State under a State health plan or a State health program and knowingly deliver or cause to be delivered to the State less than all of that money or other property;</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Be authorized to make or deliver a receipt or other document certifying receipt of money or other property used or to be used by the State under a State health plan or a State health program; and intending to defraud the State or the Department, make or deliver a receipt or document knowing that the information contained in the receipt or document is not true;</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Knowingly buy or receive as a pledge of an obligation or debt publicly owned property from an officer, employee, or agent of a State health plan or a State health program who lawfully may not sell or pledge the property;</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Knowingly make, use, or cause to be made or used, a false record or statement material to an obligation to pay or transmit money or other property to the State;</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Knowingly conceal, or knowingly and improperly avoid or decrease, an obligation to pay or transmit money or other property to the State; or</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Knowingly make any other false or fraudulent claim against a State health plan or a State health program.</w:t>
      </w:r>
    </w:p>
    <w:p>
      <w:pPr>
        <w:pStyle w:val="ListParagraph"/>
        <w:widowControl w:val="false"/>
        <w:numPr>
          <w:ilvl w:val="1"/>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Penalty for Unlawful Conduct. A person who is found to have </w:t>
      </w:r>
      <w:r>
        <w:rPr>
          <w:rFonts w:ascii="Verdana" w:hAnsi="Verdana" w:eastAsia="Verdana" w:cs="Verdana"/>
          <w:sz w:val="24"/>
          <w:szCs w:val="24"/>
        </w:rPr>
        <w:t xml:space="preserve">violated subsection (a) of this section is liable to the State for:</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A civil penalty of not more than $ 10,000 for each violation; </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An additional amount of not more than three times the amount of damages that the State sustains as a result of the acts of that person in violation of the MD FCA; and</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any criminal, civil, or administrative penalties provided under any other State or federal statute or regulation.</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total amount owed by a person may not be less than the amount of the actual damages the State health plan or State health program incurs as a result of the person's violation of the MD FCA.</w:t>
      </w:r>
    </w:p>
    <w:p>
      <w:pPr>
        <w:pStyle w:val="ListParagraph"/>
        <w:widowControl w:val="false"/>
        <w:numPr>
          <w:ilvl w:val="1"/>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i/>
          <w:iCs/>
          <w:sz w:val="24"/>
          <w:szCs w:val="24"/>
        </w:rPr>
        <w:t xml:space="preserve">Qui Tam</w:t>
      </w:r>
      <w:r>
        <w:rPr>
          <w:rFonts w:ascii="Verdana" w:hAnsi="Verdana" w:eastAsia="Verdana" w:cs="Verdana"/>
          <w:sz w:val="24"/>
          <w:szCs w:val="24"/>
        </w:rPr>
        <w:t xml:space="preserve"> Provisions.</w:t>
      </w:r>
      <w:r>
        <w:rPr>
          <w:rFonts w:ascii="Verdana" w:hAnsi="Verdana" w:eastAsia="Verdana" w:cs="Verdana"/>
          <w:sz w:val="24"/>
          <w:szCs w:val="24"/>
        </w:rPr>
        <w:tab/>
        <w:t xml:space="preserve"/>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MD FCA allows an individual to bring a civil suit, called a </w:t>
      </w:r>
      <w:r>
        <w:rPr>
          <w:rFonts w:ascii="Verdana" w:hAnsi="Verdana" w:eastAsia="Verdana" w:cs="Verdana"/>
          <w:i/>
          <w:iCs/>
          <w:sz w:val="24"/>
          <w:szCs w:val="24"/>
        </w:rPr>
        <w:t xml:space="preserve">qui tam</w:t>
      </w:r>
      <w:r>
        <w:rPr>
          <w:rFonts w:ascii="Verdana" w:hAnsi="Verdana" w:eastAsia="Verdana" w:cs="Verdana"/>
          <w:sz w:val="24"/>
          <w:szCs w:val="24"/>
        </w:rPr>
        <w:t xml:space="preserve"> action, against a provider in the name of the State for a violation of the MD FCA. When an individual files the action, it remains under seal (not public) for a period of at least 60 days. The attorney general may choose to join in the lawsuit and assume primary responsibility for prosecuting, dismissing, or settling the action. If the attorney general chooses not to join the suit, the individual who initiated the lawsuit has the right to conduct the action independent of the attorney general.</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plaintiff may receive at least 15%-25% of the proceeds of the action or settlement.</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If a court finds that the plaintiff planned or initiated the violation, the plaintiff's share of the proceeds may be reduced and, if the plaintiff is found guilty of a crime associated with a violation of the MD FCA, no share will be awarded the plaintiff. Under certain other circumstances, the plaintiff's award may be reduced to less than 10% of the recovery. In addition, if the attorney general decides not to join in the case and the court ultimately decides for the defendant, the court will award attorney’s fees and costs against the person bringing the action upon a finding of bad faith or that such claim was frivolous.</w:t>
      </w:r>
    </w:p>
    <w:p>
      <w:pPr>
        <w:pStyle w:val="ListParagraph"/>
        <w:widowControl w:val="false"/>
        <w:numPr>
          <w:ilvl w:val="1"/>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Whistleblower Protection.</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MD FCA provides protection to employees from retaliation. An employee who is discharged, demoted, suspended, threatened, harassed, or discriminated against because of lawful acts conducted in furtherance of an action under the MD FCA shall be entitled to: (</w:t>
      </w:r>
      <w:r>
        <w:rPr>
          <w:rFonts w:ascii="Verdana" w:hAnsi="Verdana" w:eastAsia="Verdana" w:cs="Verdana"/>
          <w:sz w:val="24"/>
          <w:szCs w:val="24"/>
        </w:rPr>
        <w:t xml:space="preserve">i</w:t>
      </w:r>
      <w:r>
        <w:rPr>
          <w:rFonts w:ascii="Verdana" w:hAnsi="Verdana" w:eastAsia="Verdana" w:cs="Verdana"/>
          <w:sz w:val="24"/>
          <w:szCs w:val="24"/>
        </w:rPr>
        <w:t xml:space="preserve">) an injunction to restrain a continuing retaliation (ii) reinstatement; (iii) two </w:t>
      </w:r>
      <w:r>
        <w:rPr>
          <w:rFonts w:ascii="Verdana" w:hAnsi="Verdana" w:eastAsia="Verdana" w:cs="Verdana"/>
          <w:sz w:val="24"/>
          <w:szCs w:val="24"/>
        </w:rPr>
        <w:t xml:space="preserve">times the amount of lost back pay including interest on back pay; (iv) payment of reasonable costs and attorney's fees; and (v) an assessment of a civil penalty: (1) not exceeding $1,000 for the first violation, and not exceeding $5,000 for each subsequent violation.</w:t>
      </w:r>
    </w:p>
    <w:p>
      <w:pPr>
        <w:pStyle w:val="ListParagraph"/>
        <w:widowControl w:val="false"/>
        <w:numPr>
          <w:ilvl w:val="0"/>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Maryland False Claims Act (Md. General Provisions Code Ann. § 8-101 </w:t>
      </w:r>
      <w:r>
        <w:rPr>
          <w:rFonts w:ascii="Verdana" w:hAnsi="Verdana" w:eastAsia="Verdana" w:cs="Verdana"/>
          <w:i/>
          <w:iCs/>
          <w:sz w:val="24"/>
          <w:szCs w:val="24"/>
        </w:rPr>
        <w:t xml:space="preserve">et seq.</w:t>
      </w:r>
      <w:r>
        <w:rPr>
          <w:rFonts w:ascii="Verdana" w:hAnsi="Verdana" w:eastAsia="Verdana" w:cs="Verdana"/>
          <w:sz w:val="24"/>
          <w:szCs w:val="24"/>
        </w:rPr>
        <w:t xml:space="preserve">)</w:t>
      </w:r>
    </w:p>
    <w:p>
      <w:pPr>
        <w:pStyle w:val="ListParagraph"/>
        <w:widowControl w:val="false"/>
        <w:numPr>
          <w:ilvl w:val="1"/>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Under the Maryland False Claims Act, a person is prohibited from the following in his/her dealings with a “governmental entity” (which the statute defines as the State or a County):</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knowingly present or cause to be presented a false or fraudulent claim for payment or approval;</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knowingly make, use, or cause to be made or used a false record or statement material to a false or fraudulent claim;</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conspire to commit a violation under this title;</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have possession, custody, or control of money or other property used or to be used by or on behalf of a governmental entity and knowingly deliver or cause to be delivered to the governmental entity less than all of that money or other property;</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be authorized to make or deliver a receipt or other document certifying receipt of money or other property used or to be used by a governmental entity; and make or deliver a receipt or document intending to defraud the governmental entity, knowing that the information contained in the receipt or document is not true;</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knowingly buy or receive as a pledge of an obligation or a debt publicly owned property from an officer, employee, or agent of a governmental entity who lawfully may not sell or pledge the property;</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knowingly make, use, or cause to be made or used a false record or statement material to an obligation to pay or transmit money or other property to a governmental entity;</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knowingly conceal, or knowingly and improperly avoid or decrease, an obligation to pay or transmit money or other property to a governmental entity, including misrepresenting the time at which a trade was made to make the transaction appear less favorable; or</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knowingly make any other false or fraudulent claim against a governmental entity.</w:t>
      </w:r>
    </w:p>
    <w:p>
      <w:pPr>
        <w:pStyle w:val="ListParagraph"/>
        <w:widowControl w:val="false"/>
        <w:numPr>
          <w:ilvl w:val="1"/>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Penalties. </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A person that is found to have violated the Maryland False </w:t>
      </w:r>
      <w:r>
        <w:rPr>
          <w:rFonts w:ascii="Verdana" w:hAnsi="Verdana" w:eastAsia="Verdana" w:cs="Verdana"/>
          <w:sz w:val="24"/>
          <w:szCs w:val="24"/>
        </w:rPr>
        <w:t xml:space="preserve">Claims Act is liable to the governmental entity for:</w:t>
      </w:r>
    </w:p>
    <w:p>
      <w:pPr>
        <w:pStyle w:val="ListParagraph"/>
        <w:widowControl w:val="false"/>
        <w:numPr>
          <w:ilvl w:val="3"/>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a civil penalty of not more than $ 10,000 for each violation; and</w:t>
      </w:r>
    </w:p>
    <w:p>
      <w:pPr>
        <w:pStyle w:val="ListParagraph"/>
        <w:widowControl w:val="false"/>
        <w:numPr>
          <w:ilvl w:val="3"/>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an additional amount of not more than three times the amount of damages that the governmental entity sustains as a result of the acts of that person in violation of the Maryland False Claims Act.</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total amount owed by a person under the Maryland False Claims Act may not be less than the amount of the actual damages the governmental entity incurs as a result of the person's violation of the Maryland False Claims Act.</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above penalties are in addition to any criminal, civil, or administrative penalties provided under any other State or federal statute or regulation.</w:t>
      </w:r>
    </w:p>
    <w:p>
      <w:pPr>
        <w:pStyle w:val="ListParagraph"/>
        <w:widowControl w:val="false"/>
        <w:numPr>
          <w:ilvl w:val="1"/>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i/>
          <w:iCs/>
          <w:sz w:val="24"/>
          <w:szCs w:val="24"/>
        </w:rPr>
        <w:t xml:space="preserve">Qui Tam</w:t>
      </w:r>
      <w:r>
        <w:rPr>
          <w:rFonts w:ascii="Verdana" w:hAnsi="Verdana" w:eastAsia="Verdana" w:cs="Verdana"/>
          <w:sz w:val="24"/>
          <w:szCs w:val="24"/>
        </w:rPr>
        <w:t xml:space="preserve"> Provisions.</w:t>
      </w:r>
      <w:r>
        <w:rPr>
          <w:rFonts w:ascii="Verdana" w:hAnsi="Verdana" w:eastAsia="Verdana" w:cs="Verdana"/>
          <w:sz w:val="24"/>
          <w:szCs w:val="24"/>
        </w:rPr>
        <w:tab/>
        <w:t xml:space="preserve"/>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Maryland False Claims Act allows an individual to bring a civil suit, called a </w:t>
      </w:r>
      <w:r>
        <w:rPr>
          <w:rFonts w:ascii="Verdana" w:hAnsi="Verdana" w:eastAsia="Verdana" w:cs="Verdana"/>
          <w:i/>
          <w:iCs/>
          <w:sz w:val="24"/>
          <w:szCs w:val="24"/>
        </w:rPr>
        <w:t xml:space="preserve">qui tam</w:t>
      </w:r>
      <w:r>
        <w:rPr>
          <w:rFonts w:ascii="Verdana" w:hAnsi="Verdana" w:eastAsia="Verdana" w:cs="Verdana"/>
          <w:sz w:val="24"/>
          <w:szCs w:val="24"/>
        </w:rPr>
        <w:t xml:space="preserve"> action, against a provider in the name of the State for a violation of the Maryland False Claims Act. When an individual files the action, it remains under seal (not public) for a period of at least 60 days. The government may choose to intervene in the lawsuit, and if it does join then it will have the primary responsibility for proceeding with the action. If the government chooses not to join the suit, then the court will dismiss the lawsuit.</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If the governmental intervenes and proceeds with an action and the governmental entity prevails, the court shall award the person initiating the action an amount that is:</w:t>
      </w:r>
    </w:p>
    <w:p>
      <w:pPr>
        <w:pStyle w:val="ListParagraph"/>
        <w:widowControl w:val="false"/>
        <w:numPr>
          <w:ilvl w:val="3"/>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not less than 15% and not more than 25% of the proceeds of the action or settlement of the claim; and</w:t>
      </w:r>
    </w:p>
    <w:p>
      <w:pPr>
        <w:pStyle w:val="ListParagraph"/>
        <w:widowControl w:val="false"/>
        <w:numPr>
          <w:ilvl w:val="3"/>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proportional to the amount of time and effort that the person substantially contributed to the final resolution of the civil action.</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If the court finds that the action is based primarily on disclosures of specific information relating to allegations or transactions in a criminal, a civil, or an administrative hearing, in a legislative or an administrative report, a hearing, an audit, or an investigation, or from the news media, the court may make an award to the person initiating the action that:</w:t>
      </w:r>
    </w:p>
    <w:p>
      <w:pPr>
        <w:pStyle w:val="ListParagraph"/>
        <w:widowControl w:val="false"/>
        <w:numPr>
          <w:ilvl w:val="3"/>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court considers appropriate, taking into account the significance of the information and the role of the person initiating the action in advancing the case to </w:t>
      </w:r>
      <w:r>
        <w:rPr>
          <w:rFonts w:ascii="Verdana" w:hAnsi="Verdana" w:eastAsia="Verdana" w:cs="Verdana"/>
          <w:sz w:val="24"/>
          <w:szCs w:val="24"/>
        </w:rPr>
        <w:t xml:space="preserve">litigation; and</w:t>
      </w:r>
    </w:p>
    <w:p>
      <w:pPr>
        <w:pStyle w:val="ListParagraph"/>
        <w:widowControl w:val="false"/>
        <w:numPr>
          <w:ilvl w:val="3"/>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does not exceed 10% of the proceeds of the action.</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In addition to the amounts stated above, a court may award the person initiating the action:</w:t>
      </w:r>
    </w:p>
    <w:p>
      <w:pPr>
        <w:pStyle w:val="ListParagraph"/>
        <w:widowControl w:val="false"/>
        <w:numPr>
          <w:ilvl w:val="3"/>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an amount for reasonable expenses that the court finds to have been necessarily incurred; and</w:t>
      </w:r>
    </w:p>
    <w:p>
      <w:pPr>
        <w:pStyle w:val="ListParagraph"/>
        <w:widowControl w:val="false"/>
        <w:numPr>
          <w:ilvl w:val="3"/>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reasonable attorney's fees and costs.</w:t>
      </w:r>
    </w:p>
    <w:p>
      <w:pPr>
        <w:pStyle w:val="ListParagraph"/>
        <w:widowControl w:val="false"/>
        <w:numPr>
          <w:ilvl w:val="1"/>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Whistleblower Protection.</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Retaliatory action may not be taken against an employee, a contractor, or a grantee because the employee, contractor, or grantee:</w:t>
      </w:r>
    </w:p>
    <w:p>
      <w:pPr>
        <w:pStyle w:val="ListParagraph"/>
        <w:widowControl w:val="false"/>
        <w:numPr>
          <w:ilvl w:val="3"/>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acts lawfully in furtherance of an action filed under this statute, including an investigation for, initiation of, testimony for, or assistance in an action filed or to be filed under this Act;</w:t>
      </w:r>
    </w:p>
    <w:p>
      <w:pPr>
        <w:pStyle w:val="ListParagraph"/>
        <w:widowControl w:val="false"/>
        <w:numPr>
          <w:ilvl w:val="3"/>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discloses or threatens to disclose to a supervisor or to a public body an activity, a policy, or a practice of the person that the employee, contractor, or grantee reasonably believes is in violation of this Act or a regulation adopted under this Act;</w:t>
      </w:r>
    </w:p>
    <w:p>
      <w:pPr>
        <w:pStyle w:val="ListParagraph"/>
        <w:widowControl w:val="false"/>
        <w:numPr>
          <w:ilvl w:val="3"/>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provides information to, or testifies before, a public body conducting an investigation, a hearing, or an inquiry into a violation of this Act or a regulation adopted under this title that is allegedly or actually committed by the person; or</w:t>
      </w:r>
    </w:p>
    <w:p>
      <w:pPr>
        <w:pStyle w:val="ListParagraph"/>
        <w:widowControl w:val="false"/>
        <w:numPr>
          <w:ilvl w:val="3"/>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objects to or refuses to participate in any activity, policy, or practice that the employee, contractor, or grantee reasonably believes is in violation of this Act or a regulation adopted under this Act.</w:t>
      </w:r>
    </w:p>
    <w:p>
      <w:pPr>
        <w:pStyle w:val="ListParagraph"/>
        <w:widowControl w:val="false"/>
        <w:numPr>
          <w:ilvl w:val="0"/>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Maryland’s Health Care Worker Whistleblower Protection Act (Md. Health Occupations Code Ann. § 1-501 </w:t>
      </w:r>
      <w:r>
        <w:rPr>
          <w:rFonts w:ascii="Verdana" w:hAnsi="Verdana" w:eastAsia="Verdana" w:cs="Verdana"/>
          <w:i/>
          <w:iCs/>
          <w:sz w:val="24"/>
          <w:szCs w:val="24"/>
        </w:rPr>
        <w:t xml:space="preserve">et seq.</w:t>
      </w:r>
      <w:r>
        <w:rPr>
          <w:rFonts w:ascii="Verdana" w:hAnsi="Verdana" w:eastAsia="Verdana" w:cs="Verdana"/>
          <w:sz w:val="24"/>
          <w:szCs w:val="24"/>
        </w:rPr>
        <w:t xml:space="preserve">).</w:t>
      </w:r>
    </w:p>
    <w:p>
      <w:pPr>
        <w:pStyle w:val="ListParagraph"/>
        <w:widowControl w:val="false"/>
        <w:numPr>
          <w:ilvl w:val="1"/>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Under the Maryland Health Care Worker Whistleblower Protection Act, an employer may not take or refuse to take any personnel action as reprisal against an employee because the employee:</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Discloses or threatens to disclose to a supervisor or board an activity, policy, or practice of the employer that is in violation of a law, rule, or regulation;</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Provides information to or testifies before any public body conducting an investigation, hearing, or inquiry into any violation of a law, rule, or regulation by the employer; or</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Objects to or refuses to participate in any activity, policy, or practice in violation of a law, rule, or regulation.</w:t>
      </w:r>
    </w:p>
    <w:p>
      <w:pPr>
        <w:pStyle w:val="ListParagraph"/>
        <w:widowControl w:val="false"/>
        <w:numPr>
          <w:ilvl w:val="1"/>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protection provided by this Act shall only apply if:</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employee has a reasonable, good faith belief that the employer has, or still is, engaged in an activity, policy, or practice that is in violation of a law, rule, or regulation;</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employer's activity, policy, or practice that is the subject of the employee's disclosure poses a substantial and specific danger to the public health or safety; and</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Before reporting to the board:</w:t>
      </w:r>
    </w:p>
    <w:p>
      <w:pPr>
        <w:pStyle w:val="ListParagraph"/>
        <w:widowControl w:val="false"/>
        <w:numPr>
          <w:ilvl w:val="3"/>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employee has reported the activity, policy, or practice to a supervisor or administrator of the employer in writing and afforded the employer a reasonable opportunity to correct the activity, policy, or practice; or</w:t>
      </w:r>
    </w:p>
    <w:p>
      <w:pPr>
        <w:pStyle w:val="ListParagraph"/>
        <w:widowControl w:val="false"/>
        <w:numPr>
          <w:ilvl w:val="3"/>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If the employer has a corporate </w:t>
      </w:r>
      <w:r>
        <w:rPr>
          <w:rFonts w:ascii="Verdana" w:hAnsi="Verdana" w:eastAsia="Verdana" w:cs="Verdana"/>
          <w:sz w:val="24"/>
          <w:szCs w:val="24"/>
        </w:rPr>
        <w:t xml:space="preserve">Compliance and Ethics</w:t>
      </w:r>
      <w:r>
        <w:rPr>
          <w:rFonts w:ascii="Verdana" w:hAnsi="Verdana" w:eastAsia="Verdana" w:cs="Verdana"/>
          <w:sz w:val="24"/>
          <w:szCs w:val="24"/>
        </w:rPr>
        <w:t xml:space="preserve"> plan specifying who to notify of an alleged violation of a rule, law, or regulation, the employee has followed the plan.</w:t>
      </w:r>
    </w:p>
    <w:p>
      <w:pPr>
        <w:pStyle w:val="ListParagraph"/>
        <w:widowControl w:val="false"/>
        <w:numPr>
          <w:ilvl w:val="1"/>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In any action brought under this Act, a court may:</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Issue an injunction to restrain continued violation of this Act;</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Reinstate the employee to the same, or an equivalent position held before the violation of this Act;</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Remove any adverse personnel record entries based on or related to the violation of this Act;</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Reinstate full fringe benefits and seniority rights;</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Require compensation for lost wages, benefits, and other remuneration; and</w:t>
      </w:r>
    </w:p>
    <w:p>
      <w:pPr>
        <w:pStyle w:val="ListParagraph"/>
        <w:widowControl w:val="false"/>
        <w:numPr>
          <w:ilvl w:val="2"/>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Assess reasonable attorney's fees and other litigation expenses against:</w:t>
      </w:r>
    </w:p>
    <w:p>
      <w:pPr>
        <w:pStyle w:val="ListParagraph"/>
        <w:widowControl w:val="false"/>
        <w:numPr>
          <w:ilvl w:val="3"/>
          <w:numId w:val="612"/>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employer, if the employee prevails; or</w:t>
      </w:r>
    </w:p>
    <w:p>
      <w:pPr>
        <w:pStyle w:val="ListParagraph"/>
        <w:widowControl w:val="false"/>
        <w:numPr>
          <w:ilvl w:val="3"/>
          <w:numId w:val="612"/>
        </w:numPr>
        <w:overflowPunct w:val="false"/>
        <w:autoSpaceDE w:val="false"/>
        <w:autoSpaceDN w:val="false"/>
        <w:adjustRightInd w:val="false"/>
        <w:spacing w:after="0" w:line="250" w:lineRule="auto"/>
        <w:jc w:val="both"/>
        <w:rPr>
          <w:rFonts w:ascii="Verdana" w:hAnsi="Verdana" w:eastAsia="Verdana" w:cs="Verdana"/>
          <w:sz w:val="24"/>
          <w:szCs w:val="24"/>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 w:val="24"/>
          <w:szCs w:val="24"/>
        </w:rPr>
        <w:t xml:space="preserve">The employee, if the court determines that the action was brought by the employee in bad faith and without basis in law or fact.</w:t>
      </w: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4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4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4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4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4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4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4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w:t>
      </w:r>
      <w:r>
        <w:rPr>
          <w:rFonts w:ascii="Verdana" w:hAnsi="Verdana" w:eastAsia="Verdana" w:cs="Verdana"/>
          <w:szCs w:val="24"/>
        </w:rPr>
        <w:t xml:space="preserve">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8"/>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w:t>
      </w:r>
      <w:r>
        <w:rPr>
          <w:rFonts w:ascii="Verdana" w:hAnsi="Verdana" w:eastAsia="Verdana" w:cs="Verdana"/>
          <w:szCs w:val="24"/>
        </w:rPr>
        <w:t xml:space="preserve">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pPr>
        <w:widowControl w:val="false"/>
        <w:numPr>
          <w:ilvl w:val="1"/>
          <w:numId w:val="2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7"/>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1"/>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1"/>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1"/>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1"/>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w:t>
      </w:r>
      <w:r>
        <w:rPr>
          <w:rFonts w:ascii="Verdana" w:hAnsi="Verdana" w:eastAsia="Verdana" w:cs="Verdana"/>
          <w:szCs w:val="24"/>
        </w:rPr>
        <w:t xml:space="preserve">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4"/>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4"/>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50"/>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5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w:t>
      </w:r>
      <w:r>
        <w:rPr>
          <w:rFonts w:ascii="Verdana" w:hAnsi="Verdana" w:eastAsia="Verdana" w:cs="Verdana"/>
          <w:szCs w:val="24"/>
        </w:rPr>
        <w:t xml:space="preserve">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5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5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1"/>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1"/>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1"/>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w:t>
      </w:r>
      <w:r>
        <w:rPr>
          <w:rFonts w:ascii="Verdana" w:hAnsi="Verdana" w:eastAsia="Verdana" w:cs="Verdana"/>
          <w:szCs w:val="24"/>
        </w:rPr>
        <w:t xml:space="preserve">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Pr>
          <w:rFonts w:ascii="Verdana" w:hAnsi="Verdana" w:eastAsia="Verdana" w:cs="Verdana"/>
          <w:szCs w:val="24"/>
        </w:rPr>
        <w:t xml:space="preserve">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w:t>
      </w:r>
      <w:r>
        <w:rPr>
          <w:rFonts w:ascii="Verdana" w:hAnsi="Verdana" w:eastAsia="Verdana" w:cs="Verdana"/>
          <w:szCs w:val="24"/>
        </w:rPr>
        <w:t xml:space="preserve">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3"/>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3"/>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w:t>
      </w:r>
      <w:r>
        <w:rPr>
          <w:rFonts w:ascii="Verdana" w:hAnsi="Verdana" w:eastAsia="Verdana" w:cs="Verdana"/>
          <w:szCs w:val="24"/>
        </w:rPr>
        <w:t xml:space="preserve">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4"/>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6"/>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w:t>
      </w:r>
      <w:r>
        <w:rPr>
          <w:rFonts w:ascii="Verdana" w:hAnsi="Verdana" w:eastAsia="Verdana" w:cs="Verdana"/>
          <w:szCs w:val="24"/>
        </w:rPr>
        <w:t xml:space="preserve">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09"/>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w:t>
      </w:r>
      <w:r>
        <w:rPr>
          <w:rFonts w:ascii="Verdana" w:hAnsi="Verdana" w:eastAsia="Verdana" w:cs="Verdana"/>
          <w:szCs w:val="24"/>
        </w:rPr>
        <w:t xml:space="preserve">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10"/>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10"/>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10"/>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10"/>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10"/>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Pr>
          <w:rFonts w:ascii="Verdana" w:hAnsi="Verdana" w:eastAsia="Verdana" w:cs="Verdana"/>
          <w:szCs w:val="24"/>
        </w:rPr>
        <w:t xml:space="preserve">misrepresentation of the resident’s status, the submission of false claims and potential enforcement actions. </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9"/>
        </w:numPr>
        <w:overflowPunct w:val="false"/>
        <w:autoSpaceDE w:val="false"/>
        <w:autoSpaceDN w:val="false"/>
        <w:adjustRightInd w:val="false"/>
        <w:spacing w:after="0" w:line="263" w:lineRule="auto"/>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6"/>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6"/>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6"/>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6"/>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w:t>
      </w:r>
      <w:r>
        <w:rPr>
          <w:rFonts w:ascii="Verdana" w:hAnsi="Verdana" w:eastAsia="Verdana" w:cs="Verdana"/>
          <w:szCs w:val="24"/>
        </w:rPr>
        <w:t xml:space="preserve">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w:t>
      </w:r>
      <w:r>
        <w:rPr>
          <w:rFonts w:ascii="Verdana" w:hAnsi="Verdana" w:eastAsia="Verdana" w:cs="Verdana"/>
          <w:szCs w:val="24"/>
        </w:rPr>
        <w:t xml:space="preserve">s</w:t>
      </w:r>
      <w:r>
        <w:rPr>
          <w:rFonts w:ascii="Verdana" w:hAnsi="Verdana" w:eastAsia="Verdana" w:cs="Verdana"/>
          <w:szCs w:val="24"/>
        </w:rPr>
        <w:t xml:space="preserve">.</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 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w:t>
      </w:r>
      <w:r>
        <w:rPr>
          <w:rFonts w:ascii="Verdana" w:hAnsi="Verdana" w:eastAsia="Verdana" w:cs="Verdana"/>
          <w:szCs w:val="24"/>
        </w:rPr>
        <w:t xml:space="preserve">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w:t>
      </w:r>
      <w:r>
        <w:rPr>
          <w:rFonts w:ascii="Verdana" w:hAnsi="Verdana" w:eastAsia="Verdana" w:cs="Verdana"/>
          <w:szCs w:val="24"/>
        </w:rPr>
        <w:t xml:space="preserve">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w:t>
      </w:r>
      <w:r>
        <w:rPr>
          <w:rFonts w:ascii="Verdana" w:hAnsi="Verdana" w:eastAsia="Verdana" w:cs="Verdana"/>
          <w:szCs w:val="24"/>
        </w:rPr>
        <w:t xml:space="preserve"> staff can possibly assist </w:t>
      </w:r>
      <w:r>
        <w:rPr>
          <w:rFonts w:ascii="Verdana" w:hAnsi="Verdana" w:eastAsia="Verdana" w:cs="Verdana"/>
          <w:szCs w:val="24"/>
        </w:rPr>
        <w:t xml:space="preserve">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8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8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11"/>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11"/>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11"/>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11"/>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0"/>
          <w:footerReference w:type="default" r:id="rId8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86"/>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87"/>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88"/>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5"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6"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6"/>
    <w:p>
      <w:pPr>
        <w:numPr>
          <w:ilvl w:val="0"/>
          <w:numId w:val="267"/>
        </w:numPr>
        <w:spacing/>
        <w:ind w:left="540" w:hanging="180"/>
        <w:contextualSpacing/>
        <w:rPr>
          <w:rFonts w:ascii="Verdana" w:hAnsi="Verdana" w:eastAsia="Verdana"/>
          <w:sz w:val="20"/>
          <w:szCs w:val="20"/>
        </w:rPr>
      </w:pPr>
      <w:bookmarkStart w:id="27"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7"/>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5"/>
        </w:numPr>
        <w:spacing/>
        <w:ind w:left="540" w:hanging="180"/>
        <w:contextualSpacing/>
        <w:rPr>
          <w:rFonts w:ascii="Verdana" w:hAnsi="Verdana" w:eastAsia="Verdana"/>
          <w:sz w:val="20"/>
          <w:szCs w:val="20"/>
        </w:rPr>
        <w:sectPr>
          <w:headerReference w:type="default" r:id="rId89"/>
          <w:footerReference w:type="default" r:id="rId90"/>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5"/>
      <w:bookmarkEnd w:id="27"/>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1"/>
          <w:footerReference w:type="default" r:id="rId92"/>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The Human Resources Department shall notify the Compliance and Ethics Officer and the Facility’s legal counsel of any matches found during any of the above screening processes. If a potential employee is determined to be an excluded individual, the individual will no longer be eligible for hire.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7"/>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7"/>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spacing w:after="0"/>
        <w:ind w:left="1440"/>
        <w:contextualSpacing/>
        <w:rPr>
          <w:rFonts w:ascii="Verdana" w:hAnsi="Verdana" w:eastAsia="Verdana" w:cs="Times New Roman"/>
          <w:lang w:bidi="ar-SA"/>
        </w:rPr>
      </w:pP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327"/>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 Screening for Existing Associates.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w:t>
      </w:r>
      <w:r>
        <w:rPr>
          <w:rFonts w:ascii="Verdana" w:hAnsi="Verdana" w:eastAsia="Verdana" w:cs="Times New Roman"/>
          <w:lang w:bidi="ar-SA"/>
        </w:rPr>
        <w:t xml:space="preserve">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7"/>
        </w:numPr>
        <w:spacing w:after="200"/>
        <w:rPr>
          <w:rFonts w:ascii="Verdana" w:hAnsi="Verdana" w:eastAsia="Verdana" w:cs="Times New Roman"/>
          <w:szCs w:val="24"/>
          <w:lang w:bidi="ar-SA"/>
        </w:rPr>
        <w:sectPr>
          <w:headerReference w:type="default" r:id="rId93"/>
          <w:footerReference w:type="default" r:id="rId94"/>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90"/>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90"/>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90"/>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9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90"/>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w:t>
      </w:r>
      <w:r>
        <w:rPr>
          <w:rFonts w:ascii="Verdana" w:hAnsi="Verdana" w:eastAsia="Verdana" w:cs="Verdana"/>
          <w:szCs w:val="24"/>
        </w:rPr>
        <w:t xml:space="preserve">form of discipline, reprisal, intimidation, or retaliation for good faith reporting of incidents of harassment of any kind, pursuing any harassment claim or cooperating in related investigations.</w:t>
      </w:r>
    </w:p>
    <w:p>
      <w:pPr>
        <w:widowControl w:val="false"/>
        <w:numPr>
          <w:ilvl w:val="0"/>
          <w:numId w:val="790"/>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90"/>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90"/>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5"/>
          <w:footerReference w:type="default" r:id="rId96"/>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7"/>
          <w:footerReference w:type="default" r:id="rId9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9"/>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9"/>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9"/>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9"/>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9"/>
        </w:numPr>
        <w:overflowPunct w:val="false"/>
        <w:autoSpaceDE w:val="false"/>
        <w:autoSpaceDN w:val="false"/>
        <w:adjustRightInd w:val="false"/>
        <w:spacing w:after="0" w:line="256" w:lineRule="auto"/>
        <w:rPr>
          <w:rFonts w:ascii="Verdana" w:hAnsi="Verdana" w:eastAsia="Verdana" w:cs="Verdana"/>
          <w:szCs w:val="24"/>
        </w:rPr>
        <w:sectPr>
          <w:headerReference w:type="default" r:id="rId99"/>
          <w:footerReference w:type="default" r:id="rId10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4"/>
        </w:numPr>
        <w:overflowPunct w:val="false"/>
        <w:autoSpaceDE w:val="false"/>
        <w:autoSpaceDN w:val="false"/>
        <w:adjustRightInd w:val="false"/>
        <w:spacing w:after="0" w:line="256" w:lineRule="auto"/>
        <w:rPr>
          <w:rFonts w:ascii="Verdana" w:hAnsi="Verdana" w:eastAsia="Verdana" w:cs="Verdana"/>
          <w:szCs w:val="24"/>
        </w:rPr>
        <w:sectPr>
          <w:headerReference w:type="default" r:id="rId101"/>
          <w:footerReference w:type="default" r:id="rId10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w:t>
      </w:r>
      <w:r>
        <w:rPr>
          <w:rFonts w:ascii="Verdana" w:hAnsi="Verdana" w:eastAsia="Verdana" w:cs="Times New Roman"/>
          <w:szCs w:val="24"/>
        </w:rPr>
        <w:t xml:space="preserve">i</w:t>
      </w:r>
      <w:r>
        <w:rPr>
          <w:rFonts w:ascii="Verdana" w:hAnsi="Verdana" w:eastAsia="Verdana" w:cs="Times New Roman"/>
          <w:szCs w:val="24"/>
        </w:rPr>
        <w:t xml:space="preserve">)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6"/>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6"/>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6"/>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6"/>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6"/>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6"/>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3"/>
          <w:footerReference w:type="even" r:id="rId104"/>
          <w:headerReference w:type="default" r:id="rId105"/>
          <w:footerReference w:type="default" r:id="rId106"/>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w:t>
            </w:r>
            <w:r>
              <w:rPr>
                <w:rFonts w:ascii="Verdana" w:hAnsi="Verdana" w:eastAsia="Verdana"/>
                <w:sz w:val="20"/>
              </w:rPr>
              <w:t xml:space="preserve">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0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6"/>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2"/>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2"/>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w:t>
      </w:r>
      <w:r>
        <w:rPr>
          <w:rFonts w:ascii="Verdana" w:hAnsi="Verdana" w:eastAsia="Verdana" w:cs="Times New Roman"/>
          <w:sz w:val="24"/>
          <w:szCs w:val="28"/>
        </w:rPr>
        <w:t xml:space="preserve">contain electronic information or records covered by a Record Destruction Hold Notice.   </w:t>
      </w:r>
    </w:p>
    <w:p>
      <w:pPr>
        <w:pStyle w:val="ListParagraph"/>
        <w:keepNext/>
        <w:numPr>
          <w:ilvl w:val="0"/>
          <w:numId w:val="482"/>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2"/>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2"/>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08"/>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9"/>
          <w:footerReference w:type="even" r:id="rId110"/>
          <w:headerReference w:type="default" r:id="rId111"/>
          <w:footerReference w:type="default" r:id="rId112"/>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w:t>
      </w:r>
      <w:r>
        <w:rPr>
          <w:rFonts w:ascii="Verdana" w:hAnsi="Verdana" w:eastAsia="Verdana"/>
          <w:sz w:val="24"/>
          <w:szCs w:val="24"/>
        </w:rPr>
        <w:t xml:space="preserve">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3"/>
          <w:footerReference w:type="default" r:id="rId11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5"/>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5"/>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5"/>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6"/>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w:t>
      </w:r>
      <w:r>
        <w:rPr>
          <w:rFonts w:ascii="Verdana" w:hAnsi="Verdana" w:eastAsia="Verdana" w:cs="ArialMTPro"/>
          <w:color w:val="000000"/>
          <w:sz w:val="18"/>
          <w:szCs w:val="18"/>
        </w:rPr>
        <w:t xml:space="preserve">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6"/>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w:t>
      </w:r>
      <w:r>
        <w:rPr>
          <w:rFonts w:ascii="Verdana" w:hAnsi="Verdana" w:eastAsia="Verdana" w:cs="Times"/>
          <w:sz w:val="18"/>
          <w:szCs w:val="18"/>
        </w:rPr>
        <w:t xml:space="preserve">i</w:t>
      </w:r>
      <w:r>
        <w:rPr>
          <w:rFonts w:ascii="Verdana" w:hAnsi="Verdana" w:eastAsia="Verdana" w:cs="Times"/>
          <w:sz w:val="18"/>
          <w:szCs w:val="18"/>
        </w:rPr>
        <w:t xml:space="preserve">)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w:t>
      </w:r>
      <w:r>
        <w:rPr>
          <w:rFonts w:ascii="Verdana" w:hAnsi="Verdana" w:eastAsia="Verdana" w:cs="Times"/>
          <w:sz w:val="18"/>
          <w:szCs w:val="18"/>
        </w:rPr>
        <w:t xml:space="preserve">i</w:t>
      </w:r>
      <w:r>
        <w:rPr>
          <w:rFonts w:ascii="Verdana" w:hAnsi="Verdana" w:eastAsia="Verdana" w:cs="Times"/>
          <w:sz w:val="18"/>
          <w:szCs w:val="18"/>
        </w:rPr>
        <w:t xml:space="preserve">)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6"/>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w:t>
      </w:r>
      <w:r>
        <w:rPr>
          <w:rFonts w:ascii="Verdana" w:hAnsi="Verdana" w:eastAsia="Verdana" w:cs="ArialMTPro"/>
          <w:color w:val="000000"/>
          <w:sz w:val="18"/>
          <w:szCs w:val="18"/>
        </w:rPr>
        <w:t xml:space="preserve">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6"/>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6"/>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1"/>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1"/>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1"/>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9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9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w:t>
      </w:r>
      <w:r>
        <w:rPr>
          <w:rFonts w:ascii="Verdana" w:hAnsi="Verdana" w:eastAsia="Verdana" w:cs="ArialMTPro"/>
          <w:color w:val="000000"/>
          <w:sz w:val="18"/>
          <w:szCs w:val="18"/>
        </w:rPr>
        <w:t xml:space="preserve">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w:t>
      </w:r>
      <w:r>
        <w:rPr>
          <w:rFonts w:ascii="Verdana" w:hAnsi="Verdana" w:eastAsia="Verdana" w:cs="Times"/>
          <w:sz w:val="18"/>
          <w:szCs w:val="18"/>
        </w:rPr>
        <w:t xml:space="preserve">i</w:t>
      </w:r>
      <w:r>
        <w:rPr>
          <w:rFonts w:ascii="Verdana" w:hAnsi="Verdana" w:eastAsia="Verdana" w:cs="Times"/>
          <w:sz w:val="18"/>
          <w:szCs w:val="18"/>
        </w:rPr>
        <w:t xml:space="preserve">)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9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w:t>
      </w:r>
      <w:r>
        <w:rPr>
          <w:rFonts w:ascii="Verdana" w:hAnsi="Verdana" w:eastAsia="Verdana" w:cs="Times"/>
          <w:sz w:val="18"/>
          <w:szCs w:val="18"/>
        </w:rPr>
        <w:t xml:space="preserve">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w:t>
      </w:r>
      <w:r>
        <w:rPr>
          <w:rFonts w:ascii="Verdana" w:hAnsi="Verdana" w:eastAsia="Verdana" w:cs="Times"/>
          <w:sz w:val="18"/>
          <w:szCs w:val="18"/>
        </w:rPr>
        <w:t xml:space="preserve">i</w:t>
      </w:r>
      <w:r>
        <w:rPr>
          <w:rFonts w:ascii="Verdana" w:hAnsi="Verdana" w:eastAsia="Verdana" w:cs="Times"/>
          <w:sz w:val="18"/>
          <w:szCs w:val="18"/>
        </w:rPr>
        <w:t xml:space="preserve">)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w:t>
      </w:r>
      <w:r>
        <w:rPr>
          <w:rFonts w:ascii="Verdana" w:hAnsi="Verdana" w:eastAsia="Verdana" w:cs="Times"/>
          <w:sz w:val="18"/>
          <w:szCs w:val="18"/>
        </w:rPr>
        <w:t xml:space="preserve">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15"/>
          <w:footerReference w:type="default" r:id="rId116"/>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7"/>
          <w:footerReference w:type="default" r:id="rId11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7"/>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7"/>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7"/>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7"/>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7"/>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7"/>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7"/>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t>
      </w:r>
      <w:r>
        <w:rPr>
          <w:rFonts w:ascii="Verdana" w:hAnsi="Verdana" w:eastAsia="Verdana"/>
          <w:i/>
          <w:sz w:val="24"/>
          <w:szCs w:val="24"/>
        </w:rPr>
        <w:t xml:space="preserve">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8"/>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8"/>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8"/>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6"/>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6"/>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6"/>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6"/>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6"/>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6"/>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6"/>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6"/>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HealthInfoNet</w:t>
      </w:r>
      <w:r>
        <w:rPr>
          <w:rFonts w:ascii="Verdana" w:hAnsi="Verdana" w:eastAsia="Verdana"/>
          <w:sz w:val="24"/>
          <w:szCs w:val="24"/>
        </w:rPr>
        <w:t xml:space="preserve"> or other regional IT exchange</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6"/>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7"/>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7"/>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7"/>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7"/>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7"/>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6"/>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6"/>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6"/>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6"/>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9"/>
          <w:footerReference w:type="default" r:id="rId120"/>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w:t>
      </w:r>
      <w:r>
        <w:rPr>
          <w:rFonts w:ascii="Verdana" w:hAnsi="Verdana" w:eastAsiaTheme="minorEastAsia" w:cs="Times New Roman"/>
          <w:color w:val="1C1C1C"/>
          <w:w w:val="105"/>
          <w:sz w:val="24"/>
          <w:szCs w:val="24"/>
        </w:rPr>
        <w:t xml:space="preserve">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Pr>
          <w:rFonts w:ascii="Verdana" w:hAnsi="Verdana" w:eastAsiaTheme="minorEastAsia" w:cs="Times New Roman"/>
          <w:color w:val="000000"/>
          <w:sz w:val="24"/>
          <w:szCs w:val="24"/>
        </w:rPr>
        <w:t xml:space="preserve">theft.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1"/>
          <w:footerReference w:type="default" r:id="rId122"/>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00305j Parental Leave Act Policy and Procedure</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3"/>
          <w:footerReference w:type="default" r:id="rId124"/>
          <w:type w:val="nextPage"/>
          <w:pgSz w:w="12240" w:h="15840"/>
          <w:pgMar w:top="432" w:right="1296" w:bottom="432" w:left="1296"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7"/>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7"/>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7"/>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7"/>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7"/>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7"/>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7"/>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7"/>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7"/>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7"/>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7"/>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7"/>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7"/>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7"/>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25"/>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8"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5"/>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5"/>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5"/>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8"/>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5"/>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5"/>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26"/>
          <w:footerReference w:type="default" r:id="rId127"/>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w:t>
      </w:r>
      <w:r>
        <w:rPr>
          <w:rFonts w:ascii="Verdana" w:hAnsi="Verdana" w:eastAsia="Verdana" w:cs="Times New Roman"/>
          <w:szCs w:val="24"/>
        </w:rPr>
        <w:t xml:space="preserve">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9"/>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9"/>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9"/>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9"/>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9"/>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7"/>
        </w:numPr>
        <w:spacing w:line="240" w:lineRule="auto"/>
        <w:jc w:val="both"/>
        <w:rPr>
          <w:rFonts w:ascii="Verdana" w:hAnsi="Verdana" w:eastAsia="Verdana"/>
          <w:b w:val="0"/>
          <w:bCs/>
          <w:u w:val="none"/>
          <w:lang w:bidi="he-IL"/>
        </w:rPr>
        <w:sectPr>
          <w:headerReference w:type="default" r:id="rId128"/>
          <w:footerReference w:type="default" r:id="rId129"/>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8"/>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8"/>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7"/>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7"/>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4"/>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5"/>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5"/>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5"/>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6"/>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7"/>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7"/>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7"/>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7"/>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7"/>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7"/>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29" w:name="_Hlk497767653"/>
      <w:r>
        <w:rPr>
          <w:rFonts w:ascii="Verdana" w:hAnsi="Verdana" w:eastAsia="Verdana"/>
          <w:sz w:val="24"/>
          <w:szCs w:val="24"/>
        </w:rPr>
        <w:t xml:space="preserve">the State Survey Agency and at least one local law enforcement entity.</w:t>
      </w:r>
      <w:bookmarkEnd w:id="29"/>
      <w:r>
        <w:rPr>
          <w:rFonts w:ascii="Verdana" w:hAnsi="Verdana" w:eastAsia="Verdana"/>
          <w:sz w:val="24"/>
          <w:szCs w:val="24"/>
        </w:rPr>
        <w:t xml:space="preserve">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7"/>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7"/>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1"/>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w:t>
      </w:r>
      <w:r>
        <w:rPr>
          <w:rFonts w:ascii="Verdana" w:hAnsi="Verdana" w:eastAsia="Verdana"/>
          <w:sz w:val="24"/>
          <w:szCs w:val="24"/>
        </w:rPr>
        <w:t xml:space="preserve">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1"/>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1"/>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1"/>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2"/>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2"/>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2"/>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9"/>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7"/>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5"/>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5"/>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5"/>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5"/>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1"/>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7"/>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9"/>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0" w:name="_Hlk487631989"/>
    </w:p>
    <w:p>
      <w:pPr>
        <w:pStyle w:val="ListParagraph"/>
        <w:numPr>
          <w:ilvl w:val="1"/>
          <w:numId w:val="189"/>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0"/>
    <w:p>
      <w:pPr>
        <w:pStyle w:val="ListParagraph"/>
        <w:numPr>
          <w:ilvl w:val="1"/>
          <w:numId w:val="189"/>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9"/>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2"/>
          <w:footerReference w:type="first" r:id="rId133"/>
          <w:headerReference w:type="even" r:id="rId134"/>
          <w:footerReference w:type="even" r:id="rId135"/>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w:t>
      </w:r>
      <w:r>
        <w:rPr>
          <w:rFonts w:ascii="Verdana" w:hAnsi="Verdana" w:eastAsia="Verdana"/>
          <w:b w:val="0"/>
          <w:u w:val="none"/>
        </w:rPr>
        <w:t xml:space="preserve">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w:t>
      </w:r>
      <w:r>
        <w:rPr>
          <w:rFonts w:ascii="Verdana" w:hAnsi="Verdana" w:eastAsia="Verdana"/>
          <w:szCs w:val="24"/>
        </w:rPr>
        <w:t xml:space="preserve">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0"/>
          <w:footerReference w:type="default" r:id="rId1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bCs/>
          <w:sz w:val="28"/>
          <w:szCs w:val="24"/>
        </w:rPr>
      </w:pPr>
      <w:r>
        <w:rPr>
          <w:rFonts w:ascii="Verdana" w:hAnsi="Verdana" w:eastAsia="Verdana" w:cs="Arial"/>
          <w:b/>
          <w:bCs/>
          <w:sz w:val="28"/>
          <w:szCs w:val="24"/>
        </w:rPr>
        <w:fldChar w:fldCharType="begin"/>
      </w:r>
      <w:r>
        <w:rPr>
          <w:rFonts w:ascii="Verdana" w:hAnsi="Verdana" w:eastAsia="Verdana" w:cs="Arial"/>
          <w:b/>
          <w:bCs/>
          <w:sz w:val="28"/>
          <w:szCs w:val="24"/>
        </w:rPr>
        <w:instrText xml:space="preserve">DOCVARIABLE {Facility} \* MERGEFORMAT</w:instrText>
      </w:r>
      <w:r>
        <w:rPr>
          <w:rFonts w:ascii="Verdana" w:hAnsi="Verdana" w:eastAsia="Verdana" w:cs="Arial"/>
          <w:b/>
          <w:bCs/>
          <w:sz w:val="28"/>
          <w:szCs w:val="24"/>
        </w:rPr>
        <w:fldChar w:fldCharType="separate"/>
      </w:r>
      <w:r>
        <w:rPr>
          <w:rFonts w:ascii="Verdana" w:hAnsi="Verdana" w:eastAsia="Verdana" w:cs="Arial"/>
          <w:b/>
          <w:bCs/>
          <w:sz w:val="28"/>
          <w:szCs w:val="24"/>
        </w:rPr>
        <w:t xml:space="preserve">{Facility}</w:t>
      </w:r>
      <w:r>
        <w:rPr>
          <w:rFonts w:ascii="Verdana" w:hAnsi="Verdana" w:eastAsia="Verdana" w:cs="Arial"/>
          <w:b/>
          <w:bCs/>
          <w:sz w:val="28"/>
          <w:szCs w:val="24"/>
        </w:rPr>
        <w:fldChar w:fldCharType="end"/>
      </w:r>
    </w:p>
    <w:p>
      <w:pPr>
        <w:spacing/>
        <w:jc w:val="center"/>
        <w:rPr>
          <w:rFonts w:ascii="Verdana" w:hAnsi="Verdana" w:eastAsia="Verdana"/>
          <w:b/>
          <w:bCs/>
          <w:smallCaps/>
          <w:sz w:val="28"/>
          <w:szCs w:val="24"/>
        </w:rPr>
      </w:pPr>
      <w:r>
        <w:rPr>
          <w:rFonts w:ascii="Verdana" w:hAnsi="Verdana" w:eastAsia="Verdana"/>
          <w:b/>
          <w:bCs/>
          <w:smallCaps/>
          <w:sz w:val="28"/>
          <w:szCs w:val="24"/>
        </w:rPr>
        <w:t xml:space="preserve">Maryland Parental Leave Act Policy and Procedure</w:t>
      </w:r>
    </w:p>
    <w:p>
      <w:pPr>
        <w:spacing/>
        <w:rPr>
          <w:rFonts w:ascii="Verdana" w:hAnsi="Verdana" w:eastAsia="Verdana"/>
          <w:b/>
          <w:bCs/>
        </w:rPr>
      </w:pPr>
      <w:r>
        <w:rPr>
          <w:rFonts w:ascii="Verdana" w:hAnsi="Verdana" w:eastAsia="Verdana"/>
          <w:b/>
          <w:bCs/>
        </w:rPr>
        <w:t xml:space="preserve">POLICY/PURPOSE</w:t>
      </w:r>
    </w:p>
    <w:p>
      <w:pPr>
        <w:spacing/>
        <w:rPr>
          <w:rFonts w:ascii="Verdana" w:hAnsi="Verdana" w:eastAsia="Verdana"/>
        </w:rPr>
      </w:pPr>
      <w:r>
        <w:rPr>
          <w:rFonts w:ascii="Verdana" w:hAnsi="Verdana" w:eastAsia="Verdana"/>
        </w:rPr>
        <w:t xml:space="preserve">To comply with the Maryland Parental Leave Act by providing eligible employees with unpaid parental leave for the purpose of providing care and nurturing to a child immediately following birth or upon placement of the child under 6 years of age with the employee for adoption or foster care.</w:t>
      </w:r>
    </w:p>
    <w:p>
      <w:pPr>
        <w:spacing/>
        <w:rPr>
          <w:rFonts w:ascii="Verdana" w:hAnsi="Verdana" w:eastAsia="Verdana"/>
          <w:b/>
          <w:bCs/>
        </w:rPr>
      </w:pPr>
      <w:r>
        <w:rPr>
          <w:rFonts w:ascii="Verdana" w:hAnsi="Verdana" w:eastAsia="Verdana"/>
          <w:b/>
          <w:bCs/>
        </w:rPr>
        <w:t xml:space="preserve">PROCEDURE</w:t>
      </w:r>
    </w:p>
    <w:p>
      <w:pPr>
        <w:pStyle w:val="ListParagraph"/>
        <w:numPr>
          <w:ilvl w:val="0"/>
          <w:numId w:val="262"/>
        </w:numPr>
        <w:spacing w:after="160" w:line="259" w:lineRule="auto"/>
        <w:contextualSpacing/>
        <w:rPr>
          <w:rFonts w:ascii="Verdana" w:hAnsi="Verdana" w:eastAsia="Verdana"/>
          <w:sz w:val="24"/>
        </w:rPr>
      </w:pPr>
      <w:r>
        <w:rPr>
          <w:rFonts w:ascii="Verdana" w:hAnsi="Verdana" w:eastAsia="Verdana"/>
          <w:sz w:val="24"/>
        </w:rPr>
        <w:t xml:space="preserve">Employees Eligible for Parental Leave</w:t>
      </w:r>
    </w:p>
    <w:p>
      <w:pPr>
        <w:pStyle w:val="ListParagraph"/>
        <w:numPr>
          <w:ilvl w:val="1"/>
          <w:numId w:val="262"/>
        </w:numPr>
        <w:spacing w:after="160" w:line="259" w:lineRule="auto"/>
        <w:contextualSpacing/>
        <w:rPr>
          <w:rFonts w:ascii="Verdana" w:hAnsi="Verdana" w:eastAsia="Verdana"/>
          <w:sz w:val="24"/>
        </w:rPr>
      </w:pPr>
      <w:r>
        <w:rPr>
          <w:rFonts w:ascii="Verdana" w:hAnsi="Verdana" w:eastAsia="Verdana"/>
          <w:sz w:val="24"/>
        </w:rPr>
        <w:t xml:space="preserve">An “eligible employee” is one who has asked that the Facility provide parental leave and who, as of the date that the requested parental leave begins, will have:</w:t>
      </w:r>
    </w:p>
    <w:p>
      <w:pPr>
        <w:pStyle w:val="ListParagraph"/>
        <w:numPr>
          <w:ilvl w:val="2"/>
          <w:numId w:val="262"/>
        </w:numPr>
        <w:spacing w:after="160" w:line="259" w:lineRule="auto"/>
        <w:contextualSpacing/>
        <w:rPr>
          <w:rFonts w:ascii="Verdana" w:hAnsi="Verdana" w:eastAsia="Verdana"/>
          <w:sz w:val="24"/>
        </w:rPr>
      </w:pPr>
      <w:r>
        <w:rPr>
          <w:rFonts w:ascii="Verdana" w:hAnsi="Verdana" w:eastAsia="Verdana"/>
          <w:sz w:val="24"/>
        </w:rPr>
        <w:t xml:space="preserve">been employed by the Facility for at least 12 months and </w:t>
      </w:r>
    </w:p>
    <w:p>
      <w:pPr>
        <w:pStyle w:val="ListParagraph"/>
        <w:numPr>
          <w:ilvl w:val="2"/>
          <w:numId w:val="262"/>
        </w:numPr>
        <w:spacing w:after="160" w:line="259" w:lineRule="auto"/>
        <w:contextualSpacing/>
        <w:rPr>
          <w:rFonts w:ascii="Verdana" w:hAnsi="Verdana" w:eastAsia="Verdana"/>
          <w:sz w:val="24"/>
        </w:rPr>
      </w:pPr>
      <w:r>
        <w:rPr>
          <w:rFonts w:ascii="Verdana" w:hAnsi="Verdana" w:eastAsia="Verdana"/>
          <w:sz w:val="24"/>
        </w:rPr>
        <w:t xml:space="preserve">worked at least 1250 hours during the previous 12 months.</w:t>
      </w:r>
    </w:p>
    <w:p>
      <w:pPr>
        <w:spacing/>
        <w:rPr>
          <w:rFonts w:ascii="Verdana" w:hAnsi="Verdana" w:eastAsia="Verdana"/>
        </w:rPr>
      </w:pPr>
      <w:r>
        <w:rPr>
          <w:rFonts w:ascii="Verdana" w:hAnsi="Verdana" w:eastAsia="Verdana"/>
        </w:rPr>
        <w:t xml:space="preserve">The term “eligible employee” does not include independent contractors or someone who is employed at a work site where the employer employs less than 15 employees within 75 miles of the work site.</w:t>
      </w:r>
    </w:p>
    <w:p>
      <w:pPr>
        <w:spacing/>
        <w:rPr/>
        <w:sectPr>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w:t>
      </w:r>
      <w:r>
        <w:rPr>
          <w:rFonts w:ascii="Verdana" w:hAnsi="Verdana" w:eastAsia="Verdana"/>
          <w:b w:val="0"/>
          <w:u w:val="none"/>
        </w:rPr>
        <w:t xml:space="preserve">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w:t>
      </w:r>
      <w:r>
        <w:rPr>
          <w:rFonts w:ascii="Verdana" w:hAnsi="Verdana" w:eastAsia="Verdana"/>
          <w:b w:val="0"/>
          <w:u w:val="none"/>
        </w:rPr>
        <w:t xml:space="preserve">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4"/>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7"/>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7"/>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7"/>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7"/>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7"/>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7"/>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7"/>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7"/>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7"/>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7"/>
        </w:numPr>
        <w:spacing w:after="0" w:line="300" w:lineRule="atLeast"/>
        <w:rPr>
          <w:rFonts w:ascii="Verdana" w:hAnsi="Verdana" w:eastAsia="Verdana"/>
          <w:szCs w:val="24"/>
        </w:rPr>
        <w:sectPr>
          <w:headerReference w:type="default" r:id="rId148"/>
          <w:footerReference w:type="default" r:id="rId149"/>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50"/>
          <w:footerReference w:type="default" r:id="rId151"/>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4"/>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4"/>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4"/>
        </w:numPr>
        <w:spacing w:after="0" w:line="300" w:lineRule="atLeast"/>
        <w:rPr>
          <w:rFonts w:ascii="Verdana" w:hAnsi="Verdana" w:eastAsia="Verdana"/>
          <w:szCs w:val="24"/>
        </w:rPr>
        <w:sectPr>
          <w:headerReference w:type="default" r:id="rId152"/>
          <w:footerReference w:type="default" r:id="rId153"/>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4"/>
          <w:footerReference w:type="default" r:id="rId155"/>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58"/>
          <w:footerReference w:type="default" r:id="rId15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w:t>
      </w:r>
      <w:r>
        <w:rPr>
          <w:rFonts w:ascii="Verdana" w:hAnsi="Verdana" w:eastAsia="Verdana"/>
          <w:sz w:val="24"/>
          <w:szCs w:val="24"/>
        </w:rPr>
        <w:t xml:space="preserve">less after the date of discharge. You agree to complete the Discharge Summary to include:</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9"/>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9"/>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w:t>
      </w:r>
      <w:r>
        <w:rPr>
          <w:rFonts w:ascii="Verdana" w:hAnsi="Verdana" w:eastAsia="Verdana"/>
          <w:szCs w:val="24"/>
        </w:rPr>
        <w:t xml:space="preserve">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60"/>
          <w:footerReference w:type="default" r:id="rId161"/>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7"/>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7"/>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7"/>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7"/>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7"/>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7"/>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1" w:name="co_anchor_a983454_29"/>
      <w:bookmarkEnd w:id="31"/>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7"/>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2" w:name="co_anchor_a335490_29"/>
      <w:bookmarkEnd w:id="32"/>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3" w:name="co_anchor_a638045_29"/>
      <w:bookmarkEnd w:id="33"/>
    </w:p>
    <w:p>
      <w:pPr>
        <w:pStyle w:val="ListParagraph"/>
        <w:numPr>
          <w:ilvl w:val="0"/>
          <w:numId w:val="537"/>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7"/>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4" w:name="co_anchor_a397720_29"/>
      <w:bookmarkEnd w:id="34"/>
    </w:p>
    <w:p>
      <w:pPr>
        <w:pStyle w:val="ListParagraph"/>
        <w:numPr>
          <w:ilvl w:val="0"/>
          <w:numId w:val="537"/>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7"/>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2"/>
          <w:footerReference w:type="default" r:id="rId163"/>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4"/>
          <w:footerReference w:type="first" r:id="rId165"/>
          <w:headerReference w:type="even" r:id="rId166"/>
          <w:footerReference w:type="even" r:id="rId167"/>
          <w:headerReference w:type="default" r:id="rId168"/>
          <w:footerReference w:type="default" r:id="rId16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13"/>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13"/>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4"/>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w:t>
      </w:r>
      <w:r>
        <w:rPr>
          <w:rFonts w:ascii="Verdana" w:hAnsi="Verdana" w:eastAsia="Verdana"/>
          <w:sz w:val="24"/>
          <w:szCs w:val="24"/>
        </w:rPr>
        <w:t xml:space="preserve">sanctioned as a resident care activity can be viewed as compromising the staff-resident relationship. Examples of boundary problems that may occur in social relationships include, but are not limited, to: </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12"/>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5"/>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5"/>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5"/>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12"/>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6"/>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12"/>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7"/>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7"/>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7"/>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70"/>
          <w:footerReference w:type="default" r:id="rId171"/>
          <w:type w:val="nextPage"/>
          <w:pgSz w:w="12240" w:h="15840"/>
          <w:pgMar w:top="1440" w:right="1080" w:bottom="1200" w:left="1350" w:header="0" w:footer="1005" w:gutter="0"/>
          <w:pgBorders/>
          <w:pgNumType w:fmt="decimal" w:start="1"/>
          <w:cols w:num="1" w:equalWidth="1" w:space="720"/>
        </w:sectPr>
      </w:pP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2"/>
          <w:footerReference w:type="default" r:id="rId173"/>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7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w:t>
      </w:r>
      <w:r>
        <w:rPr>
          <w:rFonts w:ascii="Verdana" w:hAnsi="Verdana" w:eastAsia="Verdana" w:cs="ArialMTPro"/>
          <w:color w:val="000000"/>
          <w:sz w:val="24"/>
          <w:szCs w:val="24"/>
        </w:rPr>
        <w:t xml:space="preserve">i</w:t>
      </w:r>
      <w:r>
        <w:rPr>
          <w:rFonts w:ascii="Verdana" w:hAnsi="Verdana" w:eastAsia="Verdana" w:cs="ArialMTPro"/>
          <w:color w:val="000000"/>
          <w:sz w:val="24"/>
          <w:szCs w:val="24"/>
        </w:rPr>
        <w:t xml:space="preserve">)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w:t>
      </w:r>
      <w:r>
        <w:rPr>
          <w:rFonts w:ascii="Verdana" w:hAnsi="Verdana" w:eastAsia="Verdana" w:cs="ArialMTPro"/>
          <w:color w:val="000000"/>
          <w:sz w:val="24"/>
          <w:szCs w:val="24"/>
        </w:rPr>
        <w:t xml:space="preserve">obtained from the individual as soon as reasonably practical.</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75"/>
          <w:footerReference w:type="default" r:id="rId176"/>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bookmarkStart w:id="35" w:name="_Hlk25309075"/>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18"/>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w:t>
      </w:r>
      <w:r>
        <w:rPr>
          <w:rFonts w:ascii="Verdana" w:hAnsi="Verdana" w:eastAsia="Verdana" w:cs="ArialMTPro"/>
          <w:color w:val="000000"/>
          <w:sz w:val="16"/>
          <w:szCs w:val="16"/>
        </w:rPr>
        <w:t xml:space="preserve">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18"/>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18"/>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18"/>
        </w:numPr>
        <w:tabs>
          <w:tab w:val="num" w:pos="270"/>
          <w:tab w:val="num" w:pos="45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18"/>
        </w:numPr>
        <w:tabs>
          <w:tab w:val="num" w:pos="270"/>
          <w:tab w:val="num" w:pos="45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18"/>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18"/>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t>
      </w:r>
      <w:r>
        <w:rPr>
          <w:rFonts w:ascii="Verdana" w:hAnsi="Verdana" w:eastAsia="Verdana" w:cs="ArialMTPro"/>
          <w:color w:val="000000"/>
          <w:sz w:val="16"/>
          <w:szCs w:val="16"/>
        </w:rPr>
        <w:t xml:space="preserve">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18"/>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w:t>
      </w:r>
      <w:r>
        <w:rPr>
          <w:rFonts w:ascii="Verdana" w:hAnsi="Verdana" w:eastAsia="Verdana" w:cs="ArialMTPro"/>
          <w:color w:val="000000"/>
          <w:sz w:val="16"/>
          <w:szCs w:val="16"/>
        </w:rPr>
        <w:t xml:space="preserve">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w:t>
      </w:r>
      <w:r>
        <w:rPr>
          <w:rFonts w:ascii="Verdana" w:hAnsi="Verdana" w:eastAsia="Verdana" w:cs="ArialMTPro"/>
          <w:color w:val="000000"/>
          <w:sz w:val="16"/>
          <w:szCs w:val="16"/>
        </w:rPr>
        <w:t xml:space="preserve">/</w:t>
      </w:r>
      <w:r>
        <w:rPr>
          <w:rFonts w:ascii="Verdana" w:hAnsi="Verdana" w:eastAsia="Verdana" w:cs="ArialMTPro"/>
          <w:color w:val="000000"/>
          <w:sz w:val="16"/>
          <w:szCs w:val="16"/>
        </w:rPr>
        <w:t xml:space="preserve">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18"/>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w:t>
      </w:r>
      <w:r>
        <w:rPr>
          <w:rFonts w:ascii="Verdana" w:hAnsi="Verdana" w:eastAsia="Verdana" w:cs="Times"/>
          <w:sz w:val="16"/>
          <w:szCs w:val="16"/>
        </w:rPr>
        <w:t xml:space="preserve">facilitate donation and transplantation. </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18"/>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w:t>
      </w:r>
      <w:r>
        <w:rPr>
          <w:rFonts w:ascii="Verdana" w:hAnsi="Verdana" w:eastAsia="Verdana" w:cs="Times"/>
          <w:sz w:val="16"/>
          <w:szCs w:val="16"/>
        </w:rPr>
        <w:t xml:space="preserve">apprehend an individual.</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18"/>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18"/>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w:t>
      </w:r>
      <w:r>
        <w:rPr>
          <w:rFonts w:ascii="Verdana" w:hAnsi="Verdana" w:eastAsia="Verdana" w:cs="Times"/>
          <w:sz w:val="16"/>
          <w:szCs w:val="16"/>
        </w:rPr>
        <w:t xml:space="preserve">deviations; to track products; to enable product recalls; to make repairs or replacement; or to conduct post marketing surveillance, as required.</w:t>
      </w:r>
    </w:p>
    <w:p>
      <w:pPr>
        <w:widowControl w:val="false"/>
        <w:numPr>
          <w:ilvl w:val="0"/>
          <w:numId w:val="818"/>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w:t>
      </w:r>
      <w:r>
        <w:rPr>
          <w:rFonts w:ascii="Verdana" w:hAnsi="Verdana" w:eastAsia="Verdana" w:cs="ArialMTPro"/>
          <w:color w:val="000000"/>
          <w:sz w:val="16"/>
          <w:szCs w:val="16"/>
        </w:rPr>
        <w:t xml:space="preserve">given to a member of the clergy, even if the clergy member does not ask for you by name.</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18"/>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18"/>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t>
      </w:r>
      <w:r>
        <w:rPr>
          <w:rFonts w:ascii="Verdana" w:hAnsi="Verdana" w:eastAsia="Verdana"/>
          <w:sz w:val="16"/>
          <w:szCs w:val="16"/>
        </w:rPr>
        <w:t xml:space="preserve">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18"/>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18"/>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18"/>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18"/>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18"/>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18"/>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18"/>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18"/>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18"/>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18"/>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w:t>
      </w:r>
      <w:r>
        <w:rPr>
          <w:rFonts w:ascii="Verdana" w:hAnsi="Verdana" w:eastAsia="Verdana"/>
          <w:sz w:val="16"/>
          <w:szCs w:val="16"/>
        </w:rPr>
        <w:t xml:space="preserve">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18"/>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18"/>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18"/>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18"/>
        </w:numPr>
        <w:tabs>
          <w:tab w:val="num" w:pos="270"/>
          <w:tab w:val="num" w:pos="36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18"/>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w:t>
      </w:r>
      <w:r>
        <w:rPr>
          <w:rFonts w:ascii="Verdana" w:hAnsi="Verdana" w:eastAsia="Verdana" w:cs="ArialMTPro"/>
          <w:color w:val="000000"/>
          <w:sz w:val="16"/>
          <w:szCs w:val="16"/>
        </w:rPr>
        <w:t xml:space="preserve">used or disclosed for the purposes of treatment, payment, or health care operations. You may also request that your PHI not be disclosed to family members or friends who may be involved in your care. </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18"/>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w:t>
      </w:r>
      <w:r>
        <w:rPr>
          <w:rFonts w:ascii="Verdana" w:hAnsi="Verdana" w:eastAsia="Verdana" w:cs="ArialMTPro"/>
          <w:color w:val="000000"/>
          <w:sz w:val="16"/>
          <w:szCs w:val="16"/>
        </w:rPr>
        <w:t xml:space="preserve">accommodate all reasonable requests. </w:t>
      </w:r>
    </w:p>
    <w:p>
      <w:pPr>
        <w:widowControl w:val="false"/>
        <w:numPr>
          <w:ilvl w:val="0"/>
          <w:numId w:val="818"/>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18"/>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w:t>
      </w:r>
      <w:r>
        <w:rPr>
          <w:rFonts w:ascii="Verdana" w:hAnsi="Verdana" w:eastAsia="Verdana" w:cs="ArialMTPro"/>
          <w:color w:val="000000"/>
          <w:sz w:val="16"/>
          <w:szCs w:val="16"/>
        </w:rPr>
        <w:t xml:space="preserve">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18"/>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18"/>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18"/>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18"/>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18"/>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18"/>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77"/>
          <w:footerReference w:type="first" r:id="rId178"/>
          <w:headerReference w:type="even" r:id="rId179"/>
          <w:headerReference w:type="default" r:id="rId180"/>
          <w:footerReference w:type="default" r:id="rId181"/>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19"/>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bookmarkEnd w:id="35"/>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82"/>
          <w:headerReference w:type="even" r:id="rId183"/>
          <w:headerReference w:type="default" r:id="rId184"/>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85"/>
          <w:footerReference w:type="default" r:id="rId186"/>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2"/>
        </w:numPr>
        <w:spacing w:after="0"/>
        <w:rPr>
          <w:rFonts w:ascii="Verdana" w:hAnsi="Verdana" w:eastAsia="Verdana"/>
          <w:szCs w:val="24"/>
        </w:rPr>
      </w:pPr>
      <w:r>
        <w:rPr>
          <w:rFonts w:ascii="Verdana" w:hAnsi="Verdana" w:eastAsia="Verdana"/>
          <w:szCs w:val="24"/>
        </w:rPr>
        <w:t xml:space="preserve">Definition of PHI </w:t>
      </w:r>
    </w:p>
    <w:p>
      <w:pPr>
        <w:numPr>
          <w:ilvl w:val="1"/>
          <w:numId w:val="572"/>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2"/>
        </w:numPr>
        <w:spacing w:after="0"/>
        <w:rPr>
          <w:rFonts w:ascii="Verdana" w:hAnsi="Verdana" w:eastAsia="Verdana"/>
          <w:szCs w:val="24"/>
        </w:rPr>
      </w:pPr>
      <w:r>
        <w:rPr>
          <w:rFonts w:ascii="Verdana" w:hAnsi="Verdana" w:eastAsia="Verdana"/>
          <w:szCs w:val="24"/>
        </w:rPr>
        <w:t xml:space="preserve">Definition of Breach </w:t>
      </w:r>
    </w:p>
    <w:p>
      <w:pPr>
        <w:numPr>
          <w:ilvl w:val="1"/>
          <w:numId w:val="572"/>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2"/>
        </w:numPr>
        <w:spacing w:after="0"/>
        <w:rPr>
          <w:rFonts w:ascii="Verdana" w:hAnsi="Verdana" w:eastAsia="Verdana"/>
          <w:szCs w:val="24"/>
        </w:rPr>
      </w:pPr>
      <w:r>
        <w:rPr>
          <w:rFonts w:ascii="Verdana" w:hAnsi="Verdana" w:eastAsia="Verdana"/>
          <w:szCs w:val="24"/>
        </w:rPr>
        <w:t xml:space="preserve">Exceptions to Breach</w:t>
      </w:r>
    </w:p>
    <w:p>
      <w:pPr>
        <w:numPr>
          <w:ilvl w:val="1"/>
          <w:numId w:val="572"/>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2"/>
        </w:numPr>
        <w:spacing w:after="0"/>
        <w:rPr>
          <w:rFonts w:ascii="Verdana" w:hAnsi="Verdana" w:eastAsia="Verdana"/>
          <w:szCs w:val="24"/>
        </w:rPr>
      </w:pPr>
      <w:r>
        <w:rPr>
          <w:rFonts w:ascii="Verdana" w:hAnsi="Verdana" w:eastAsia="Verdana"/>
          <w:szCs w:val="24"/>
        </w:rPr>
        <w:t xml:space="preserve">Notification </w:t>
      </w:r>
    </w:p>
    <w:p>
      <w:pPr>
        <w:numPr>
          <w:ilvl w:val="1"/>
          <w:numId w:val="572"/>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2"/>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2"/>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w:t>
      </w:r>
      <w:r>
        <w:rPr>
          <w:rFonts w:ascii="Verdana" w:hAnsi="Verdana" w:eastAsia="Verdana"/>
          <w:szCs w:val="24"/>
        </w:rPr>
        <w:t xml:space="preserve">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w:t>
      </w:r>
      <w:r>
        <w:rPr>
          <w:rFonts w:ascii="Verdana" w:hAnsi="Verdana" w:eastAsia="Verdana"/>
          <w:szCs w:val="24"/>
        </w:rPr>
        <w:t xml:space="preserve">i</w:t>
      </w:r>
      <w:r>
        <w:rPr>
          <w:rFonts w:ascii="Verdana" w:hAnsi="Verdana" w:eastAsia="Verdana"/>
          <w:szCs w:val="24"/>
        </w:rPr>
        <w:t xml:space="preserve">)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2"/>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2"/>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2"/>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2"/>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2"/>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2"/>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w:t>
      </w:r>
      <w:r>
        <w:rPr>
          <w:rFonts w:ascii="Verdana" w:hAnsi="Verdana" w:eastAsia="Verdana"/>
          <w:szCs w:val="24"/>
        </w:rPr>
        <w:t xml:space="preserve">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2"/>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2"/>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2"/>
        </w:numPr>
        <w:spacing w:after="0"/>
        <w:rPr>
          <w:rFonts w:ascii="Verdana" w:hAnsi="Verdana" w:eastAsia="Verdana"/>
          <w:szCs w:val="24"/>
        </w:rPr>
      </w:pPr>
      <w:r>
        <w:rPr>
          <w:rFonts w:ascii="Verdana" w:hAnsi="Verdana" w:eastAsia="Verdana"/>
          <w:szCs w:val="24"/>
        </w:rPr>
        <w:t xml:space="preserve">Documentation</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2"/>
        </w:numPr>
        <w:spacing w:after="0"/>
        <w:rPr>
          <w:rFonts w:ascii="Verdana" w:hAnsi="Verdana" w:eastAsia="Verdana"/>
          <w:szCs w:val="24"/>
        </w:rPr>
      </w:pPr>
      <w:r>
        <w:rPr>
          <w:rFonts w:ascii="Verdana" w:hAnsi="Verdana" w:eastAsia="Verdana"/>
          <w:szCs w:val="24"/>
        </w:rPr>
        <w:t xml:space="preserve">Staff Training</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87"/>
          <w:footerReference w:type="default" r:id="rId188"/>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9"/>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9"/>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9"/>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89"/>
          <w:footerReference w:type="first" r:id="rId190"/>
          <w:headerReference w:type="even" r:id="rId191"/>
          <w:footerReference w:type="even" r:id="rId192"/>
          <w:headerReference w:type="default" r:id="rId193"/>
          <w:footerReference w:type="default" r:id="rId19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personal health records.</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Face</w:t>
      </w:r>
      <w:r>
        <w:rPr>
          <w:rFonts w:ascii="Verdana" w:hAnsi="Verdana" w:eastAsia="Verdana"/>
          <w:sz w:val="24"/>
          <w:szCs w:val="24"/>
        </w:rPr>
        <w:t xml:space="preserve"> sheet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w:t>
      </w:r>
      <w:r>
        <w:rPr>
          <w:rFonts w:ascii="Verdana" w:hAnsi="Verdana" w:eastAsia="Verdana"/>
          <w:sz w:val="24"/>
          <w:szCs w:val="24"/>
        </w:rPr>
        <w:t xml:space="preserve">resident’s</w:t>
      </w:r>
      <w:r>
        <w:rPr>
          <w:rFonts w:ascii="Verdana" w:hAnsi="Verdana" w:eastAsia="Verdana"/>
          <w:sz w:val="24"/>
          <w:szCs w:val="24"/>
        </w:rPr>
        <w:t xml:space="preserve">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4"/>
        </w:numPr>
        <w:spacing/>
        <w:contextualSpacing/>
        <w:jc w:val="both"/>
        <w:rPr>
          <w:rFonts w:ascii="Verdana" w:hAnsi="Verdana" w:eastAsia="Verdana"/>
          <w:sz w:val="24"/>
          <w:szCs w:val="24"/>
        </w:rPr>
        <w:sectPr>
          <w:headerReference w:type="default" r:id="rId195"/>
          <w:footerReference w:type="default" r:id="rId19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197"/>
          <w:footerReference w:type="default" r:id="rId19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199"/>
          <w:footerReference w:type="default" r:id="rId20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2"/>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2"/>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201"/>
          <w:footerReference w:type="default" r:id="rId202"/>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03"/>
          <w:footerReference w:type="first" r:id="rId204"/>
          <w:headerReference w:type="even" r:id="rId205"/>
          <w:footerReference w:type="even" r:id="rId206"/>
          <w:headerReference w:type="default" r:id="rId207"/>
          <w:footerReference w:type="default" r:id="rId20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1"/>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1"/>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1"/>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1"/>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1"/>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1"/>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1"/>
        </w:numPr>
        <w:snapToGrid w:val="off"/>
        <w:spacing w:before="120" w:after="60" w:line="240" w:lineRule="auto"/>
        <w:jc w:val="both"/>
        <w:rPr>
          <w:rFonts w:ascii="Verdana" w:hAnsi="Verdana" w:eastAsia="Verdana"/>
        </w:rPr>
        <w:sectPr>
          <w:headerReference w:type="default" r:id="rId209"/>
          <w:footerReference w:type="default" r:id="rId21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1"/>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w:t>
      </w:r>
      <w:r>
        <w:rPr>
          <w:rFonts w:ascii="Verdana" w:hAnsi="Verdana" w:eastAsia="Verdana"/>
          <w:szCs w:val="24"/>
        </w:rPr>
        <w:t xml:space="preserve">i</w:t>
      </w:r>
      <w:r>
        <w:rPr>
          <w:rFonts w:ascii="Verdana" w:hAnsi="Verdana" w:eastAsia="Verdana"/>
          <w:szCs w:val="24"/>
        </w:rPr>
        <w:t xml:space="preserve">)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1"/>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w:t>
      </w:r>
      <w:r>
        <w:rPr>
          <w:rFonts w:ascii="Verdana" w:hAnsi="Verdana" w:eastAsia="Verdana"/>
          <w:sz w:val="24"/>
          <w:szCs w:val="24"/>
        </w:rPr>
        <w:t xml:space="preserve">zyxwvuts</w:t>
      </w:r>
      <w:r>
        <w:rPr>
          <w:rFonts w:ascii="Verdana" w:hAnsi="Verdana" w:eastAsia="Verdana"/>
          <w:sz w:val="24"/>
          <w:szCs w:val="24"/>
        </w:rPr>
        <w:t xml:space="preserve">, 123321, etc.</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1"/>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1"/>
        </w:numPr>
        <w:spacing w:after="200"/>
        <w:rPr>
          <w:rFonts w:ascii="Verdana" w:hAnsi="Verdana" w:eastAsia="Verdana"/>
          <w:szCs w:val="24"/>
        </w:rPr>
        <w:sectPr>
          <w:headerReference w:type="default" r:id="rId211"/>
          <w:footerReference w:type="default" r:id="rId21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13"/>
          <w:footerReference w:type="default" r:id="rId21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16"/>
          <w:footerReference w:type="default" r:id="rId2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3"/>
        </w:numPr>
        <w:spacing/>
        <w:contextualSpacing/>
        <w:jc w:val="both"/>
        <w:rPr>
          <w:rFonts w:ascii="Verdana" w:hAnsi="Verdana" w:eastAsia="Verdana"/>
          <w:sz w:val="24"/>
          <w:szCs w:val="24"/>
        </w:rPr>
        <w:sectPr>
          <w:headerReference w:type="default" r:id="rId218"/>
          <w:footerReference w:type="default" r:id="rId21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20"/>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20"/>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20"/>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20"/>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20"/>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20"/>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20"/>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20"/>
        </w:numPr>
        <w:spacing/>
        <w:contextualSpacing/>
        <w:jc w:val="both"/>
        <w:rPr>
          <w:rFonts w:ascii="Verdana" w:hAnsi="Verdana" w:eastAsia="Verdana"/>
          <w:sz w:val="24"/>
          <w:szCs w:val="24"/>
        </w:rPr>
        <w:sectPr>
          <w:headerReference w:type="default" r:id="rId220"/>
          <w:footerReference w:type="default" r:id="rId22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22"/>
          <w:footerReference w:type="default" r:id="rId22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24"/>
          <w:footerReference w:type="default" r:id="rId22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50"/>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26"/>
          <w:footerReference w:type="default" r:id="rId22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1"/>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28"/>
          <w:footerReference w:type="default" r:id="rId22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3"/>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3"/>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3"/>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3"/>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3"/>
        </w:numPr>
        <w:spacing/>
        <w:contextualSpacing/>
        <w:jc w:val="both"/>
        <w:rPr>
          <w:rFonts w:ascii="Verdana" w:hAnsi="Verdana" w:eastAsia="Verdana"/>
          <w:sz w:val="24"/>
          <w:szCs w:val="24"/>
        </w:rPr>
        <w:sectPr>
          <w:headerReference w:type="default" r:id="rId230"/>
          <w:footerReference w:type="default" r:id="rId23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7"/>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7"/>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7"/>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7"/>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7"/>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7"/>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7"/>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7"/>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7"/>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32"/>
          <w:footerReference w:type="default" r:id="rId23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9"/>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9"/>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9"/>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9"/>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1"/>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1"/>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1"/>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1"/>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Ethics</w:t>
      </w:r>
      <w:r>
        <w:rPr>
          <w:rFonts w:ascii="Verdana" w:hAnsi="Verdana" w:eastAsia="Verdana"/>
          <w:sz w:val="24"/>
          <w:szCs w:val="24"/>
        </w:rPr>
        <w:t xml:space="preserve">/Privacy/Security Officer, and/or a member of the Facility’s administration.  </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4"/>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4"/>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34"/>
          <w:footerReference w:type="first" r:id="rId235"/>
          <w:headerReference w:type="even" r:id="rId236"/>
          <w:footerReference w:type="even" r:id="rId237"/>
          <w:headerReference w:type="default" r:id="rId238"/>
          <w:footerReference w:type="default" r:id="rId23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40"/>
          <w:footerReference w:type="default" r:id="rId241"/>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5"/>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42"/>
          <w:footerReference w:type="default" r:id="rId2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2"/>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44"/>
          <w:footerReference w:type="default" r:id="rId2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36"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36"/>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20"/>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20"/>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20"/>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20"/>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20"/>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20"/>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t>
      </w:r>
      <w:r>
        <w:rPr>
          <w:rFonts w:ascii="Verdana" w:hAnsi="Verdana" w:eastAsia="Verdana" w:cs="ArialMTPro"/>
          <w:sz w:val="24"/>
          <w:szCs w:val="24"/>
        </w:rPr>
        <w:t xml:space="preserve">within 21 business days</w:t>
      </w:r>
      <w:r>
        <w:rPr>
          <w:rFonts w:ascii="Verdana" w:hAnsi="Verdana" w:eastAsia="Verdana" w:cs="ArialMTPro"/>
          <w:sz w:val="24"/>
          <w:szCs w:val="24"/>
        </w:rPr>
        <w:t xml:space="preserve"> </w:t>
      </w:r>
      <w:r>
        <w:rPr>
          <w:rFonts w:ascii="Verdana" w:hAnsi="Verdana" w:eastAsia="Verdana" w:cs="Times"/>
          <w:sz w:val="24"/>
          <w:szCs w:val="24"/>
        </w:rPr>
        <w:t xml:space="preserve">of </w:t>
      </w:r>
      <w:r>
        <w:rPr>
          <w:rFonts w:ascii="Verdana" w:hAnsi="Verdana" w:eastAsia="Verdana" w:cs="Times"/>
          <w:sz w:val="24"/>
          <w:szCs w:val="24"/>
        </w:rPr>
        <w:t xml:space="preserve">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774"/>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w:t>
      </w:r>
      <w:r>
        <w:rPr>
          <w:rFonts w:ascii="Verdana" w:hAnsi="Verdana" w:eastAsia="Verdana" w:cs="Times"/>
          <w:sz w:val="24"/>
          <w:szCs w:val="24"/>
        </w:rPr>
        <w:t xml:space="preserve">III.C.a</w:t>
      </w:r>
      <w:r>
        <w:rPr>
          <w:rFonts w:ascii="Verdana" w:hAnsi="Verdana" w:eastAsia="Verdana" w:cs="Times"/>
          <w:sz w:val="24"/>
          <w:szCs w:val="24"/>
        </w:rPr>
        <w:t xml:space="preserve">., prov</w:t>
      </w:r>
      <w:r>
        <w:rPr>
          <w:rFonts w:ascii="Verdana" w:hAnsi="Verdana" w:eastAsia="Verdana" w:cs="Times"/>
          <w:sz w:val="24"/>
          <w:szCs w:val="24"/>
        </w:rPr>
        <w:t xml:space="preserve">ided that:</w:t>
      </w:r>
    </w:p>
    <w:p>
      <w:pPr>
        <w:pStyle w:val="ListParagraph"/>
        <w:widowControl w:val="false"/>
        <w:numPr>
          <w:ilvl w:val="3"/>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pStyle w:val="ListParagraph"/>
        <w:widowControl w:val="false"/>
        <w:numPr>
          <w:ilvl w:val="2"/>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The facility may require a patient to pay the reasonable costs associated with copying the medical record, not to exceed $0.50 per page to copy the medical record and a preparation fee not exceed $15 and the actual costs of postage and shipping. </w:t>
      </w:r>
    </w:p>
    <w:p>
      <w:pPr>
        <w:widowControl w:val="false"/>
        <w:numPr>
          <w:ilvl w:val="0"/>
          <w:numId w:val="32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2"/>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2"/>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2"/>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w:t>
      </w:r>
      <w:r>
        <w:rPr>
          <w:rFonts w:ascii="Verdana" w:hAnsi="Verdana" w:eastAsia="Verdana" w:cs="ArialMTPro"/>
          <w:iCs/>
          <w:color w:val="000000"/>
          <w:sz w:val="24"/>
          <w:szCs w:val="24"/>
        </w:rPr>
        <w:t xml:space="preserve">resident’s</w:t>
      </w:r>
      <w:r>
        <w:rPr>
          <w:rFonts w:ascii="Verdana" w:hAnsi="Verdana" w:eastAsia="Verdana" w:cs="ArialMTPro"/>
          <w:iCs/>
          <w:color w:val="000000"/>
          <w:sz w:val="24"/>
          <w:szCs w:val="24"/>
        </w:rPr>
        <w:t xml:space="preserve">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1"/>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1"/>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1"/>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1"/>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4"/>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46"/>
          <w:footerReference w:type="default" r:id="rId24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and</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w:t>
      </w:r>
      <w:r>
        <w:rPr>
          <w:rFonts w:ascii="Verdana" w:hAnsi="Verdana" w:eastAsia="Verdana" w:cs="Times"/>
          <w:sz w:val="24"/>
          <w:szCs w:val="24"/>
        </w:rPr>
        <w:t xml:space="preserve">resident’s</w:t>
      </w:r>
      <w:r>
        <w:rPr>
          <w:rFonts w:ascii="Verdana" w:hAnsi="Verdana" w:eastAsia="Verdana" w:cs="Times"/>
          <w:sz w:val="24"/>
          <w:szCs w:val="24"/>
        </w:rPr>
        <w:t xml:space="preserve"> request for amendment and the denial with any future disclosures of the PHI that is the subject of the amendment; and</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2"/>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w:t>
      </w:r>
    </w:p>
    <w:p>
      <w:pPr>
        <w:pStyle w:val="ListParagraph"/>
        <w:numPr>
          <w:ilvl w:val="2"/>
          <w:numId w:val="462"/>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2"/>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2"/>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2"/>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2"/>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48"/>
          <w:footerReference w:type="default" r:id="rId24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21"/>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1"/>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1"/>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21"/>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50"/>
          <w:footerReference w:type="default" r:id="rId25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3"/>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“limited data use agreement,” used solely to disclose a subset of information for research, public health, or health care operations.</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i</w:t>
      </w:r>
      <w:r>
        <w:rPr>
          <w:rFonts w:ascii="Verdana" w:hAnsi="Verdana" w:eastAsia="Verdana" w:cs="ArialMTPro"/>
          <w:color w:val="000000"/>
          <w:szCs w:val="24"/>
        </w:rPr>
        <w:t xml:space="preserve">)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w:t>
      </w:r>
      <w:r>
        <w:rPr>
          <w:rFonts w:ascii="Verdana" w:hAnsi="Verdana" w:eastAsia="Verdana" w:cs="Times"/>
          <w:sz w:val="24"/>
          <w:szCs w:val="24"/>
        </w:rPr>
        <w:t xml:space="preserve">resident’s</w:t>
      </w:r>
      <w:r>
        <w:rPr>
          <w:rFonts w:ascii="Verdana" w:hAnsi="Verdana" w:eastAsia="Verdana" w:cs="Times"/>
          <w:sz w:val="24"/>
          <w:szCs w:val="24"/>
        </w:rPr>
        <w:t xml:space="preserve"> request for an accounting, no later than 60 days after receipt of such a request, as follows.</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and provides the resident with an opportunity to withdraw or modify the request for a subsequent accounting in order to avoid or reduce the fee.</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3"/>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3"/>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documentation as required by law</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3"/>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52"/>
          <w:footerReference w:type="default" r:id="rId25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54"/>
          <w:footerReference w:type="default" r:id="rId25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5"/>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5"/>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5"/>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5"/>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5"/>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56"/>
          <w:footerReference w:type="first" r:id="rId257"/>
          <w:headerReference w:type="even" r:id="rId258"/>
          <w:footerReference w:type="even" r:id="rId259"/>
          <w:headerReference w:type="default" r:id="rId260"/>
          <w:footerReference w:type="default" r:id="rId261"/>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5"/>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62"/>
          <w:footerReference w:type="default" r:id="rId263"/>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resident’s</w:t>
      </w:r>
      <w:r>
        <w:rPr>
          <w:rFonts w:ascii="Verdana" w:hAnsi="Verdana" w:eastAsia="Verdana" w:cs="Times"/>
          <w:szCs w:val="24"/>
        </w:rPr>
        <w:t xml:space="preserve">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64"/>
          <w:footerReference w:type="default" r:id="rId26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4"/>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4"/>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66"/>
          <w:footerReference w:type="first" r:id="rId267"/>
          <w:headerReference w:type="even" r:id="rId268"/>
          <w:footerReference w:type="even" r:id="rId269"/>
          <w:headerReference w:type="default" r:id="rId270"/>
          <w:footerReference w:type="default" r:id="rId27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5"/>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37" w:name="c_1_i"/>
      <w:bookmarkEnd w:id="37"/>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38" w:name="c_1_ii"/>
      <w:bookmarkEnd w:id="3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39" w:name="c_1_iii"/>
      <w:bookmarkEnd w:id="3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40" w:name="c_1_iv"/>
      <w:bookmarkEnd w:id="4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1" w:name="c_1_v"/>
      <w:bookmarkEnd w:id="41"/>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2" w:name="c_1_vi"/>
      <w:bookmarkEnd w:id="42"/>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3" w:name="i"/>
      <w:bookmarkEnd w:id="43"/>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4" w:name="i_2_vi_B"/>
      <w:bookmarkStart w:id="45" w:name="i_2_ii"/>
      <w:bookmarkEnd w:id="44"/>
      <w:bookmarkEnd w:id="45"/>
      <w:r>
        <w:rPr>
          <w:rFonts w:ascii="Verdana" w:hAnsi="Verdana" w:eastAsia="Verdana" w:cs="Lucida Sans Unicode"/>
          <w:color w:val="000000"/>
          <w:sz w:val="24"/>
          <w:szCs w:val="24"/>
        </w:rPr>
        <w:t xml:space="preserve">,</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46" w:name="i_2_iii"/>
      <w:bookmarkEnd w:id="46"/>
      <w:r>
        <w:rPr>
          <w:rFonts w:ascii="Verdana" w:hAnsi="Verdana" w:eastAsia="Verdana" w:cs="Lucida Sans Unicode"/>
          <w:color w:val="000000"/>
          <w:sz w:val="24"/>
          <w:szCs w:val="24"/>
        </w:rPr>
        <w:t xml:space="preserve">,</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47" w:name="b_2_i"/>
      <w:bookmarkEnd w:id="47"/>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w:t>
      </w:r>
      <w:r>
        <w:rPr>
          <w:rFonts w:ascii="Verdana" w:hAnsi="Verdana" w:eastAsia="Verdana" w:cs="ArialMTPro"/>
          <w:color w:val="000000"/>
          <w:szCs w:val="24"/>
        </w:rPr>
        <w:t xml:space="preserve">i</w:t>
      </w:r>
      <w:r>
        <w:rPr>
          <w:rFonts w:ascii="Verdana" w:hAnsi="Verdana" w:eastAsia="Verdana" w:cs="ArialMTPro"/>
          <w:color w:val="000000"/>
          <w:szCs w:val="24"/>
        </w:rPr>
        <w:t xml:space="preserve">)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2"/>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2"/>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2"/>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72"/>
          <w:footerReference w:type="first" r:id="rId273"/>
          <w:headerReference w:type="even" r:id="rId274"/>
          <w:footerReference w:type="even" r:id="rId275"/>
          <w:headerReference w:type="default" r:id="rId276"/>
          <w:footerReference w:type="default" r:id="rId27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3"/>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3"/>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3"/>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3"/>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3"/>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3"/>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3"/>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Address_______________________________________________</w:t>
      </w:r>
    </w:p>
    <w:p>
      <w:pPr>
        <w:numPr>
          <w:ilvl w:val="0"/>
          <w:numId w:val="463"/>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widowControl w:val="false"/>
        <w:numPr>
          <w:ilvl w:val="0"/>
          <w:numId w:val="463"/>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78"/>
          <w:footerReference w:type="default" r:id="rId279"/>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5"/>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5"/>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5"/>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5"/>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5"/>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5"/>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5"/>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5"/>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5"/>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5"/>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5"/>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5"/>
        </w:numPr>
        <w:spacing/>
        <w:contextualSpacing/>
        <w:jc w:val="both"/>
        <w:rPr>
          <w:rFonts w:ascii="Verdana" w:hAnsi="Verdana" w:eastAsia="Verdana"/>
          <w:sz w:val="24"/>
          <w:szCs w:val="24"/>
        </w:rPr>
        <w:sectPr>
          <w:headerReference w:type="first" r:id="rId280"/>
          <w:footerReference w:type="first" r:id="rId281"/>
          <w:headerReference w:type="even" r:id="rId282"/>
          <w:footerReference w:type="even" r:id="rId283"/>
          <w:headerReference w:type="default" r:id="rId284"/>
          <w:footerReference w:type="default" r:id="rId28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86"/>
          <w:footerReference w:type="default" r:id="rId28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w:t>
      </w:r>
      <w:r>
        <w:rPr>
          <w:rFonts w:ascii="Verdana" w:hAnsi="Verdana" w:eastAsia="Verdana" w:cs="ArialMTPro"/>
          <w:color w:val="000000"/>
          <w:szCs w:val="24"/>
        </w:rPr>
        <w:t xml:space="preserve">Opt</w:t>
      </w:r>
      <w:r>
        <w:rPr>
          <w:rFonts w:ascii="Verdana" w:hAnsi="Verdana" w:eastAsia="Verdana" w:cs="ArialMTPro"/>
          <w:color w:val="000000"/>
          <w:szCs w:val="24"/>
        </w:rPr>
        <w:t xml:space="preserve">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6"/>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8"/>
          <w:footerReference w:type="default" r:id="rId28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personal representative.</w:t>
      </w:r>
    </w:p>
    <w:p>
      <w:pPr>
        <w:pStyle w:val="ListParagraph"/>
        <w:widowControl w:val="false"/>
        <w:numPr>
          <w:ilvl w:val="0"/>
          <w:numId w:val="1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90"/>
          <w:footerReference w:type="default" r:id="rId29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22"/>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22"/>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2"/>
          <w:footerReference w:type="default" r:id="rId29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waiver criteria set forth in HIPAA are satisfied by the IRB or Privacy Board and documented.</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9"/>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9"/>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9"/>
        </w:numPr>
        <w:spacing w:after="0" w:line="240" w:lineRule="auto"/>
        <w:contextualSpacing/>
        <w:jc w:val="both"/>
        <w:rPr>
          <w:rFonts w:ascii="Verdana" w:hAnsi="Verdana" w:eastAsia="Verdana"/>
          <w:color w:val="252525"/>
          <w:sz w:val="24"/>
          <w:szCs w:val="24"/>
        </w:rPr>
        <w:sectPr>
          <w:headerReference w:type="default" r:id="rId294"/>
          <w:footerReference w:type="default" r:id="rId29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w:t>
      </w:r>
      <w:r>
        <w:rPr>
          <w:rFonts w:ascii="Verdana" w:hAnsi="Verdana" w:eastAsia="Verdana" w:cs="Times"/>
          <w:bCs/>
          <w:szCs w:val="24"/>
        </w:rPr>
        <w:t xml:space="preserve">resident</w:t>
      </w:r>
      <w:r>
        <w:rPr>
          <w:rFonts w:ascii="Verdana" w:hAnsi="Verdana" w:eastAsia="Verdana" w:cs="Times"/>
          <w:bCs/>
          <w:szCs w:val="24"/>
        </w:rPr>
        <w:t xml:space="preserve">’</w:t>
      </w:r>
      <w:r>
        <w:rPr>
          <w:rFonts w:ascii="Verdana" w:hAnsi="Verdana" w:eastAsia="Verdana" w:cs="Times"/>
          <w:bCs/>
          <w:szCs w:val="24"/>
        </w:rPr>
        <w:t xml:space="preserve">s</w:t>
      </w:r>
      <w:r>
        <w:rPr>
          <w:rFonts w:ascii="Verdana" w:hAnsi="Verdana" w:eastAsia="Verdana" w:cs="Times"/>
          <w:bCs/>
          <w:szCs w:val="24"/>
        </w:rPr>
        <w:t xml:space="preserve"> health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w:t>
      </w:r>
    </w:p>
    <w:p>
      <w:pPr>
        <w:widowControl w:val="false"/>
        <w:numPr>
          <w:ilvl w:val="1"/>
          <w:numId w:val="22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1"/>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professional judgment, from the circumstances that the resident does not object.</w:t>
      </w:r>
    </w:p>
    <w:p>
      <w:pPr>
        <w:pStyle w:val="ListParagraph"/>
        <w:widowControl w:val="false"/>
        <w:numPr>
          <w:ilvl w:val="0"/>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1"/>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296"/>
          <w:footerReference w:type="default" r:id="rId29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8"/>
          <w:footerReference w:type="default" r:id="rId29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3"/>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health care operations and only if the Facility enters into a Data Use Agreement with the recipient of the limited data set. </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3"/>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that apply to the limited data set recipient with respect to such information; and</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300"/>
          <w:footerReference w:type="first" r:id="rId301"/>
          <w:headerReference w:type="even" r:id="rId302"/>
          <w:footerReference w:type="even" r:id="rId303"/>
          <w:headerReference w:type="default" r:id="rId304"/>
          <w:footerReference w:type="default" r:id="rId305"/>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23"/>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23"/>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8"/>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8"/>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8"/>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23"/>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23"/>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23"/>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23"/>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23"/>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23"/>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23"/>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23"/>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23"/>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23"/>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6"/>
          <w:footerReference w:type="default" r:id="rId307"/>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50"/>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50"/>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5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8"/>
          <w:footerReference w:type="default" r:id="rId30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4"/>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4"/>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0"/>
          <w:footerReference w:type="default" r:id="rId31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1"/>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2"/>
          <w:footerReference w:type="default" r:id="rId31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4"/>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2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six (6) years</w:t>
      </w:r>
      <w:r>
        <w:rPr/>
        <w:t xml:space="preserve"> </w:t>
      </w:r>
      <w:r>
        <w:rPr>
          <w:rFonts w:ascii="Verdana" w:hAnsi="Verdana" w:eastAsia="Verdana" w:cs="ArialMTPro"/>
          <w:color w:val="000000"/>
          <w:szCs w:val="24"/>
        </w:rPr>
        <w:t xml:space="preserve">from 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4"/>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4"/>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4"/>
          <w:footerReference w:type="default" r:id="rId31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16"/>
          <w:footerReference w:type="default" r:id="rId31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18"/>
          <w:footerReference w:type="default" r:id="rId31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6"/>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6"/>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6"/>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6"/>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6"/>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20"/>
          <w:footerReference w:type="default" r:id="rId32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22"/>
          <w:footerReference w:type="default" r:id="rId32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w:t>
      </w:r>
      <w:r>
        <w:rPr>
          <w:rFonts w:ascii="Verdana" w:hAnsi="Verdana" w:eastAsia="Verdana"/>
          <w:sz w:val="24"/>
          <w:szCs w:val="24"/>
        </w:rPr>
        <w:t xml:space="preserve">MySpace</w:t>
      </w:r>
      <w:r>
        <w:rPr>
          <w:rFonts w:ascii="Verdana" w:hAnsi="Verdana" w:eastAsia="Verdana"/>
          <w:sz w:val="24"/>
          <w:szCs w:val="24"/>
        </w:rPr>
        <w:t xml:space="preserve">, Twitter), etc.</w:t>
      </w:r>
    </w:p>
    <w:p>
      <w:pPr>
        <w:pStyle w:val="ListParagraph"/>
        <w:numPr>
          <w:ilvl w:val="0"/>
          <w:numId w:val="59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7"/>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24"/>
          <w:footerReference w:type="default" r:id="rId325"/>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26"/>
          <w:footerReference w:type="default" r:id="rId32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8"/>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8"/>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enforcement and the state survey agency, if appropriate. See CCG 00304 for the Facility’s Elder Justice Act Policy and Procedure.</w:t>
      </w:r>
    </w:p>
    <w:p>
      <w:pPr>
        <w:pStyle w:val="ListParagraph"/>
        <w:numPr>
          <w:ilvl w:val="0"/>
          <w:numId w:val="48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28"/>
          <w:footerReference w:type="default" r:id="rId32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30"/>
          <w:footerReference w:type="default" r:id="rId331"/>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3"/>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3"/>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3"/>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3"/>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3"/>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32"/>
          <w:footerReference w:type="default" r:id="rId333"/>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w:t>
      </w:r>
      <w:r>
        <w:rPr>
          <w:sz w:val="24"/>
          <w:szCs w:val="24"/>
        </w:rPr>
        <w:t xml:space="preserve">Bedhold</w:t>
      </w:r>
      <w:r>
        <w:rPr>
          <w:sz w:val="24"/>
          <w:szCs w:val="24"/>
        </w:rPr>
        <w:t xml:space="preserve">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kinsoku w:val="false"/>
        <w:overflowPunct w:val="false"/>
        <w:spacing w:before="6"/>
        <w:jc w:val="center"/>
        <w:rPr>
          <w:rFonts w:ascii="Verdana" w:hAnsi="Verdana" w:eastAsia="Verdana" w:cs="Verdana"/>
          <w:b/>
          <w:bCs/>
          <w:smallCaps/>
          <w:sz w:val="28"/>
          <w:szCs w:val="28"/>
        </w:rPr>
        <w:sectPr>
          <w:headerReference w:type="first" r:id="rId334"/>
          <w:footerReference w:type="first" r:id="rId335"/>
          <w:headerReference w:type="even" r:id="rId336"/>
          <w:footerReference w:type="even" r:id="rId337"/>
          <w:headerReference w:type="default" r:id="rId338"/>
          <w:footerReference w:type="default" r:id="rId339"/>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demonstrates that catheterization is necessary;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5"/>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accurate acquiring, receiving, dispensing, and administering of all drugs and biologicals, to meet the needs of each resident; </w:t>
      </w:r>
    </w:p>
    <w:p>
      <w:pPr>
        <w:pStyle w:val="BodyText"/>
        <w:widowControl w:val="false"/>
        <w:numPr>
          <w:ilvl w:val="0"/>
          <w:numId w:val="585"/>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5"/>
        </w:numPr>
        <w:tabs>
          <w:tab w:val="left" w:pos="820"/>
        </w:tabs>
        <w:kinsoku w:val="false"/>
        <w:spacing w:before="11" w:line="248" w:lineRule="exact"/>
        <w:rPr>
          <w:rFonts w:ascii="Verdana" w:hAnsi="Verdana" w:eastAsia="Verdana"/>
          <w:sz w:val="24"/>
          <w:szCs w:val="24"/>
        </w:rPr>
        <w:sectPr>
          <w:footerReference w:type="default" r:id="rId340"/>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frequency for such development, monitoring and evaluation.</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shall designate a specific employee to coordinate and manage the Facility’s QAPI program. The designated individual is: __________________.</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assurance committee consisting of a minimum</w:t>
      </w:r>
    </w:p>
    <w:p>
      <w:pPr>
        <w:widowControl w:val="false"/>
        <w:kinsoku w:val="false"/>
        <w:overflowPunct w:val="false"/>
        <w:autoSpaceDE w:val="false"/>
        <w:autoSpaceDN w:val="false"/>
        <w:adjustRightInd w:val="false"/>
        <w:spacing w:after="0" w:line="240" w:lineRule="auto"/>
        <w:ind w:left="1080"/>
        <w:rPr>
          <w:rFonts w:ascii="Verdana" w:hAnsi="Verdana" w:eastAsiaTheme="minorEastAsia" w:cs="Garamond"/>
          <w:szCs w:val="24"/>
        </w:rPr>
      </w:pPr>
      <w:r>
        <w:rPr>
          <w:rFonts w:ascii="Verdana" w:hAnsi="Verdana" w:eastAsiaTheme="minorEastAsia" w:cs="Garamond"/>
          <w:szCs w:val="24"/>
        </w:rPr>
        <w:t xml:space="preserve">State Guidelines</w:t>
      </w:r>
    </w:p>
    <w:p>
      <w:pPr>
        <w:pStyle w:val="ListParagraph"/>
        <w:widowControl w:val="false"/>
        <w:numPr>
          <w:ilvl w:val="0"/>
          <w:numId w:val="372"/>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The administrator;</w:t>
      </w:r>
    </w:p>
    <w:p>
      <w:pPr>
        <w:pStyle w:val="ListParagraph"/>
        <w:widowControl w:val="false"/>
        <w:numPr>
          <w:ilvl w:val="0"/>
          <w:numId w:val="372"/>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w:t>
      </w:r>
    </w:p>
    <w:p>
      <w:pPr>
        <w:pStyle w:val="ListParagraph"/>
        <w:widowControl w:val="false"/>
        <w:numPr>
          <w:ilvl w:val="0"/>
          <w:numId w:val="372"/>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w:t>
      </w:r>
    </w:p>
    <w:p>
      <w:pPr>
        <w:pStyle w:val="ListParagraph"/>
        <w:widowControl w:val="false"/>
        <w:numPr>
          <w:ilvl w:val="0"/>
          <w:numId w:val="372"/>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A social worker;</w:t>
      </w:r>
    </w:p>
    <w:p>
      <w:pPr>
        <w:pStyle w:val="ListParagraph"/>
        <w:widowControl w:val="false"/>
        <w:numPr>
          <w:ilvl w:val="0"/>
          <w:numId w:val="372"/>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A licensed dietitian; </w:t>
      </w:r>
    </w:p>
    <w:p>
      <w:pPr>
        <w:pStyle w:val="ListParagraph"/>
        <w:widowControl w:val="false"/>
        <w:numPr>
          <w:ilvl w:val="0"/>
          <w:numId w:val="372"/>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A geriatric nursing assistant; and </w:t>
      </w:r>
    </w:p>
    <w:p>
      <w:pPr>
        <w:pStyle w:val="ListParagraph"/>
        <w:numPr>
          <w:ilvl w:val="0"/>
          <w:numId w:val="372"/>
        </w:numPr>
        <w:spacing/>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431"/>
        </w:numPr>
        <w:kinsoku w:val="false"/>
        <w:overflowPunct w:val="false"/>
        <w:autoSpaceDE w:val="false"/>
        <w:autoSpaceDN w:val="false"/>
        <w:adjustRightInd w:val="false"/>
        <w:spacing w:after="0" w:line="240" w:lineRule="auto"/>
        <w:contextualSpacing/>
        <w:jc w:val="both"/>
        <w:rPr>
          <w:rFonts w:ascii="Verdana" w:hAnsi="Verdana" w:eastAsiaTheme="minorEastAsia" w:cs="Garamond"/>
          <w:sz w:val="24"/>
          <w:szCs w:val="24"/>
        </w:rPr>
      </w:pPr>
      <w:r>
        <w:rPr>
          <w:rFonts w:ascii="Verdana" w:hAnsi="Verdana" w:eastAsiaTheme="minorEastAsia" w:cs="Garamond"/>
          <w:color w:val="FF0000"/>
          <w:sz w:val="24"/>
          <w:szCs w:val="24"/>
        </w:rPr>
        <w:t xml:space="preserve"> </w:t>
      </w:r>
      <w:r>
        <w:rPr>
          <w:rFonts w:ascii="Verdana" w:hAnsi="Verdana" w:eastAsiaTheme="minorEastAsia" w:cs="Garamond"/>
          <w:sz w:val="24"/>
          <w:szCs w:val="24"/>
        </w:rPr>
        <w:t xml:space="preserve">The Committee shall:</w:t>
      </w:r>
    </w:p>
    <w:p>
      <w:pPr>
        <w:pStyle w:val="ListParagraph"/>
        <w:widowControl w:val="false"/>
        <w:numPr>
          <w:ilvl w:val="0"/>
          <w:numId w:val="548"/>
        </w:numPr>
        <w:kinsoku w:val="false"/>
        <w:overflowPunct w:val="false"/>
        <w:autoSpaceDE w:val="false"/>
        <w:autoSpaceDN w:val="false"/>
        <w:adjustRightInd w:val="false"/>
        <w:spacing w:after="0" w:line="240" w:lineRule="auto"/>
        <w:ind w:left="216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Meet at least monthly;</w:t>
      </w:r>
    </w:p>
    <w:p>
      <w:pPr>
        <w:pStyle w:val="ListParagraph"/>
        <w:widowControl w:val="false"/>
        <w:numPr>
          <w:ilvl w:val="2"/>
          <w:numId w:val="257"/>
        </w:numPr>
        <w:kinsoku w:val="false"/>
        <w:overflowPunct w:val="false"/>
        <w:autoSpaceDE w:val="false"/>
        <w:autoSpaceDN w:val="false"/>
        <w:adjustRightInd w:val="false"/>
        <w:spacing w:after="0" w:line="240" w:lineRule="auto"/>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Review and approve annually the quality assurance plan for the Facility.</w:t>
      </w:r>
    </w:p>
    <w:p>
      <w:pPr>
        <w:pStyle w:val="ListParagraph"/>
        <w:widowControl w:val="false"/>
        <w:numPr>
          <w:ilvl w:val="2"/>
          <w:numId w:val="257"/>
        </w:numPr>
        <w:kinsoku w:val="false"/>
        <w:overflowPunct w:val="false"/>
        <w:autoSpaceDE w:val="false"/>
        <w:autoSpaceDN w:val="false"/>
        <w:adjustRightInd w:val="false"/>
        <w:spacing w:after="0" w:line="240" w:lineRule="auto"/>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Maintain records of all quality assurance activities;</w:t>
      </w:r>
    </w:p>
    <w:p>
      <w:pPr>
        <w:pStyle w:val="ListParagraph"/>
        <w:widowControl w:val="false"/>
        <w:numPr>
          <w:ilvl w:val="2"/>
          <w:numId w:val="257"/>
        </w:numPr>
        <w:kinsoku w:val="false"/>
        <w:overflowPunct w:val="false"/>
        <w:autoSpaceDE w:val="false"/>
        <w:autoSpaceDN w:val="false"/>
        <w:adjustRightInd w:val="false"/>
        <w:spacing w:after="0" w:line="240" w:lineRule="auto"/>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Keep records of committee meetings that shall be available to the Department of Health during any on-site visit; and</w:t>
      </w:r>
    </w:p>
    <w:p>
      <w:pPr>
        <w:pStyle w:val="ListParagraph"/>
        <w:widowControl w:val="false"/>
        <w:numPr>
          <w:ilvl w:val="2"/>
          <w:numId w:val="257"/>
        </w:numPr>
        <w:kinsoku w:val="false"/>
        <w:overflowPunct w:val="false"/>
        <w:autoSpaceDE w:val="false"/>
        <w:autoSpaceDN w:val="false"/>
        <w:adjustRightInd w:val="false"/>
        <w:spacing w:after="0" w:line="240" w:lineRule="auto"/>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Prepare monthly reports that shall be presented to the ombudsman, the residents’ council, and the family council.</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431"/>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w:t>
      </w:r>
      <w:r>
        <w:rPr>
          <w:rFonts w:ascii="Verdana" w:hAnsi="Verdana" w:eastAsiaTheme="minorEastAsia" w:cs="Garamond"/>
          <w:sz w:val="24"/>
          <w:szCs w:val="24"/>
        </w:rPr>
        <w:t xml:space="preserve">improvements.</w:t>
      </w:r>
    </w:p>
    <w:p>
      <w:pPr>
        <w:pStyle w:val="ListParagraph"/>
        <w:widowControl w:val="false"/>
        <w:numPr>
          <w:ilvl w:val="1"/>
          <w:numId w:val="431"/>
        </w:numPr>
        <w:kinsoku w:val="false"/>
        <w:overflowPunct w:val="false"/>
        <w:autoSpaceDE w:val="false"/>
        <w:autoSpaceDN w:val="false"/>
        <w:adjustRightInd w:val="false"/>
        <w:spacing w:after="0" w:line="240" w:lineRule="auto"/>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The Committee shall establish a written quality assurance plan (“plan”) that:</w:t>
      </w:r>
    </w:p>
    <w:p>
      <w:pPr>
        <w:pStyle w:val="ListParagraph"/>
        <w:widowControl w:val="false"/>
        <w:numPr>
          <w:ilvl w:val="0"/>
          <w:numId w:val="412"/>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Includes procedures for concurrent review for all residents;</w:t>
      </w:r>
    </w:p>
    <w:p>
      <w:pPr>
        <w:pStyle w:val="ListParagraph"/>
        <w:widowControl w:val="false"/>
        <w:numPr>
          <w:ilvl w:val="0"/>
          <w:numId w:val="412"/>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Provides criteria that routinely monitors nursing care including medication administration, prevention of decubitus ulcers, dehydration and malnutrition, nutritional status and weight loss or gain, accidents and injuries, unexpected deaths, changes in mental or psychological status, and any other data necessary to monitor quality of care;</w:t>
      </w:r>
    </w:p>
    <w:p>
      <w:pPr>
        <w:pStyle w:val="ListParagraph"/>
        <w:widowControl w:val="false"/>
        <w:numPr>
          <w:ilvl w:val="0"/>
          <w:numId w:val="412"/>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Includes methods to identify and correct problems; and</w:t>
      </w:r>
    </w:p>
    <w:p>
      <w:pPr>
        <w:pStyle w:val="ListParagraph"/>
        <w:widowControl w:val="false"/>
        <w:numPr>
          <w:ilvl w:val="0"/>
          <w:numId w:val="412"/>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Is readily available to residents and their families, guardians, or surrogate decision makers.</w:t>
      </w:r>
    </w:p>
    <w:p>
      <w:pPr>
        <w:pStyle w:val="ListParagraph"/>
        <w:widowControl w:val="false"/>
        <w:numPr>
          <w:ilvl w:val="1"/>
          <w:numId w:val="431"/>
        </w:numPr>
        <w:kinsoku w:val="false"/>
        <w:overflowPunct w:val="false"/>
        <w:autoSpaceDE w:val="false"/>
        <w:autoSpaceDN w:val="false"/>
        <w:adjustRightInd w:val="false"/>
        <w:spacing w:after="0" w:line="240" w:lineRule="auto"/>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The plan shall be submitted to the Department of Health every 2 years.</w:t>
      </w:r>
    </w:p>
    <w:p>
      <w:pPr>
        <w:pStyle w:val="ListParagraph"/>
        <w:widowControl w:val="false"/>
        <w:numPr>
          <w:ilvl w:val="1"/>
          <w:numId w:val="431"/>
        </w:numPr>
        <w:kinsoku w:val="false"/>
        <w:overflowPunct w:val="false"/>
        <w:autoSpaceDE w:val="false"/>
        <w:autoSpaceDN w:val="false"/>
        <w:adjustRightInd w:val="false"/>
        <w:spacing w:after="0" w:line="240" w:lineRule="auto"/>
        <w:contextualSpacing/>
        <w:jc w:val="both"/>
        <w:rPr>
          <w:rFonts w:ascii="Verdana" w:hAnsi="Verdana" w:eastAsiaTheme="minorEastAsia" w:cs="Garamond"/>
          <w:sz w:val="24"/>
          <w:szCs w:val="24"/>
        </w:rPr>
        <w:sectPr>
          <w:headerReference w:type="default" r:id="rId341"/>
          <w:footerReference w:type="default" r:id="rId342"/>
          <w:type w:val="nextPage"/>
          <w:pgSz w:w="12240" w:h="15840"/>
          <w:pgMar w:top="1440" w:right="1440" w:bottom="1440" w:left="1440" w:header="720" w:footer="720" w:gutter="0"/>
          <w:pgBorders/>
          <w:pgNumType w:fmt="decimal" w:start="1"/>
          <w:cols w:num="1" w:equalWidth="1" w:space="720"/>
        </w:sectPr>
      </w:pPr>
      <w:r>
        <w:rPr>
          <w:rFonts w:ascii="Verdana" w:hAnsi="Verdana" w:eastAsiaTheme="minorEastAsia" w:cs="Garamond"/>
          <w:sz w:val="24"/>
          <w:szCs w:val="24"/>
        </w:rPr>
        <w:t xml:space="preserve">The administrator shall take appropriate remedial actions based on the recommendations of the Facility’s Committee.</w:t>
      </w: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1"/>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1"/>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1"/>
        </w:numPr>
        <w:spacing/>
        <w:ind w:left="720"/>
        <w:contextualSpacing/>
        <w:jc w:val="both"/>
        <w:rPr>
          <w:rFonts w:ascii="Verdana" w:hAnsi="Verdana" w:eastAsia="Verdana"/>
        </w:rPr>
        <w:sectPr>
          <w:headerReference w:type="default" r:id="rId343"/>
          <w:footerReference w:type="default" r:id="rId34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45"/>
          <w:footerReference w:type="default" r:id="rId34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9"/>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9"/>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9"/>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9"/>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9"/>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9"/>
        </w:numPr>
        <w:spacing/>
        <w:ind w:left="720"/>
        <w:jc w:val="both"/>
        <w:rPr>
          <w:rFonts w:ascii="Verdana" w:hAnsi="Verdana" w:eastAsia="Verdana"/>
        </w:rPr>
        <w:sectPr>
          <w:headerReference w:type="default" r:id="rId347"/>
          <w:footerReference w:type="default" r:id="rId34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49"/>
          <w:footerReference w:type="first" r:id="rId350"/>
          <w:headerReference w:type="even" r:id="rId351"/>
          <w:footerReference w:type="even" r:id="rId352"/>
          <w:headerReference w:type="default" r:id="rId353"/>
          <w:footerReference w:type="default" r:id="rId35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80"/>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80"/>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80"/>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80"/>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80"/>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management or supervisory staff will commence a formal investigation of the grievance as soon as is practicable. </w:t>
      </w:r>
    </w:p>
    <w:p>
      <w:pPr>
        <w:pStyle w:val="ListParagraph"/>
        <w:numPr>
          <w:ilvl w:val="0"/>
          <w:numId w:val="380"/>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80"/>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80"/>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80"/>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80"/>
        </w:numPr>
        <w:spacing/>
        <w:contextualSpacing/>
        <w:jc w:val="both"/>
        <w:rPr>
          <w:rFonts w:ascii="Verdana" w:hAnsi="Verdana" w:eastAsia="Verdana"/>
          <w:color w:val="FF0000"/>
          <w:sz w:val="24"/>
          <w:szCs w:val="24"/>
        </w:rPr>
        <w:sectPr>
          <w:headerReference w:type="default" r:id="rId355"/>
          <w:footerReference w:type="default" r:id="rId356"/>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7"/>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9"/>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9"/>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57"/>
          <w:footerReference w:type="default" r:id="rId35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71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tabs>
          <w:tab w:val="left" w:pos="2490"/>
        </w:tabs>
        <w:autoSpaceDE w:val="false"/>
        <w:autoSpaceDN w:val="false"/>
        <w:spacing w:after="0"/>
        <w:ind w:left="100" w:right="819"/>
        <w:rPr>
          <w:rFonts w:ascii="Verdana" w:hAnsi="Verdana" w:eastAsia="Verdana" w:cs="Verdana"/>
          <w:sz w:val="27"/>
          <w:lang w:bidi="ar-SA"/>
        </w:rPr>
      </w:pPr>
      <w:r>
        <w:rPr>
          <w:rFonts w:ascii="Verdana" w:hAnsi="Verdana" w:eastAsia="Verdana" w:cs="Verdana"/>
          <w:sz w:val="27"/>
          <w:lang w:bidi="ar-SA"/>
        </w:rPr>
        <w:tab/>
        <w:t xml:space="preserve"/>
      </w: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tabs>
          <w:tab w:val="left" w:pos="3045"/>
        </w:tabs>
        <w:spacing/>
        <w:rPr>
          <w:rFonts w:ascii="Verdana" w:hAnsi="Verdana" w:eastAsia="Verdana" w:cs="Verdana"/>
          <w:sz w:val="27"/>
          <w:szCs w:val="24"/>
          <w:lang w:bidi="ar-SA"/>
        </w:rPr>
      </w:pP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9"/>
          <w:footerReference w:type="default" r:id="rId360"/>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7"/>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7"/>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7"/>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7"/>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70"/>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70"/>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70"/>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70"/>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70"/>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61"/>
          <w:footerReference w:type="default" r:id="rId362"/>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6"/>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6"/>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27"/>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27"/>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w:t>
      </w:r>
      <w:r>
        <w:rPr>
          <w:rFonts w:ascii="Verdana" w:hAnsi="Verdana" w:eastAsia="Verdana"/>
        </w:rPr>
        <w:t xml:space="preserve">of $77 in </w:t>
      </w:r>
      <w:r>
        <w:rPr>
          <w:rFonts w:ascii="Verdana" w:hAnsi="Verdana" w:eastAsia="Verdana"/>
        </w:rPr>
        <w:t xml:space="preserve">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w:t>
      </w:r>
      <w:r>
        <w:rPr>
          <w:rFonts w:ascii="Verdana" w:hAnsi="Verdana" w:eastAsia="Verdana"/>
        </w:rPr>
        <w:t xml:space="preserve">exceed $77 in </w:t>
      </w:r>
      <w:r>
        <w:rPr>
          <w:rFonts w:ascii="Verdana" w:hAnsi="Verdana" w:eastAsia="Verdana"/>
        </w:rPr>
        <w:t xml:space="preserve">a non-interest bearing account, interest-bearing account, or petty cash fund.</w:t>
      </w:r>
    </w:p>
    <w:p>
      <w:pPr>
        <w:pStyle w:val="psection-3"/>
        <w:numPr>
          <w:ilvl w:val="0"/>
          <w:numId w:val="827"/>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6"/>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1"/>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1"/>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1"/>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1"/>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6"/>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balance for every resident. For each transaction, the resident shall be given a receipt and the Facility shall retain a copy.</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6"/>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29"/>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29"/>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29"/>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6"/>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30"/>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6"/>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31"/>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31"/>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31"/>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31"/>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6"/>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32"/>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32"/>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32"/>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32"/>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32"/>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32"/>
        </w:numPr>
        <w:shd w:val="clear" w:color="auto" w:fill="FFFFFF"/>
        <w:spacing w:before="0" w:beforeAutospacing="0" w:after="150" w:afterAutospacing="0"/>
        <w:jc w:val="both"/>
        <w:rPr>
          <w:rFonts w:ascii="Verdana" w:hAnsi="Verdana" w:eastAsia="Verdana"/>
        </w:rPr>
        <w:sectPr>
          <w:headerReference w:type="default" r:id="rId363"/>
          <w:footerReference w:type="default" r:id="rId364"/>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6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5"/>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is to locate, isolate, and neutralize the shooter as quickly as possible to prevent additional deaths or injuries.</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6"/>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6"/>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6"/>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6"/>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6"/>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6"/>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6"/>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6"/>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1"/>
        </w:numPr>
        <w:spacing w:after="160" w:line="259" w:lineRule="auto"/>
        <w:ind w:left="720"/>
        <w:contextualSpacing/>
        <w:jc w:val="both"/>
        <w:rPr>
          <w:rFonts w:ascii="Verdana" w:hAnsi="Verdana" w:eastAsia="Verdana"/>
          <w:sz w:val="24"/>
          <w:szCs w:val="24"/>
        </w:rPr>
        <w:sectPr>
          <w:headerReference w:type="default" r:id="rId365"/>
          <w:footerReference w:type="default" r:id="rId366"/>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788"/>
        </w:numPr>
        <w:spacing/>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788"/>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788"/>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be actively supervised by a staff member while in the designated smoking area.  </w:t>
      </w:r>
    </w:p>
    <w:p>
      <w:pPr>
        <w:pStyle w:val="ListParagraph"/>
        <w:numPr>
          <w:ilvl w:val="1"/>
          <w:numId w:val="788"/>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788"/>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788"/>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788"/>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788"/>
        </w:numPr>
        <w:spacing/>
        <w:contextualSpacing/>
        <w:jc w:val="both"/>
        <w:rPr>
          <w:rFonts w:ascii="Verdana" w:hAnsi="Verdana" w:eastAsia="Verdana"/>
          <w:sz w:val="24"/>
          <w:szCs w:val="24"/>
        </w:rPr>
      </w:pPr>
      <w:r>
        <w:rPr>
          <w:rFonts w:ascii="Verdana" w:hAnsi="Verdana" w:eastAsia="Verdana"/>
          <w:sz w:val="24"/>
          <w:szCs w:val="24"/>
        </w:rPr>
        <w:t xml:space="preserve">Designated areas must be public spaces </w:t>
      </w:r>
      <w:r>
        <w:rPr>
          <w:rFonts w:ascii="Verdana" w:hAnsi="Verdana" w:eastAsia="Verdana"/>
          <w:szCs w:val="24"/>
        </w:rPr>
        <w:t xml:space="preserve">and may not include bedrooms.</w:t>
      </w:r>
    </w:p>
    <w:p>
      <w:pPr>
        <w:pStyle w:val="ListParagraph"/>
        <w:numPr>
          <w:ilvl w:val="1"/>
          <w:numId w:val="788"/>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788"/>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788"/>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788"/>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788"/>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788"/>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788"/>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788"/>
        </w:numPr>
        <w:spacing/>
        <w:contextualSpacing/>
        <w:jc w:val="both"/>
        <w:rPr>
          <w:rFonts w:ascii="Verdana" w:hAnsi="Verdana" w:eastAsia="Verdana"/>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pStyle w:val="ListParagraph"/>
        <w:numPr>
          <w:ilvl w:val="0"/>
          <w:numId w:val="788"/>
        </w:numPr>
        <w:spacing/>
        <w:contextualSpacing/>
        <w:rPr>
          <w:rFonts w:ascii="Verdana" w:hAnsi="Verdana" w:eastAsia="Verdana"/>
          <w:szCs w:val="24"/>
        </w:rPr>
      </w:pPr>
      <w:r>
        <w:rPr>
          <w:rFonts w:ascii="Verdana" w:hAnsi="Verdana" w:eastAsia="Verdana"/>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67"/>
          <w:footerReference w:type="default" r:id="rId368"/>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3"/>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33"/>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3"/>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3"/>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w:t>
      </w:r>
      <w:r>
        <w:rPr>
          <w:rFonts w:ascii="Verdana" w:hAnsi="Verdana" w:eastAsia="Verdana"/>
          <w:sz w:val="22"/>
        </w:rPr>
        <w:t xml:space="preserve">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69"/>
          <w:footerReference w:type="default" r:id="rId370"/>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71"/>
          <w:footerReference w:type="default" r:id="rId37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7"/>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w:t>
      </w:r>
      <w:r>
        <w:rPr>
          <w:rFonts w:ascii="Verdana" w:hAnsi="Verdana" w:eastAsia="Verdana"/>
          <w:sz w:val="24"/>
          <w:szCs w:val="24"/>
        </w:rPr>
        <w:t xml:space="preserve">resident’s</w:t>
      </w:r>
      <w:r>
        <w:rPr>
          <w:rFonts w:ascii="Verdana" w:hAnsi="Verdana" w:eastAsia="Verdana"/>
          <w:sz w:val="24"/>
          <w:szCs w:val="24"/>
        </w:rPr>
        <w:t xml:space="preserve"> health has improved sufficiently so the resident no longer needs the services provided by the facility;</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7"/>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7"/>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7"/>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7"/>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7"/>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7"/>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7"/>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 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7"/>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7"/>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w:t>
      </w:r>
      <w:r>
        <w:rPr>
          <w:rFonts w:ascii="Verdana" w:hAnsi="Verdana" w:eastAsia="Verdana"/>
          <w:sz w:val="24"/>
          <w:szCs w:val="24"/>
        </w:rPr>
        <w:t xml:space="preserve">IV.C.b</w:t>
      </w:r>
      <w:r>
        <w:rPr>
          <w:rFonts w:ascii="Verdana" w:hAnsi="Verdana" w:eastAsia="Verdana"/>
          <w:sz w:val="24"/>
          <w:szCs w:val="24"/>
        </w:rPr>
        <w:t xml:space="preserve">. below and except in cases of facility closure, the notice of transfer or discharge required shall be made by the Facility at least 30 days before the resident is transferred or discharged.</w:t>
      </w:r>
    </w:p>
    <w:p>
      <w:pPr>
        <w:pStyle w:val="ListParagraph"/>
        <w:numPr>
          <w:ilvl w:val="3"/>
          <w:numId w:val="487"/>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health improves sufficiently to allow a more immediate transfer or discharge;</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7"/>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7"/>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7"/>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7"/>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3"/>
          <w:footerReference w:type="default" r:id="rId37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75"/>
          <w:footerReference w:type="first" r:id="rId376"/>
          <w:headerReference w:type="even" r:id="rId377"/>
          <w:footerReference w:type="even" r:id="rId378"/>
          <w:headerReference w:type="default" r:id="rId379"/>
          <w:footerReference w:type="default" r:id="rId38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81"/>
          <w:footerReference w:type="default" r:id="rId38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83"/>
          <w:footerReference w:type="default" r:id="rId38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8"/>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8"/>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8"/>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8"/>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8"/>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8"/>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8"/>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8"/>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85"/>
          <w:footerReference w:type="first" r:id="rId386"/>
          <w:headerReference w:type="even" r:id="rId387"/>
          <w:footerReference w:type="even" r:id="rId388"/>
          <w:headerReference w:type="default" r:id="rId389"/>
          <w:footerReference w:type="default" r:id="rId39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8"/>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92"/>
          <w:footerReference w:type="first" r:id="rId393"/>
          <w:headerReference w:type="even" r:id="rId394"/>
          <w:footerReference w:type="even" r:id="rId395"/>
          <w:headerReference w:type="default" r:id="rId396"/>
          <w:footerReference w:type="default" r:id="rId39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37"/>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38"/>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and informs staff of the elements and goals of the Facility’s QAPI program.</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1"/>
        </w:numPr>
        <w:spacing w:after="160" w:line="259" w:lineRule="auto"/>
        <w:ind w:left="1800"/>
        <w:contextualSpacing/>
        <w:jc w:val="both"/>
        <w:rPr>
          <w:rFonts w:ascii="Verdana" w:hAnsi="Verdana" w:eastAsia="Verdana"/>
          <w:sz w:val="24"/>
          <w:szCs w:val="24"/>
        </w:rPr>
        <w:sectPr>
          <w:headerReference w:type="first" r:id="rId398"/>
          <w:footerReference w:type="first" r:id="rId399"/>
          <w:headerReference w:type="even" r:id="rId400"/>
          <w:footerReference w:type="even" r:id="rId401"/>
          <w:headerReference w:type="default" r:id="rId402"/>
          <w:footerReference w:type="default" r:id="rId40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8"/>
        </w:numPr>
        <w:spacing w:after="160" w:line="259" w:lineRule="auto"/>
        <w:ind w:left="1440"/>
        <w:contextualSpacing/>
        <w:jc w:val="both"/>
        <w:rPr>
          <w:rFonts w:ascii="Verdana" w:hAnsi="Verdana" w:eastAsia="Verdana"/>
          <w:sz w:val="24"/>
          <w:szCs w:val="24"/>
        </w:rPr>
        <w:sectPr>
          <w:headerReference w:type="default" r:id="rId404"/>
          <w:footerReference w:type="default" r:id="rId40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6"/>
        </w:numPr>
        <w:spacing w:before="120" w:line="260" w:lineRule="atLeast"/>
        <w:ind w:left="720"/>
        <w:jc w:val="both"/>
        <w:rPr>
          <w:rFonts w:ascii="Verdana" w:hAnsi="Verdana" w:eastAsia="Verdana"/>
          <w:sz w:val="24"/>
        </w:rPr>
      </w:pPr>
      <w:bookmarkStart w:id="48" w:name="Bookmark__b"/>
      <w:bookmarkEnd w:id="48"/>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49" w:name="Bookmark__b_1"/>
      <w:bookmarkEnd w:id="49"/>
    </w:p>
    <w:p>
      <w:pPr>
        <w:pStyle w:val="Normal0"/>
        <w:numPr>
          <w:ilvl w:val="0"/>
          <w:numId w:val="291"/>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0" w:name="Bookmark__b_2"/>
      <w:bookmarkEnd w:id="50"/>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1"/>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1" w:name="Bookmark__b_3"/>
      <w:bookmarkEnd w:id="51"/>
    </w:p>
    <w:p>
      <w:pPr>
        <w:pStyle w:val="Normal0"/>
        <w:numPr>
          <w:ilvl w:val="0"/>
          <w:numId w:val="291"/>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2" w:name="Bookmark__b_3_i"/>
      <w:bookmarkEnd w:id="52"/>
    </w:p>
    <w:p>
      <w:pPr>
        <w:pStyle w:val="Normal0"/>
        <w:numPr>
          <w:ilvl w:val="1"/>
          <w:numId w:val="291"/>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3" w:name="Bookmark__b_3_ii"/>
      <w:bookmarkEnd w:id="53"/>
    </w:p>
    <w:p>
      <w:pPr>
        <w:pStyle w:val="Normal0"/>
        <w:numPr>
          <w:ilvl w:val="1"/>
          <w:numId w:val="291"/>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1"/>
        </w:numPr>
        <w:spacing w:before="120" w:line="260" w:lineRule="atLeast"/>
        <w:ind w:left="1080"/>
        <w:jc w:val="both"/>
        <w:rPr>
          <w:rFonts w:ascii="Verdana" w:hAnsi="Verdana" w:eastAsia="Verdana"/>
          <w:sz w:val="24"/>
        </w:rPr>
      </w:pPr>
      <w:bookmarkStart w:id="54" w:name="Bookmark__b_4"/>
      <w:bookmarkEnd w:id="54"/>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5" w:name="Bookmark__b_5"/>
      <w:bookmarkEnd w:id="55"/>
    </w:p>
    <w:p>
      <w:pPr>
        <w:pStyle w:val="Normal0"/>
        <w:numPr>
          <w:ilvl w:val="0"/>
          <w:numId w:val="291"/>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6" w:name="Bookmark__b_6"/>
      <w:bookmarkEnd w:id="56"/>
    </w:p>
    <w:p>
      <w:pPr>
        <w:pStyle w:val="Normal0"/>
        <w:numPr>
          <w:ilvl w:val="0"/>
          <w:numId w:val="291"/>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57" w:name="Bookmark__b_7"/>
      <w:bookmarkEnd w:id="57"/>
    </w:p>
    <w:p>
      <w:pPr>
        <w:pStyle w:val="Normal0"/>
        <w:numPr>
          <w:ilvl w:val="0"/>
          <w:numId w:val="291"/>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58" w:name="Bookmark__b_7_i"/>
      <w:bookmarkEnd w:id="58"/>
    </w:p>
    <w:p>
      <w:pPr>
        <w:pStyle w:val="Normal0"/>
        <w:numPr>
          <w:ilvl w:val="1"/>
          <w:numId w:val="291"/>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59" w:name="Bookmark__b_7_ii"/>
      <w:bookmarkEnd w:id="59"/>
    </w:p>
    <w:p>
      <w:pPr>
        <w:pStyle w:val="Normal0"/>
        <w:numPr>
          <w:ilvl w:val="1"/>
          <w:numId w:val="291"/>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0" w:name="Bookmark__b_7_iii"/>
      <w:bookmarkEnd w:id="60"/>
    </w:p>
    <w:p>
      <w:pPr>
        <w:pStyle w:val="Normal0"/>
        <w:numPr>
          <w:ilvl w:val="1"/>
          <w:numId w:val="291"/>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6"/>
        </w:numPr>
        <w:spacing w:before="120" w:line="260" w:lineRule="atLeast"/>
        <w:ind w:left="720"/>
        <w:jc w:val="both"/>
        <w:rPr>
          <w:rFonts w:ascii="Verdana" w:hAnsi="Verdana" w:eastAsia="Verdana"/>
          <w:sz w:val="24"/>
        </w:rPr>
      </w:pPr>
      <w:bookmarkStart w:id="61" w:name="Bookmark__c"/>
      <w:bookmarkEnd w:id="61"/>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2" w:name="Bookmark__c_1"/>
      <w:bookmarkEnd w:id="62"/>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3" w:name="Bookmark__c_2"/>
      <w:bookmarkEnd w:id="63"/>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4" w:name="Bookmark__c_2_i"/>
      <w:bookmarkEnd w:id="64"/>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5" w:name="Bookmark__c_2_ii"/>
      <w:bookmarkEnd w:id="65"/>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66" w:name="Bookmark__c_2_iii"/>
      <w:bookmarkEnd w:id="66"/>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67" w:name="Bookmark__c_2_iv"/>
      <w:bookmarkEnd w:id="67"/>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68" w:name="Bookmark__c_2_v"/>
      <w:bookmarkEnd w:id="68"/>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69" w:name="Bookmark__c_3"/>
      <w:bookmarkEnd w:id="69"/>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0" w:name="Bookmark__c_3_i"/>
      <w:bookmarkEnd w:id="70"/>
      <w:r>
        <w:rPr>
          <w:rFonts w:ascii="Verdana" w:hAnsi="Verdana" w:eastAsia="Verdana"/>
          <w:sz w:val="24"/>
        </w:rPr>
        <w:t xml:space="preserve">:</w:t>
      </w:r>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1" w:name="Bookmark__c_3_ii"/>
      <w:bookmarkEnd w:id="71"/>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2" w:name="Bookmark__c_3_iii"/>
      <w:bookmarkEnd w:id="72"/>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w:t>
      </w:r>
      <w:r>
        <w:rPr>
          <w:rFonts w:ascii="Verdana" w:hAnsi="Verdana" w:eastAsia="Verdana"/>
          <w:color w:val="000000"/>
          <w:sz w:val="24"/>
        </w:rPr>
        <w:t xml:space="preserve">resident’s</w:t>
      </w:r>
      <w:r>
        <w:rPr>
          <w:rFonts w:ascii="Verdana" w:hAnsi="Verdana" w:eastAsia="Verdana"/>
          <w:color w:val="000000"/>
          <w:sz w:val="24"/>
        </w:rPr>
        <w:t xml:space="preserve"> personal and cultural preferences in developing goals of care.</w:t>
      </w:r>
      <w:bookmarkStart w:id="73" w:name="Bookmark__c_4"/>
      <w:bookmarkEnd w:id="73"/>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4" w:name="Bookmark__c_5"/>
      <w:bookmarkEnd w:id="74"/>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5" w:name="Bookmark__c_6"/>
      <w:bookmarkEnd w:id="75"/>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76" w:name="Bookmark__c_7"/>
      <w:bookmarkEnd w:id="76"/>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77" w:name="Bookmark__c_8"/>
      <w:bookmarkEnd w:id="77"/>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78" w:name="Bookmark__d"/>
      <w:bookmarkEnd w:id="78"/>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79" w:name="Bookmark__d_1"/>
      <w:bookmarkEnd w:id="79"/>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0" w:name="Bookmark__d_2"/>
      <w:bookmarkEnd w:id="80"/>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1" w:name="Bookmark__d_3"/>
      <w:bookmarkEnd w:id="81"/>
    </w:p>
    <w:p>
      <w:pPr>
        <w:pStyle w:val="Normal0"/>
        <w:numPr>
          <w:ilvl w:val="0"/>
          <w:numId w:val="63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2" w:name="Bookmark__d_5"/>
      <w:bookmarkEnd w:id="82"/>
      <w:r>
        <w:rPr>
          <w:rFonts w:ascii="Verdana" w:hAnsi="Verdana" w:eastAsia="Verdana"/>
          <w:color w:val="000000"/>
          <w:sz w:val="24"/>
        </w:rPr>
        <w:t xml:space="preserve">if any, among options</w:t>
      </w:r>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3" w:name="Bookmark__e"/>
      <w:bookmarkEnd w:id="83"/>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4" w:name="Bookmark__e_1"/>
      <w:bookmarkEnd w:id="84"/>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5" w:name="Bookmark__e_2"/>
      <w:bookmarkEnd w:id="85"/>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86" w:name="Bookmark__e_3"/>
      <w:bookmarkEnd w:id="86"/>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87" w:name="Bookmark__e_4"/>
      <w:bookmarkEnd w:id="87"/>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88" w:name="Bookmark__e_5"/>
      <w:bookmarkEnd w:id="88"/>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89" w:name="Bookmark__e_6"/>
      <w:bookmarkEnd w:id="89"/>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0" w:name="Bookmark__e_7"/>
      <w:bookmarkEnd w:id="90"/>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1" w:name="Bookmark__e_7_i"/>
      <w:bookmarkEnd w:id="91"/>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2" w:name="Bookmark__e_7_ii"/>
      <w:bookmarkEnd w:id="92"/>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3" w:name="Bookmark__e_7_iii"/>
      <w:bookmarkEnd w:id="93"/>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4" w:name="Bookmark__e_8"/>
      <w:bookmarkEnd w:id="94"/>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5" w:name="Bookmark__f"/>
      <w:bookmarkEnd w:id="95"/>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96" w:name="Bookmark__f_1"/>
      <w:bookmarkEnd w:id="96"/>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97" w:name="Bookmark__f_2"/>
      <w:bookmarkEnd w:id="97"/>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98" w:name="Bookmark__f_3"/>
      <w:bookmarkEnd w:id="98"/>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99" w:name="Bookmark__f_4"/>
      <w:bookmarkEnd w:id="99"/>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0" w:name="Bookmark__f_4_i"/>
      <w:bookmarkEnd w:id="100"/>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1" w:name="Bookmark__f_4_i_a"/>
      <w:bookmarkEnd w:id="101"/>
      <w:r>
        <w:rPr>
          <w:rFonts w:ascii="Verdana" w:hAnsi="Verdana" w:eastAsia="Verdana"/>
          <w:color w:val="000000"/>
          <w:sz w:val="24"/>
        </w:rPr>
        <w:t xml:space="preserve">:</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2" w:name="Bookmark__f_4_i_b"/>
      <w:bookmarkEnd w:id="102"/>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3" w:name="Bookmark__f_4_i_c"/>
      <w:bookmarkEnd w:id="103"/>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4" w:name="Bookmark__f_4_i_d"/>
      <w:bookmarkEnd w:id="104"/>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5" w:name="Bookmark__f_4_i_e"/>
      <w:bookmarkEnd w:id="105"/>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06" w:name="Bookmark__f_4_i_f"/>
      <w:bookmarkEnd w:id="106"/>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07" w:name="Bookmark__f_4_i_g"/>
      <w:bookmarkEnd w:id="107"/>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08" w:name="Bookmark__f_4_ii"/>
      <w:bookmarkEnd w:id="108"/>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09" w:name="Bookmark__f_4_iii"/>
      <w:bookmarkEnd w:id="109"/>
      <w:r>
        <w:rPr>
          <w:rFonts w:ascii="Verdana" w:hAnsi="Verdana" w:eastAsia="Verdana"/>
          <w:color w:val="000000"/>
          <w:sz w:val="24"/>
        </w:rPr>
        <w:t xml:space="preserve">.</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0" w:name="Bookmark__f_4_vi_a"/>
      <w:bookmarkEnd w:id="110"/>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1" w:name="Bookmark__f_4_vi_b"/>
      <w:bookmarkEnd w:id="111"/>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partner), another family member, or a friend, and his or her right to withdraw or deny such consent at any time.</w:t>
      </w:r>
      <w:bookmarkStart w:id="112" w:name="Bookmark__f_4_vi_c"/>
      <w:bookmarkEnd w:id="112"/>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3" w:name="Bookmark__f_4_vi_d"/>
      <w:bookmarkEnd w:id="113"/>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4" w:name="Bookmark__f_5"/>
      <w:bookmarkEnd w:id="114"/>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5" w:name="Bookmark__f_5_ii"/>
      <w:bookmarkEnd w:id="115"/>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5"/>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16" w:name="Bookmark__f_5_iv_b"/>
      <w:bookmarkEnd w:id="116"/>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17" w:name="Bookmark__f_6"/>
      <w:bookmarkEnd w:id="117"/>
    </w:p>
    <w:p>
      <w:pPr>
        <w:pStyle w:val="Normal0"/>
        <w:numPr>
          <w:ilvl w:val="0"/>
          <w:numId w:val="445"/>
        </w:numPr>
        <w:spacing w:before="120" w:line="260" w:lineRule="atLeast"/>
        <w:ind w:left="1080"/>
        <w:jc w:val="both"/>
        <w:rPr>
          <w:rFonts w:ascii="Verdana" w:hAnsi="Verdana" w:eastAsia="Verdana"/>
          <w:sz w:val="24"/>
        </w:rPr>
      </w:pPr>
      <w:bookmarkStart w:id="118" w:name="Bookmark__f_7"/>
      <w:bookmarkEnd w:id="118"/>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19" w:name="Bookmark__f_8"/>
      <w:bookmarkEnd w:id="119"/>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0" w:name="Bookmark__f_9"/>
      <w:bookmarkEnd w:id="120"/>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1" w:name="Bookmark__f_9_i"/>
      <w:bookmarkEnd w:id="121"/>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2" w:name="Bookmark__f_9_ii"/>
      <w:bookmarkEnd w:id="122"/>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3" w:name="Bookmark__f_9_iii"/>
      <w:bookmarkEnd w:id="123"/>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4" w:name="Bookmark__f_9_iv"/>
      <w:bookmarkEnd w:id="124"/>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5" w:name="Bookmark__f_10"/>
      <w:bookmarkEnd w:id="125"/>
    </w:p>
    <w:p>
      <w:pPr>
        <w:pStyle w:val="Normal0"/>
        <w:numPr>
          <w:ilvl w:val="0"/>
          <w:numId w:val="445"/>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26" w:name="Bookmark__f_10_i"/>
      <w:bookmarkEnd w:id="126"/>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27" w:name="Bookmark__f_10_ii"/>
      <w:bookmarkEnd w:id="127"/>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28" w:name="Bookmark__f_10_ii_b"/>
      <w:bookmarkEnd w:id="128"/>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29" w:name="Bookmark__f_10_iii"/>
      <w:bookmarkEnd w:id="129"/>
      <w:r>
        <w:rPr>
          <w:rFonts w:ascii="Verdana" w:hAnsi="Verdana" w:eastAsia="Verdana"/>
          <w:color w:val="000000"/>
          <w:sz w:val="24"/>
        </w:rPr>
        <w:t xml:space="preserve"> State laws may have additional requirements.</w:t>
      </w:r>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0" w:name="Bookmark__f_10_iii_b"/>
      <w:bookmarkEnd w:id="130"/>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1" w:name="Bookmark__f_10_iii_c"/>
      <w:bookmarkEnd w:id="131"/>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2" w:name="Bookmark__f_10_iv"/>
      <w:bookmarkEnd w:id="132"/>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3" w:name="Bookmark__f_10_iv_a"/>
      <w:bookmarkEnd w:id="133"/>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4" w:name="Bookmark__f_10_iv_b"/>
      <w:bookmarkEnd w:id="134"/>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5" w:name="Bookmark__f_10_v"/>
      <w:bookmarkEnd w:id="135"/>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6" w:name="Bookmark__f_10_vi"/>
      <w:bookmarkEnd w:id="136"/>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37" w:name="Bookmark__f_11"/>
      <w:bookmarkEnd w:id="137"/>
    </w:p>
    <w:p>
      <w:pPr>
        <w:pStyle w:val="Normal0"/>
        <w:numPr>
          <w:ilvl w:val="0"/>
          <w:numId w:val="445"/>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38" w:name="Bookmark__f_11_i"/>
      <w:bookmarkEnd w:id="138"/>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39" w:name="Bookmark__f_11_i_a"/>
      <w:bookmarkEnd w:id="139"/>
      <w:r>
        <w:rPr>
          <w:rFonts w:ascii="Verdana" w:hAnsi="Verdana" w:eastAsia="Verdana"/>
          <w:color w:val="000000"/>
          <w:sz w:val="24"/>
        </w:rPr>
        <w:t xml:space="preserve">:</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0" w:name="Bookmark__f_11_i_b"/>
      <w:bookmarkEnd w:id="140"/>
      <w:r>
        <w:rPr>
          <w:rFonts w:ascii="Verdana" w:hAnsi="Verdana" w:eastAsia="Verdana"/>
          <w:color w:val="000000"/>
          <w:sz w:val="24"/>
        </w:rPr>
        <w:t xml:space="preserve"> </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1" w:name="Bookmark__f_11_i_c"/>
      <w:bookmarkEnd w:id="141"/>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2" w:name="Bookmark__f_11_i_d"/>
      <w:bookmarkEnd w:id="142"/>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3" w:name="Bookmark__f_11_i_e"/>
      <w:bookmarkEnd w:id="143"/>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4" w:name="Bookmark__f_11_i_f"/>
      <w:bookmarkEnd w:id="144"/>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5" w:name="Bookmark__f_11_i_g"/>
      <w:bookmarkEnd w:id="145"/>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46" w:name="Bookmark__f_11_ii"/>
      <w:bookmarkEnd w:id="146"/>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w:t>
      </w:r>
      <w:r>
        <w:rPr>
          <w:rFonts w:ascii="Verdana" w:hAnsi="Verdana" w:eastAsia="Verdana"/>
          <w:color w:val="000000"/>
          <w:sz w:val="24"/>
        </w:rPr>
        <w:t xml:space="preserve">-xii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47" w:name="Bookmark__f_11_ii_a"/>
      <w:bookmarkEnd w:id="147"/>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48" w:name="Bookmark__f_11_ii_b"/>
      <w:bookmarkEnd w:id="148"/>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49" w:name="Bookmark__f_11_ii_c"/>
      <w:bookmarkEnd w:id="149"/>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0" w:name="Bookmark__f_11_ii_d"/>
      <w:bookmarkEnd w:id="150"/>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1" w:name="Bookmark__f_11_ii_e"/>
      <w:bookmarkEnd w:id="151"/>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2" w:name="Bookmark__f_11_ii_f"/>
      <w:bookmarkEnd w:id="152"/>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3" w:name="Bookmark__f_11_ii_g"/>
      <w:bookmarkEnd w:id="153"/>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4" w:name="Bookmark__f_11_ii_h"/>
      <w:bookmarkEnd w:id="154"/>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5" w:name="Bookmark__f_11_ii_i"/>
      <w:bookmarkEnd w:id="155"/>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56" w:name="Bookmark__f_11_ii_j"/>
      <w:bookmarkEnd w:id="156"/>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57" w:name="Bookmark__f_11_ii_k"/>
      <w:bookmarkEnd w:id="157"/>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58" w:name="Bookmark__f_11_ii_l"/>
      <w:bookmarkEnd w:id="158"/>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59" w:name="Bookmark__f_11_ii_l_1"/>
      <w:bookmarkEnd w:id="159"/>
    </w:p>
    <w:p>
      <w:pPr>
        <w:pStyle w:val="Normal0"/>
        <w:numPr>
          <w:ilvl w:val="3"/>
          <w:numId w:val="445"/>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0" w:name="Bookmark__f_11_ii_l_2"/>
      <w:bookmarkEnd w:id="160"/>
    </w:p>
    <w:p>
      <w:pPr>
        <w:pStyle w:val="Normal0"/>
        <w:numPr>
          <w:ilvl w:val="3"/>
          <w:numId w:val="445"/>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1" w:name="Bookmark__f_11_iii"/>
      <w:bookmarkEnd w:id="161"/>
    </w:p>
    <w:p>
      <w:pPr>
        <w:pStyle w:val="Normal0"/>
        <w:numPr>
          <w:ilvl w:val="1"/>
          <w:numId w:val="445"/>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5"/>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2" w:name="Bookmark__g"/>
      <w:bookmarkStart w:id="163" w:name="Bookmark__g_1"/>
      <w:bookmarkEnd w:id="162"/>
      <w:bookmarkEnd w:id="163"/>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4" w:name="Bookmark__g_2"/>
      <w:bookmarkEnd w:id="16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5" w:name="Bookmark__g_2_ii_a"/>
      <w:bookmarkEnd w:id="16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66" w:name="Bookmark__g_2_ii_b"/>
      <w:bookmarkEnd w:id="16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67" w:name="Bookmark__g_2_ii_c"/>
      <w:bookmarkEnd w:id="16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68" w:name="Bookmark__g_3"/>
      <w:bookmarkEnd w:id="168"/>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69" w:name="Bookmark__g_4"/>
      <w:bookmarkEnd w:id="16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0" w:name="Bookmark__g_4_i"/>
      <w:bookmarkEnd w:id="17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1" w:name="Bookmark__g_4_i_a"/>
      <w:bookmarkEnd w:id="171"/>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2" w:name="Bookmark__g_4_i_b"/>
      <w:bookmarkEnd w:id="172"/>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3" w:name="Bookmark__g_4_i_c"/>
      <w:bookmarkEnd w:id="17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4" w:name="Bookmark__g_4_i_d"/>
      <w:bookmarkEnd w:id="174"/>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5" w:name="Bookmark__g_4_ii"/>
      <w:bookmarkEnd w:id="17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6" w:name="Bookmark__g_4_iii"/>
      <w:bookmarkEnd w:id="176"/>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77" w:name="Bookmark__g_4_iv"/>
      <w:bookmarkEnd w:id="177"/>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78" w:name="Bookmark__g_4_v"/>
      <w:bookmarkEnd w:id="178"/>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79" w:name="Bookmark__g_4_vi"/>
      <w:bookmarkEnd w:id="179"/>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0" w:name="Bookmark__g_5"/>
      <w:bookmarkEnd w:id="18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1" w:name="Bookmark__g_5_i"/>
      <w:bookmarkEnd w:id="18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2" w:name="Bookmark__g_5_ii"/>
      <w:bookmarkEnd w:id="18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w:t>
      </w:r>
      <w:r>
        <w:rPr>
          <w:rFonts w:ascii="Verdana" w:hAnsi="Verdana" w:eastAsia="Verdana"/>
          <w:color w:val="000000"/>
          <w:sz w:val="24"/>
        </w:rPr>
        <w:t xml:space="preserve">resident’s</w:t>
      </w:r>
      <w:r>
        <w:rPr>
          <w:rFonts w:ascii="Verdana" w:hAnsi="Verdana" w:eastAsia="Verdana"/>
          <w:color w:val="000000"/>
          <w:sz w:val="24"/>
        </w:rPr>
        <w:t xml:space="preserve"> own expense.</w:t>
      </w:r>
      <w:bookmarkStart w:id="183" w:name="Bookmark__g_7"/>
      <w:bookmarkEnd w:id="18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4" w:name="Bookmark__g_7_i"/>
      <w:bookmarkEnd w:id="18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5" w:name="Bookmark__g_7_ii"/>
      <w:bookmarkEnd w:id="18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86" w:name="Bookmark__g_7_iii"/>
      <w:bookmarkEnd w:id="18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87" w:name="Bookmark__g_8"/>
      <w:bookmarkEnd w:id="18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88" w:name="Bookmark__g_8_i"/>
      <w:bookmarkEnd w:id="18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89" w:name="Bookmark__g_8_i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w:t>
      </w:r>
      <w:r>
        <w:rPr>
          <w:rFonts w:ascii="Verdana" w:hAnsi="Verdana" w:eastAsia="Verdana"/>
          <w:color w:val="000000"/>
          <w:sz w:val="24"/>
        </w:rPr>
        <w:t xml:space="preserve">resident’s</w:t>
      </w:r>
      <w:r>
        <w:rPr>
          <w:rFonts w:ascii="Verdana" w:hAnsi="Verdana" w:eastAsia="Verdana"/>
          <w:color w:val="000000"/>
          <w:sz w:val="24"/>
        </w:rPr>
        <w:t xml:space="preserve">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0" w:name="Bookmark__g_9_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1" w:name="Bookmark__g_9_ii"/>
      <w:bookmarkEnd w:id="19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2" w:name="Bookmark__g_9_iii"/>
      <w:bookmarkEnd w:id="19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3" w:name="Bookmark__g_10"/>
      <w:bookmarkEnd w:id="19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4" w:name="Bookmark__g_10_i"/>
      <w:bookmarkEnd w:id="19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5" w:name="Bookmark__g_10_ii"/>
      <w:bookmarkEnd w:id="19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196" w:name="Bookmark__g_11_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197" w:name="Bookmark__g_11_i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198" w:name="Bookmark__g_11_iii"/>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199" w:name="Bookmark__g_11_iv"/>
      <w:bookmarkEnd w:id="19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0" w:name="Bookmark__g_12"/>
      <w:bookmarkEnd w:id="20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1" w:name="Bookmark__g_12_i"/>
      <w:bookmarkEnd w:id="20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2" w:name="Bookmark__g_12_i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3" w:name="Bookmark__g_12_iii"/>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4" w:name="Bookmark__g_12_iv"/>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5" w:name="Bookmark__g_12_v"/>
      <w:bookmarkEnd w:id="20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6" w:name="Bookmark__g_13"/>
      <w:bookmarkEnd w:id="20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7" w:name="Bookmark__g_14"/>
      <w:bookmarkEnd w:id="20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08" w:name="Bookmark__g_14_a"/>
      <w:bookmarkEnd w:id="20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09" w:name="Bookmark__g_14_b"/>
      <w:bookmarkEnd w:id="20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0" w:name="Bookmark__g_14_c"/>
      <w:bookmarkEnd w:id="21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1" w:name="Bookmark__g_14_d"/>
      <w:bookmarkEnd w:id="21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2" w:name="Bookmark__g_14_d_ii"/>
      <w:bookmarkEnd w:id="21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3" w:name="Bookmark__g_14_d_iii_a"/>
      <w:bookmarkEnd w:id="21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4" w:name="Bookmark__g_14_d_iii_b"/>
      <w:bookmarkEnd w:id="21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5" w:name="Bookmark__g_15"/>
      <w:bookmarkEnd w:id="21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16" w:name="Bookmark__g_16_iii"/>
      <w:bookmarkEnd w:id="21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17" w:name="Bookmark__g_17"/>
      <w:bookmarkEnd w:id="217"/>
      <w:r>
        <w:rPr>
          <w:rFonts w:ascii="Verdana" w:hAnsi="Verdana" w:eastAsia="Verdana"/>
          <w:color w:val="000000"/>
          <w:sz w:val="24"/>
        </w:rPr>
        <w:t xml:space="preserve">The Facility</w:t>
      </w:r>
      <w:r>
        <w:rPr>
          <w:rFonts w:ascii="Verdana" w:hAnsi="Verdana" w:eastAsia="Verdana"/>
          <w:color w:val="000000"/>
          <w:sz w:val="24"/>
        </w:rPr>
        <w:t xml:space="preserve"> will</w:t>
      </w:r>
      <w:bookmarkStart w:id="218" w:name="Bookmark__g_17_i"/>
      <w:bookmarkEnd w:id="218"/>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19" w:name="Bookmark__g_17_i_a"/>
      <w:bookmarkEnd w:id="219"/>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0" w:name="Bookmark__g_17_i_b"/>
      <w:bookmarkEnd w:id="220"/>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1" w:name="Bookmark__g_17_ii"/>
      <w:bookmarkEnd w:id="221"/>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2" w:name="Bookmark__g_18"/>
      <w:bookmarkEnd w:id="222"/>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3" w:name="Bookmark__g_18_i"/>
      <w:bookmarkEnd w:id="22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4" w:name="Bookmark__g_18_i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5" w:name="Bookmark__g_18_iii"/>
      <w:bookmarkEnd w:id="22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facility, regardless of any minimum stay or discharge notice requirements.</w:t>
      </w:r>
      <w:bookmarkStart w:id="226" w:name="Bookmark__g_18_iv"/>
      <w:bookmarkEnd w:id="22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27" w:name="Bookmark__g_18_v"/>
      <w:bookmarkStart w:id="228" w:name="Bookmark__h"/>
      <w:bookmarkEnd w:id="227"/>
      <w:bookmarkEnd w:id="228"/>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29" w:name="Bookmark__h_1"/>
      <w:bookmarkEnd w:id="229"/>
    </w:p>
    <w:p>
      <w:pPr>
        <w:pStyle w:val="Normal0"/>
        <w:numPr>
          <w:ilvl w:val="0"/>
          <w:numId w:val="519"/>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0" w:name="Bookmark__h_2"/>
      <w:bookmarkEnd w:id="230"/>
    </w:p>
    <w:p>
      <w:pPr>
        <w:pStyle w:val="Normal0"/>
        <w:numPr>
          <w:ilvl w:val="0"/>
          <w:numId w:val="519"/>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9"/>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1" w:name="Bookmark__h_3_i"/>
      <w:bookmarkEnd w:id="231"/>
      <w:r>
        <w:rPr>
          <w:rFonts w:ascii="Verdana" w:hAnsi="Verdana" w:eastAsia="Verdana"/>
          <w:color w:val="000000"/>
          <w:sz w:val="24"/>
        </w:rPr>
        <w:t xml:space="preserve">.</w:t>
      </w:r>
    </w:p>
    <w:p>
      <w:pPr>
        <w:pStyle w:val="Normal0"/>
        <w:numPr>
          <w:ilvl w:val="1"/>
          <w:numId w:val="519"/>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2" w:name="Bookmark__h_3_ii"/>
      <w:bookmarkEnd w:id="232"/>
    </w:p>
    <w:p>
      <w:pPr>
        <w:pStyle w:val="Normal0"/>
        <w:numPr>
          <w:ilvl w:val="1"/>
          <w:numId w:val="519"/>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3" w:name="Bookmark__i"/>
      <w:bookmarkEnd w:id="233"/>
    </w:p>
    <w:p>
      <w:pPr>
        <w:pStyle w:val="Normal0"/>
        <w:numPr>
          <w:ilvl w:val="0"/>
          <w:numId w:val="806"/>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4" w:name="Bookmark__i_1"/>
      <w:bookmarkEnd w:id="234"/>
      <w:r>
        <w:rPr>
          <w:rFonts w:ascii="Verdana" w:hAnsi="Verdana" w:eastAsia="Verdana"/>
          <w:sz w:val="24"/>
        </w:rPr>
        <w:t xml:space="preserve">:</w:t>
      </w:r>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5" w:name="Bookmark__i_1_i"/>
      <w:bookmarkEnd w:id="235"/>
    </w:p>
    <w:p>
      <w:pPr>
        <w:pStyle w:val="Normal0"/>
        <w:numPr>
          <w:ilvl w:val="1"/>
          <w:numId w:val="703"/>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3"/>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36" w:name="Bookmark__i_2"/>
      <w:bookmarkEnd w:id="236"/>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37" w:name="Bookmark__i_3"/>
      <w:bookmarkEnd w:id="237"/>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38" w:name="Bookmark__i_4"/>
      <w:bookmarkEnd w:id="238"/>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39" w:name="Bookmark__i_5"/>
      <w:bookmarkEnd w:id="239"/>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0" w:name="Bookmark__i_6"/>
      <w:bookmarkEnd w:id="240"/>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1" w:name="Bookmark__i_7"/>
      <w:bookmarkEnd w:id="241"/>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6"/>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2" w:name="Bookmark__j"/>
      <w:bookmarkStart w:id="243" w:name="Bookmark__j_1"/>
      <w:bookmarkEnd w:id="242"/>
      <w:bookmarkEnd w:id="243"/>
    </w:p>
    <w:p>
      <w:pPr>
        <w:pStyle w:val="Normal0"/>
        <w:numPr>
          <w:ilvl w:val="2"/>
          <w:numId w:val="806"/>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4" w:name="Bookmark__j_2"/>
      <w:bookmarkEnd w:id="244"/>
    </w:p>
    <w:p>
      <w:pPr>
        <w:pStyle w:val="Normal0"/>
        <w:numPr>
          <w:ilvl w:val="2"/>
          <w:numId w:val="806"/>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6"/>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6"/>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5" w:name="Bookmark__j_4_i"/>
      <w:bookmarkEnd w:id="245"/>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6" w:name="Bookmark__j_4_ii"/>
      <w:bookmarkEnd w:id="246"/>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7" w:name="Bookmark__j_4_iii"/>
      <w:bookmarkEnd w:id="247"/>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48" w:name="Bookmark__j_4_iv"/>
      <w:bookmarkEnd w:id="248"/>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49" w:name="Bookmark__j_4_v"/>
      <w:bookmarkEnd w:id="249"/>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0" w:name="Bookmark__j_4_vi"/>
      <w:bookmarkEnd w:id="250"/>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1" w:name="Bookmark__j_4_vii"/>
      <w:bookmarkEnd w:id="251"/>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2" w:name="Bookmark__k"/>
      <w:bookmarkEnd w:id="252"/>
    </w:p>
    <w:p>
      <w:pPr>
        <w:pStyle w:val="Normal0"/>
        <w:numPr>
          <w:ilvl w:val="0"/>
          <w:numId w:val="806"/>
        </w:numPr>
        <w:spacing w:before="120" w:line="260" w:lineRule="atLeast"/>
        <w:ind w:left="720"/>
        <w:jc w:val="both"/>
        <w:rPr>
          <w:rFonts w:ascii="Verdana" w:hAnsi="Verdana" w:eastAsia="Verdana"/>
          <w:color w:val="000000"/>
          <w:sz w:val="24"/>
        </w:rPr>
        <w:sectPr>
          <w:headerReference w:type="default" r:id="rId406"/>
          <w:footerReference w:type="default" r:id="rId40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08"/>
          <w:footerReference w:type="default" r:id="rId40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meets the requirements of Section </w:t>
      </w:r>
      <w:r>
        <w:rPr>
          <w:rFonts w:ascii="Verdana" w:hAnsi="Verdana" w:eastAsia="Verdana"/>
          <w:sz w:val="24"/>
          <w:szCs w:val="24"/>
        </w:rPr>
        <w:t xml:space="preserve">I.A.a.i</w:t>
      </w:r>
      <w:r>
        <w:rPr>
          <w:rFonts w:ascii="Verdana" w:hAnsi="Verdana" w:eastAsia="Verdana"/>
          <w:sz w:val="24"/>
          <w:szCs w:val="24"/>
        </w:rPr>
        <w:t xml:space="preserve">-ii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7"/>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2"/>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7"/>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w:t>
      </w:r>
      <w:r>
        <w:rPr>
          <w:rFonts w:ascii="Verdana" w:hAnsi="Verdana" w:eastAsia="Verdana"/>
          <w:sz w:val="24"/>
          <w:szCs w:val="24"/>
        </w:rPr>
        <w:t xml:space="preserve">XI.b</w:t>
      </w:r>
      <w:r>
        <w:rPr>
          <w:rFonts w:ascii="Verdana" w:hAnsi="Verdana" w:eastAsia="Verdana"/>
          <w:sz w:val="24"/>
          <w:szCs w:val="24"/>
        </w:rPr>
        <w:t xml:space="preserve">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7"/>
        </w:numPr>
        <w:spacing w:after="160" w:line="259" w:lineRule="auto"/>
        <w:contextualSpacing/>
        <w:jc w:val="both"/>
        <w:rPr>
          <w:rFonts w:ascii="Verdana" w:hAnsi="Verdana" w:eastAsia="Verdana"/>
        </w:rPr>
        <w:sectPr>
          <w:headerReference w:type="default" r:id="rId410"/>
          <w:footerReference w:type="default" r:id="rId41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4"/>
        </w:numPr>
        <w:spacing w:after="160" w:line="259" w:lineRule="auto"/>
        <w:contextualSpacing/>
        <w:jc w:val="both"/>
        <w:rPr>
          <w:rFonts w:ascii="Verdana" w:hAnsi="Verdana" w:eastAsia="Verdana"/>
        </w:rPr>
        <w:sectPr>
          <w:headerReference w:type="default" r:id="rId412"/>
          <w:footerReference w:type="default" r:id="rId41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14"/>
          <w:footerReference w:type="default" r:id="rId41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policy on the use of restraint or seclusion during an emergency safety situation. Staff must file this acknowledgment in the resident’s record; and</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9"/>
        </w:numPr>
        <w:spacing w:after="160" w:line="259" w:lineRule="auto"/>
        <w:contextualSpacing/>
        <w:jc w:val="both"/>
        <w:rPr>
          <w:rFonts w:ascii="Verdana" w:hAnsi="Verdana" w:eastAsia="Verdana"/>
        </w:rPr>
        <w:sectPr>
          <w:headerReference w:type="default" r:id="rId416"/>
          <w:footerReference w:type="default" r:id="rId41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3"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39"/>
        </w:numPr>
        <w:spacing w:after="160" w:line="256" w:lineRule="auto"/>
        <w:ind w:left="720"/>
        <w:contextualSpacing/>
        <w:jc w:val="both"/>
        <w:rPr>
          <w:rFonts w:ascii="Verdana" w:hAnsi="Verdana" w:eastAsia="Verdana"/>
          <w:color w:val="FF0000"/>
          <w:sz w:val="24"/>
          <w:szCs w:val="24"/>
        </w:rPr>
      </w:pPr>
      <w:bookmarkStart w:id="254"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54"/>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39"/>
        </w:numPr>
        <w:spacing w:after="160" w:line="256" w:lineRule="auto"/>
        <w:ind w:left="720"/>
        <w:contextualSpacing/>
        <w:jc w:val="both"/>
        <w:rPr>
          <w:rFonts w:ascii="Verdana" w:hAnsi="Verdana" w:eastAsia="Verdana"/>
          <w:sz w:val="24"/>
          <w:szCs w:val="24"/>
        </w:rPr>
      </w:pPr>
      <w:bookmarkStart w:id="255" w:name="_Hlk507585456"/>
      <w:r>
        <w:rPr>
          <w:rFonts w:ascii="Verdana" w:hAnsi="Verdana" w:eastAsia="Verdana"/>
          <w:sz w:val="24"/>
          <w:szCs w:val="24"/>
        </w:rPr>
        <w:t xml:space="preserve">The Facility will provide for education of staff concerning its policies and procedures on advance directives.</w:t>
      </w:r>
    </w:p>
    <w:bookmarkEnd w:id="255"/>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53"/>
    <w:p>
      <w:pPr>
        <w:pStyle w:val="ListParagraph"/>
        <w:numPr>
          <w:ilvl w:val="0"/>
          <w:numId w:val="751"/>
        </w:numPr>
        <w:spacing w:after="160" w:line="259" w:lineRule="auto"/>
        <w:ind w:left="720"/>
        <w:contextualSpacing/>
        <w:jc w:val="both"/>
        <w:rPr>
          <w:rFonts w:ascii="Verdana" w:hAnsi="Verdana" w:eastAsia="Verdana"/>
          <w:color w:val="FF0000"/>
          <w:sz w:val="24"/>
          <w:szCs w:val="24"/>
        </w:rPr>
        <w:sectPr>
          <w:headerReference w:type="default" r:id="rId418"/>
          <w:footerReference w:type="default" r:id="rId41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00"/>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600"/>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60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600"/>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600"/>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600"/>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20"/>
          <w:footerReference w:type="first" r:id="rId421"/>
          <w:headerReference w:type="even" r:id="rId422"/>
          <w:footerReference w:type="even" r:id="rId423"/>
          <w:headerReference w:type="default" r:id="rId424"/>
          <w:footerReference w:type="default" r:id="rId42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used for disciplinary purposes, for the convenience of staff, or as a substitute for an active treatment program.  These procedures must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2"/>
        </w:numPr>
        <w:spacing w:after="160" w:line="259" w:lineRule="auto"/>
        <w:contextualSpacing/>
        <w:jc w:val="both"/>
        <w:rPr>
          <w:rFonts w:ascii="Verdana" w:hAnsi="Verdana" w:eastAsia="Verdana"/>
          <w:sz w:val="24"/>
          <w:szCs w:val="24"/>
        </w:rPr>
        <w:sectPr>
          <w:headerReference w:type="first" r:id="rId426"/>
          <w:footerReference w:type="first" r:id="rId427"/>
          <w:headerReference w:type="even" r:id="rId428"/>
          <w:footerReference w:type="even" r:id="rId429"/>
          <w:headerReference w:type="default" r:id="rId430"/>
          <w:footerReference w:type="default" r:id="rId43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32"/>
          <w:footerReference w:type="default" r:id="rId43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relevant and applicable to the resident’s goals of care and treatment preferences.</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34"/>
          <w:footerReference w:type="default" r:id="rId435"/>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1"/>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1"/>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36"/>
          <w:footerReference w:type="default" r:id="rId4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w:t>
      </w:r>
      <w:r>
        <w:rPr>
          <w:rFonts w:ascii="Verdana" w:hAnsi="Verdana" w:eastAsia="Verdana"/>
          <w:sz w:val="24"/>
          <w:szCs w:val="24"/>
        </w:rPr>
        <w:t xml:space="preserve">resident’s</w:t>
      </w:r>
      <w:r>
        <w:rPr>
          <w:rFonts w:ascii="Verdana" w:hAnsi="Verdana" w:eastAsia="Verdana"/>
          <w:sz w:val="24"/>
          <w:szCs w:val="24"/>
        </w:rPr>
        <w:t xml:space="preserve"> health status, and requires interdisciplinary review or revision of the care plan, or both.)</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40"/>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information except to the extent the facility itself is permitted to do so.</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readmission to a nursing facility of an individual who, after being admitted to the nursing facility, was transferred for care in a hospital.</w:t>
      </w:r>
    </w:p>
    <w:p>
      <w:pPr>
        <w:pStyle w:val="ListParagraph"/>
        <w:numPr>
          <w:ilvl w:val="4"/>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38"/>
          <w:footerReference w:type="default" r:id="rId43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w:t>
      </w:r>
      <w:r>
        <w:rPr>
          <w:rFonts w:ascii="Verdana" w:hAnsi="Verdana" w:eastAsia="Verdana"/>
          <w:sz w:val="24"/>
          <w:szCs w:val="24"/>
        </w:rPr>
        <w:t xml:space="preserve">tions</w:t>
      </w:r>
      <w:r>
        <w:rPr>
          <w:rFonts w:ascii="Verdana" w:hAnsi="Verdana" w:eastAsia="Verdana"/>
          <w:sz w:val="24"/>
          <w:szCs w:val="24"/>
        </w:rPr>
        <w:t xml:space="preserve">/</w:t>
      </w:r>
      <w:r>
        <w:rPr>
          <w:rFonts w:ascii="Verdana" w:hAnsi="Verdana" w:eastAsia="Verdana"/>
          <w:sz w:val="24"/>
          <w:szCs w:val="24"/>
        </w:rPr>
        <w:t xml:space="preserve">ibr</w:t>
      </w:r>
      <w:r>
        <w:rPr>
          <w:rFonts w:ascii="Verdana" w:hAnsi="Verdana" w:eastAsia="Verdana"/>
          <w:sz w:val="24"/>
          <w:szCs w:val="24"/>
        </w:rPr>
        <w:t xml:space="preserve">]locations.html.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w:t>
      </w:r>
      <w:r>
        <w:rPr>
          <w:rFonts w:ascii="Verdana" w:hAnsi="Verdana" w:eastAsia="Verdana"/>
          <w:sz w:val="24"/>
          <w:szCs w:val="24"/>
        </w:rPr>
        <w:t xml:space="preserve">Batterymarch</w:t>
      </w:r>
      <w:r>
        <w:rPr>
          <w:rFonts w:ascii="Verdana" w:hAnsi="Verdana" w:eastAsia="Verdana"/>
          <w:sz w:val="24"/>
          <w:szCs w:val="24"/>
        </w:rPr>
        <w:t xml:space="preserve">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40"/>
          <w:footerReference w:type="default" r:id="rId441"/>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56" w:name="_Hlk20392876"/>
      <w:r>
        <w:rPr>
          <w:rFonts w:ascii="Verdana" w:hAnsi="Verdana" w:eastAsia="Verdana"/>
          <w:bCs/>
          <w:color w:val="333333"/>
          <w:sz w:val="24"/>
          <w:shd w:val="clear" w:color="auto" w:fill="FFFFFF"/>
        </w:rPr>
        <w:t xml:space="preserve">Each resident must remain under the care of a physician</w:t>
      </w:r>
      <w:bookmarkEnd w:id="256"/>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47"/>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47"/>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51"/>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1"/>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47"/>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47"/>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42"/>
          <w:footerReference w:type="default" r:id="rId443"/>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52"/>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4"/>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4"/>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5"/>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4"/>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6"/>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6"/>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6"/>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5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52"/>
        </w:numPr>
        <w:shd w:val="clear" w:color="auto" w:fill="FFFFFF"/>
        <w:tabs>
          <w:tab w:val="left" w:pos="1260"/>
        </w:tabs>
        <w:spacing w:before="150" w:after="0" w:line="240" w:lineRule="auto"/>
        <w:contextualSpacing/>
        <w:jc w:val="both"/>
        <w:rPr>
          <w:rFonts w:ascii="Verdana" w:hAnsi="Verdana" w:eastAsia="Verdana" w:cs="Calibri"/>
          <w:color w:val="212121"/>
          <w:szCs w:val="24"/>
        </w:rPr>
      </w:pPr>
      <w:r>
        <w:rPr>
          <w:rFonts w:ascii="Verdana" w:hAnsi="Verdana" w:eastAsia="Verdana" w:cs="Times New Roman"/>
          <w:bCs/>
          <w:sz w:val="24"/>
          <w:szCs w:val="24"/>
        </w:rPr>
        <w:t xml:space="preserve">Annual review. The Facility will conduct an annual review of its IPCP and update their program, as necessary.</w:t>
      </w: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sectPr>
          <w:headerReference w:type="default" r:id="rId444"/>
          <w:footerReference w:type="default" r:id="rId445"/>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w:t>
      </w:r>
      <w:r>
        <w:rPr>
          <w:rFonts w:ascii="Verdana" w:hAnsi="Verdana" w:eastAsia="Verdana"/>
          <w:b/>
          <w:bCs/>
          <w:sz w:val="24"/>
        </w:rPr>
        <w:t xml:space="preserve">ESIDENT AND FAMILY GROUPS</w:t>
      </w:r>
      <w:r>
        <w:rPr>
          <w:rFonts w:ascii="Verdana" w:hAnsi="Verdana" w:eastAsia="Verdana"/>
          <w:b/>
          <w:bCs/>
          <w:sz w:val="24"/>
        </w:rPr>
        <w:t xml:space="preserve">/C</w:t>
      </w:r>
      <w:r>
        <w:rPr>
          <w:rFonts w:ascii="Verdana" w:hAnsi="Verdana" w:eastAsia="Verdana"/>
          <w:b/>
          <w:bCs/>
          <w:sz w:val="24"/>
        </w:rPr>
        <w:t xml:space="preserve">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w:t>
      </w:r>
      <w:r>
        <w:rPr>
          <w:rFonts w:ascii="Verdana" w:hAnsi="Verdana" w:eastAsia="Verdana" w:cs="Calibri"/>
          <w:szCs w:val="24"/>
        </w:rPr>
        <w:t xml:space="preserve">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t>
      </w:r>
      <w:r>
        <w:rPr>
          <w:rFonts w:ascii="Verdana" w:hAnsi="Verdana" w:eastAsia="Verdana" w:cs="Calibri"/>
          <w:bCs/>
          <w:szCs w:val="24"/>
        </w:rPr>
        <w:t xml:space="preserve">will ensure that residents are able to form, join, and administer a resident or family group/council (“group/council”). </w:t>
      </w:r>
      <w:r>
        <w:rPr>
          <w:rFonts w:ascii="Verdana" w:hAnsi="Verdana" w:eastAsia="Verdana"/>
          <w:color w:val="000000"/>
        </w:rPr>
        <w:t xml:space="preserve">T</w:t>
      </w:r>
      <w:r>
        <w:rPr>
          <w:rFonts w:ascii="Verdana" w:hAnsi="Verdana" w:eastAsia="Verdana"/>
          <w:color w:val="000000"/>
        </w:rPr>
        <w:t xml:space="preserve">he group/council will</w:t>
      </w:r>
      <w:r>
        <w:rPr>
          <w:rFonts w:ascii="Verdana" w:hAnsi="Verdana" w:eastAsia="Verdana"/>
          <w:color w:val="000000"/>
        </w:rPr>
        <w:t xml:space="preserve"> </w:t>
      </w:r>
      <w:r>
        <w:rPr>
          <w:rFonts w:ascii="Verdana" w:hAnsi="Verdana" w:eastAsia="Verdana"/>
          <w:color w:val="000000"/>
        </w:rPr>
        <w:t xml:space="preserve">promote</w:t>
      </w:r>
      <w:r>
        <w:rPr>
          <w:rFonts w:ascii="Verdana" w:hAnsi="Verdana" w:eastAsia="Verdana"/>
          <w:color w:val="000000"/>
        </w:rPr>
        <w:t xml:space="preserve"> the preservation of every resident’s right to a dignified existence, self-determination, and communication</w:t>
      </w:r>
      <w:r>
        <w:rPr>
          <w:rFonts w:ascii="Verdana" w:hAnsi="Verdana" w:eastAsia="Verdana"/>
          <w:color w:val="000000"/>
        </w:rPr>
        <w:t xml:space="preserve"> inside and outside the Facility, while</w:t>
      </w:r>
      <w:r>
        <w:rPr>
          <w:rFonts w:ascii="Verdana" w:hAnsi="Verdana" w:eastAsia="Verdana" w:cs="Calibri"/>
          <w:szCs w:val="24"/>
        </w:rPr>
        <w:t xml:space="preserve"> living in </w:t>
      </w:r>
      <w:r>
        <w:rPr>
          <w:rFonts w:ascii="Verdana" w:hAnsi="Verdana" w:eastAsia="Verdana" w:cs="Calibri"/>
          <w:szCs w:val="24"/>
        </w:rPr>
        <w:t xml:space="preserve">the</w:t>
      </w:r>
      <w:r>
        <w:rPr>
          <w:rFonts w:ascii="Verdana" w:hAnsi="Verdana" w:eastAsia="Verdana" w:cs="Calibri"/>
          <w:szCs w:val="24"/>
        </w:rPr>
        <w:t xml:space="preserve"> </w:t>
      </w:r>
      <w:r>
        <w:rPr>
          <w:rFonts w:ascii="Verdana" w:hAnsi="Verdana" w:eastAsia="Verdana" w:cs="Calibri"/>
          <w:szCs w:val="24"/>
        </w:rPr>
        <w:t xml:space="preserve">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774"/>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774"/>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774"/>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w:t>
      </w:r>
      <w:r>
        <w:rPr>
          <w:rFonts w:ascii="Verdana" w:hAnsi="Verdana" w:eastAsia="Verdana"/>
          <w:color w:val="000000"/>
          <w:sz w:val="24"/>
        </w:rPr>
        <w:t xml:space="preserve">liaison</w:t>
      </w:r>
      <w:r>
        <w:rPr>
          <w:rFonts w:ascii="Verdana" w:hAnsi="Verdana" w:eastAsia="Verdana"/>
          <w:color w:val="000000"/>
          <w:sz w:val="24"/>
        </w:rPr>
        <w:t xml:space="preserve"> </w:t>
      </w:r>
      <w:r>
        <w:rPr>
          <w:rFonts w:ascii="Verdana" w:hAnsi="Verdana" w:eastAsia="Verdana"/>
          <w:color w:val="000000"/>
          <w:sz w:val="24"/>
        </w:rPr>
        <w:t xml:space="preserve">is responsible for ensuring that all written submissions from the group/council, including recommendations and grievances, receive a formal response. </w:t>
      </w:r>
      <w:r>
        <w:rPr>
          <w:rFonts w:ascii="Verdana" w:hAnsi="Verdana" w:eastAsia="Verdana"/>
          <w:color w:val="000000"/>
          <w:sz w:val="24"/>
        </w:rPr>
        <w:t xml:space="preserve">Views, grievances or recommendations made by the group/council will be considered, addressed, and acted upon</w:t>
      </w:r>
      <w:r>
        <w:rPr>
          <w:rFonts w:ascii="Verdana" w:hAnsi="Verdana" w:eastAsia="Verdana"/>
          <w:i/>
          <w:iCs/>
          <w:color w:val="000000"/>
          <w:sz w:val="24"/>
        </w:rPr>
        <w:t xml:space="preserve">.</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w:t>
      </w:r>
      <w:r>
        <w:rPr>
          <w:rFonts w:ascii="Verdana" w:hAnsi="Verdana" w:eastAsia="Verdana"/>
          <w:color w:val="000000"/>
          <w:sz w:val="24"/>
        </w:rPr>
        <w:t xml:space="preserve">Attachment A </w:t>
      </w:r>
      <w:r>
        <w:rPr>
          <w:rFonts w:ascii="Verdana" w:hAnsi="Verdana" w:eastAsia="Verdana"/>
          <w:color w:val="000000"/>
          <w:sz w:val="24"/>
        </w:rPr>
        <w:t xml:space="preserve">(Resident and Family Groups/Councils Information Page) </w:t>
      </w:r>
      <w:r>
        <w:rPr>
          <w:rFonts w:ascii="Verdana" w:hAnsi="Verdana" w:eastAsia="Verdana"/>
          <w:color w:val="000000"/>
          <w:sz w:val="24"/>
        </w:rPr>
        <w:t xml:space="preserve">to document</w:t>
      </w:r>
      <w:r>
        <w:rPr>
          <w:rFonts w:ascii="Verdana" w:hAnsi="Verdana" w:eastAsia="Verdana"/>
          <w:color w:val="000000"/>
          <w:sz w:val="24"/>
        </w:rPr>
        <w:t xml:space="preserve"> </w:t>
      </w:r>
      <w:r>
        <w:rPr>
          <w:rFonts w:ascii="Verdana" w:hAnsi="Verdana" w:eastAsia="Verdana"/>
          <w:color w:val="000000"/>
          <w:sz w:val="24"/>
        </w:rPr>
        <w:t xml:space="preserve">the </w:t>
      </w:r>
      <w:r>
        <w:rPr>
          <w:rFonts w:ascii="Verdana" w:hAnsi="Verdana" w:eastAsia="Verdana"/>
          <w:color w:val="000000"/>
          <w:sz w:val="24"/>
        </w:rPr>
        <w:t xml:space="preserve">F</w:t>
      </w:r>
      <w:r>
        <w:rPr>
          <w:rFonts w:ascii="Verdana" w:hAnsi="Verdana" w:eastAsia="Verdana"/>
          <w:color w:val="000000"/>
          <w:sz w:val="24"/>
        </w:rPr>
        <w:t xml:space="preserve">acility’s resident or family groups</w:t>
      </w:r>
      <w:r>
        <w:rPr>
          <w:rFonts w:ascii="Verdana" w:hAnsi="Verdana" w:eastAsia="Verdana"/>
          <w:color w:val="000000"/>
          <w:sz w:val="24"/>
        </w:rPr>
        <w:t xml:space="preserve">/</w:t>
      </w:r>
      <w:r>
        <w:rPr>
          <w:rFonts w:ascii="Verdana" w:hAnsi="Verdana" w:eastAsia="Verdana"/>
          <w:color w:val="000000"/>
          <w:sz w:val="24"/>
        </w:rPr>
        <w:t xml:space="preserve">councils.</w:t>
      </w:r>
    </w:p>
    <w:p>
      <w:pPr>
        <w:pStyle w:val="Normal0"/>
        <w:spacing w:line="260" w:lineRule="atLeast"/>
        <w:jc w:val="both"/>
        <w:rPr>
          <w:rFonts w:ascii="Verdana" w:hAnsi="Verdana" w:eastAsia="Verdana"/>
          <w:i/>
          <w:iCs/>
          <w:color w:val="FF0000"/>
          <w:sz w:val="24"/>
        </w:rPr>
      </w:pP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w:t>
      </w:r>
      <w:r>
        <w:rPr>
          <w:rFonts w:ascii="Verdana" w:hAnsi="Verdana" w:eastAsia="Verdana"/>
        </w:rPr>
        <w:t xml:space="preserve">esident </w:t>
      </w:r>
      <w:r>
        <w:rPr>
          <w:rFonts w:ascii="Verdana" w:hAnsi="Verdana" w:eastAsia="Verdana"/>
        </w:rPr>
        <w:t xml:space="preserve">and</w:t>
      </w:r>
      <w:r>
        <w:rPr>
          <w:rFonts w:ascii="Verdana" w:hAnsi="Verdana" w:eastAsia="Verdana"/>
        </w:rPr>
        <w:t xml:space="preserve"> </w:t>
      </w:r>
      <w:r>
        <w:rPr>
          <w:rFonts w:ascii="Verdana" w:hAnsi="Verdana" w:eastAsia="Verdana"/>
        </w:rPr>
        <w:t xml:space="preserve">F</w:t>
      </w:r>
      <w:r>
        <w:rPr>
          <w:rFonts w:ascii="Verdana" w:hAnsi="Verdana" w:eastAsia="Verdana"/>
        </w:rPr>
        <w:t xml:space="preserve">amily </w:t>
      </w:r>
      <w:r>
        <w:rPr>
          <w:rFonts w:ascii="Verdana" w:hAnsi="Verdana" w:eastAsia="Verdana"/>
        </w:rPr>
        <w:t xml:space="preserve">G</w:t>
      </w:r>
      <w:r>
        <w:rPr>
          <w:rFonts w:ascii="Verdana" w:hAnsi="Verdana" w:eastAsia="Verdana"/>
        </w:rPr>
        <w:t xml:space="preserve">roups</w:t>
      </w:r>
      <w:r>
        <w:rPr>
          <w:rFonts w:ascii="Verdana" w:hAnsi="Verdana" w:eastAsia="Verdana"/>
        </w:rPr>
        <w:t xml:space="preserve">/C</w:t>
      </w:r>
      <w:r>
        <w:rPr>
          <w:rFonts w:ascii="Verdana" w:hAnsi="Verdana" w:eastAsia="Verdana"/>
        </w:rPr>
        <w:t xml:space="preserve">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w:t>
      </w:r>
      <w:r>
        <w:rPr>
          <w:rFonts w:ascii="Verdana" w:hAnsi="Verdana" w:eastAsia="Verdana"/>
        </w:rPr>
        <w:t xml:space="preserve">il:</w:t>
      </w:r>
    </w:p>
    <w:p>
      <w:pPr>
        <w:spacing w:after="0"/>
        <w:rPr/>
      </w:pPr>
    </w:p>
    <w:p>
      <w:pPr>
        <w:spacing w:after="0"/>
        <w:rPr/>
      </w:pPr>
      <w:bookmarkStart w:id="257"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w:t>
      </w:r>
      <w:r>
        <w:rPr/>
        <w:t xml:space="preserve">_</w:t>
      </w:r>
      <w:bookmarkEnd w:id="257"/>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w:t>
      </w:r>
      <w:r>
        <w:rPr>
          <w:rFonts w:ascii="Verdana" w:hAnsi="Verdana" w:eastAsia="Verdana"/>
          <w:sz w:val="22"/>
        </w:rPr>
        <w:t xml:space="preserve"> member</w:t>
      </w:r>
      <w:r>
        <w:rPr>
          <w:rFonts w:ascii="Verdana" w:hAnsi="Verdana" w:eastAsia="Verdana"/>
          <w:sz w:val="22"/>
        </w:rPr>
        <w:t xml:space="preserve">s:</w:t>
      </w:r>
      <w:r>
        <w:rPr>
          <w:rFonts w:ascii="Verdana" w:hAnsi="Verdana" w:eastAsia="Verdana"/>
          <w:sz w:val="22"/>
        </w:rPr>
        <w:t xml:space="preserve">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w:t>
      </w:r>
      <w:r>
        <w:rPr>
          <w:rFonts w:ascii="Verdana" w:hAnsi="Verdana" w:eastAsia="Verdana"/>
          <w:sz w:val="22"/>
        </w:rPr>
        <w:t xml:space="preserve"> liaison</w:t>
      </w:r>
      <w:r>
        <w:rPr>
          <w:rFonts w:ascii="Verdana" w:hAnsi="Verdana" w:eastAsia="Verdana"/>
          <w:sz w:val="22"/>
        </w:rPr>
        <w:t xml:space="preserve">:</w:t>
      </w:r>
      <w:r>
        <w:rPr>
          <w:rFonts w:ascii="Verdana" w:hAnsi="Verdana" w:eastAsia="Verdana"/>
          <w:sz w:val="22"/>
        </w:rPr>
        <w:t xml:space="preserve"> ________________________</w:t>
      </w:r>
      <w:r>
        <w:rPr>
          <w:rFonts w:ascii="Verdana" w:hAnsi="Verdana" w:eastAsia="Verdana"/>
          <w:sz w:val="22"/>
        </w:rPr>
        <w:t xml:space="preserve">____________</w:t>
      </w:r>
      <w:r>
        <w:rPr>
          <w:rFonts w:ascii="Verdana" w:hAnsi="Verdana" w:eastAsia="Verdana"/>
          <w:sz w:val="22"/>
        </w:rPr>
        <w:t xml:space="preserve">_____________</w:t>
      </w:r>
    </w:p>
    <w:p>
      <w:pPr>
        <w:spacing/>
        <w:rPr>
          <w:rFonts w:ascii="Verdana" w:hAnsi="Verdana" w:eastAsia="Verdana"/>
          <w:sz w:val="22"/>
        </w:rPr>
      </w:pPr>
      <w:r>
        <w:rPr>
          <w:rFonts w:ascii="Verdana" w:hAnsi="Verdana" w:eastAsia="Verdana"/>
          <w:sz w:val="22"/>
        </w:rPr>
        <w:t xml:space="preserve">Provide</w:t>
      </w:r>
      <w:r>
        <w:rPr>
          <w:rFonts w:ascii="Verdana" w:hAnsi="Verdana" w:eastAsia="Verdana"/>
          <w:sz w:val="22"/>
        </w:rPr>
        <w:t xml:space="preserve"> documentation</w:t>
      </w:r>
      <w:r>
        <w:rPr>
          <w:rFonts w:ascii="Verdana" w:hAnsi="Verdana" w:eastAsia="Verdana"/>
          <w:sz w:val="22"/>
        </w:rPr>
        <w:t xml:space="preserve">, if available,</w:t>
      </w:r>
      <w:r>
        <w:rPr>
          <w:rFonts w:ascii="Verdana" w:hAnsi="Verdana" w:eastAsia="Verdana"/>
          <w:sz w:val="22"/>
        </w:rPr>
        <w:t xml:space="preserve"> </w:t>
      </w:r>
      <w:r>
        <w:rPr>
          <w:rFonts w:ascii="Verdana" w:hAnsi="Verdana" w:eastAsia="Verdana"/>
          <w:sz w:val="22"/>
        </w:rPr>
        <w:t xml:space="preserve">demonstrating that</w:t>
      </w:r>
      <w:r>
        <w:rPr>
          <w:rFonts w:ascii="Verdana" w:hAnsi="Verdana" w:eastAsia="Verdana"/>
          <w:sz w:val="22"/>
        </w:rPr>
        <w:t xml:space="preserve"> </w:t>
      </w:r>
      <w:r>
        <w:rPr>
          <w:rFonts w:ascii="Verdana" w:hAnsi="Verdana" w:eastAsia="Verdana"/>
          <w:sz w:val="22"/>
        </w:rPr>
        <w:t xml:space="preserve">the </w:t>
      </w:r>
      <w:r>
        <w:rPr>
          <w:rFonts w:ascii="Verdana" w:hAnsi="Verdana" w:eastAsia="Verdana"/>
          <w:sz w:val="22"/>
        </w:rPr>
        <w:t xml:space="preserve">liaison or other staff members </w:t>
      </w:r>
      <w:r>
        <w:rPr>
          <w:rFonts w:ascii="Verdana" w:hAnsi="Verdana" w:eastAsia="Verdana"/>
          <w:sz w:val="22"/>
        </w:rPr>
        <w:t xml:space="preserve">have </w:t>
      </w:r>
      <w:r>
        <w:rPr>
          <w:rFonts w:ascii="Verdana" w:hAnsi="Verdana" w:eastAsia="Verdana"/>
          <w:sz w:val="22"/>
        </w:rPr>
        <w:t xml:space="preserve">been invited </w:t>
      </w:r>
      <w:r>
        <w:rPr>
          <w:rFonts w:ascii="Verdana" w:hAnsi="Verdana" w:eastAsia="Verdana"/>
          <w:sz w:val="22"/>
        </w:rPr>
        <w:t xml:space="preserve">by the residents </w:t>
      </w:r>
      <w:r>
        <w:rPr>
          <w:rFonts w:ascii="Verdana" w:hAnsi="Verdana" w:eastAsia="Verdana"/>
          <w:sz w:val="22"/>
        </w:rPr>
        <w:t xml:space="preserve">to join the group</w:t>
      </w:r>
      <w:r>
        <w:rPr>
          <w:rFonts w:ascii="Verdana" w:hAnsi="Verdana" w:eastAsia="Verdana"/>
          <w:sz w:val="22"/>
        </w:rPr>
        <w:t xml:space="preserve">/council.</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Provide a description of the</w:t>
      </w:r>
      <w:r>
        <w:rPr>
          <w:rFonts w:ascii="Verdana" w:hAnsi="Verdana" w:eastAsia="Verdana"/>
          <w:sz w:val="22"/>
        </w:rPr>
        <w:t xml:space="preserve"> private meeting space </w:t>
      </w:r>
      <w:r>
        <w:rPr>
          <w:rFonts w:ascii="Verdana" w:hAnsi="Verdana" w:eastAsia="Verdana"/>
          <w:sz w:val="22"/>
        </w:rPr>
        <w:t xml:space="preserve">assigned to the </w:t>
      </w:r>
      <w:r>
        <w:rPr>
          <w:rFonts w:ascii="Verdana" w:hAnsi="Verdana" w:eastAsia="Verdana"/>
          <w:sz w:val="22"/>
        </w:rPr>
        <w:t xml:space="preserve">group</w:t>
      </w:r>
      <w:r>
        <w:rPr>
          <w:rFonts w:ascii="Verdana" w:hAnsi="Verdana" w:eastAsia="Verdana"/>
          <w:sz w:val="22"/>
        </w:rPr>
        <w:t xml:space="preserve">/council:  </w:t>
      </w:r>
    </w:p>
    <w:p>
      <w:pPr>
        <w:spacing/>
        <w:rPr>
          <w:rFonts w:ascii="Verdana" w:hAnsi="Verdana" w:eastAsia="Verdana"/>
          <w:sz w:val="22"/>
        </w:rPr>
      </w:pPr>
      <w:r>
        <w:rPr>
          <w:rFonts w:ascii="Verdana" w:hAnsi="Verdana" w:eastAsia="Verdana"/>
          <w:sz w:val="22"/>
        </w:rPr>
        <w:t xml:space="preserve">_____________________________________________</w:t>
      </w:r>
      <w:r>
        <w:rPr>
          <w:rFonts w:ascii="Verdana" w:hAnsi="Verdana" w:eastAsia="Verdana"/>
          <w:sz w:val="22"/>
        </w:rPr>
        <w:t xml:space="preserve">___________________</w:t>
      </w:r>
    </w:p>
    <w:p>
      <w:pPr>
        <w:spacing/>
        <w:rPr>
          <w:rFonts w:ascii="Verdana" w:hAnsi="Verdana" w:eastAsia="Verdana"/>
          <w:sz w:val="22"/>
        </w:rPr>
      </w:pPr>
      <w:r>
        <w:rPr>
          <w:rFonts w:ascii="Verdana" w:hAnsi="Verdana" w:eastAsia="Verdana"/>
          <w:sz w:val="22"/>
        </w:rPr>
        <w:t xml:space="preserve">Detail how </w:t>
      </w:r>
      <w:r>
        <w:rPr>
          <w:rFonts w:ascii="Verdana" w:hAnsi="Verdana" w:eastAsia="Verdana"/>
          <w:sz w:val="22"/>
        </w:rPr>
        <w:t xml:space="preserve">notifications </w:t>
      </w:r>
      <w:r>
        <w:rPr>
          <w:rFonts w:ascii="Verdana" w:hAnsi="Verdana" w:eastAsia="Verdana"/>
          <w:sz w:val="22"/>
        </w:rPr>
        <w:t xml:space="preserve">are </w:t>
      </w:r>
      <w:r>
        <w:rPr>
          <w:rFonts w:ascii="Verdana" w:hAnsi="Verdana" w:eastAsia="Verdana"/>
          <w:sz w:val="22"/>
        </w:rPr>
        <w:t xml:space="preserve">provided </w:t>
      </w:r>
      <w:r>
        <w:rPr>
          <w:rFonts w:ascii="Verdana" w:hAnsi="Verdana" w:eastAsia="Verdana"/>
          <w:sz w:val="22"/>
        </w:rPr>
        <w:t xml:space="preserve">to residents/family members </w:t>
      </w:r>
      <w:r>
        <w:rPr>
          <w:rFonts w:ascii="Verdana" w:hAnsi="Verdana" w:eastAsia="Verdana"/>
          <w:sz w:val="22"/>
        </w:rPr>
        <w:t xml:space="preserve">regarding meetings and updates</w:t>
      </w:r>
      <w:r>
        <w:rPr>
          <w:rFonts w:ascii="Verdana" w:hAnsi="Verdana" w:eastAsia="Verdana"/>
          <w:sz w:val="22"/>
        </w:rPr>
        <w:t xml:space="preserve">: _____________________________________________</w:t>
      </w:r>
    </w:p>
    <w:p>
      <w:pPr>
        <w:spacing/>
        <w:rPr>
          <w:rFonts w:ascii="Verdana" w:hAnsi="Verdana" w:eastAsia="Verdana"/>
          <w:sz w:val="22"/>
        </w:rPr>
      </w:pPr>
      <w:r>
        <w:rPr>
          <w:rFonts w:ascii="Verdana" w:hAnsi="Verdana" w:eastAsia="Verdana"/>
          <w:sz w:val="22"/>
        </w:rPr>
        <w:t xml:space="preserve">Detail how often each</w:t>
      </w:r>
      <w:r>
        <w:rPr>
          <w:rFonts w:ascii="Verdana" w:hAnsi="Verdana" w:eastAsia="Verdana"/>
          <w:sz w:val="22"/>
        </w:rPr>
        <w:t xml:space="preserve"> group</w:t>
      </w:r>
      <w:r>
        <w:rPr>
          <w:rFonts w:ascii="Verdana" w:hAnsi="Verdana" w:eastAsia="Verdana"/>
          <w:sz w:val="22"/>
        </w:rPr>
        <w:t xml:space="preserve">/council</w:t>
      </w:r>
      <w:r>
        <w:rPr>
          <w:rFonts w:ascii="Verdana" w:hAnsi="Verdana" w:eastAsia="Verdana"/>
          <w:sz w:val="22"/>
        </w:rPr>
        <w:t xml:space="preserve"> meet</w:t>
      </w:r>
      <w:r>
        <w:rPr>
          <w:rFonts w:ascii="Verdana" w:hAnsi="Verdana" w:eastAsia="Verdana"/>
          <w:sz w:val="22"/>
        </w:rPr>
        <w:t xml:space="preserve">s: ____________________________</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sectPr>
      <w:footerReference w:type="default" r:id="rId447"/>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Footer"/>
          <w:spacing/>
          <w:rPr/>
        </w:pPr>
      </w:p>
    </w:sdtContent>
  </w:sdt>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j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 CCG 00402a      </w:t>
    </w:r>
    <w:sdt>
      <w:sdtPr>
        <w:rPr>
          <w:rFonts w:ascii="Verdana" w:hAnsi="Verdana" w:eastAsia="Verdana"/>
          <w:sz w:val="12"/>
          <w:szCs w:val="12"/>
        </w:rPr>
        <w:id w:val="-408308159"/>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1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38288463"/>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2</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00530</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42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00531   </w:t>
    </w:r>
    <w:sdt>
      <w:sdtPr>
        <w:rPr>
          <w:rFonts w:ascii="Verdana" w:hAnsi="Verdana" w:eastAsia="Verdana"/>
          <w:sz w:val="12"/>
          <w:szCs w:val="12"/>
        </w:rPr>
        <w:id w:val="1589806087"/>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06680835"/>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45031350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201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393139f7-ba5c-4aef-a92b-33922cf35050" type="##_x0000_t75" o:allowincell="f" style="position:absolute;margin-left:0pt;margin-top:0pt;width:467.2pt;height:293.8pt;mso-position-horizontal-relative:margin;mso-position-vertical-relative:margin;mso-position-horizontal:center;mso-position-vertical:center;z-index:-251654118;visibility:visible">
          <v:imagedata r:id="rId448" gain="19661f" blacklevel="22938f"/>
        </v:shape>
      </w:pict>
    </w:r>
    <w:bookmarkStart w:id="258"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58"/>
    <w:r>
      <w:rPr>
        <w:rFonts w:ascii="Verdana" w:hAnsi="Verdana" w:eastAsia="Verdana" w:cs="ArialMTPro"/>
        <w:b/>
        <w:bCs/>
        <w:smallCaps/>
        <w:color w:val="000000"/>
        <w:sz w:val="20"/>
        <w:szCs w:val="20"/>
      </w:rPr>
      <w:t xml:space="preserve">s</w:t>
    </w:r>
  </w:p>
</w:hdr>
</file>

<file path=word/header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85883259-47b8-4309-bd20-0fb99feaf033" type="##_x0000_t75" o:allowincell="f" style="position:absolute;margin-left:0pt;margin-top:0pt;width:467.2pt;height:293.8pt;mso-position-horizontal-relative:margin;mso-position-vertical-relative:margin;mso-position-horizontal:center;mso-position-vertical:center;z-index:-251653094;visibility:visible">
          <v:imagedata r:id="rId448" gain="19661f" blacklevel="22938f"/>
        </v:shape>
      </w:pict>
    </w: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0a5c5fac-0339-4987-b162-a61203066952" type="##_x0000_t75" o:allowincell="f" style="position:absolute;margin-left:0pt;margin-top:0pt;width:467.2pt;height:293.8pt;mso-position-horizontal-relative:margin;mso-position-vertical-relative:margin;mso-position-horizontal:center;mso-position-vertical:center;z-index:-251652070;visibility:visible">
          <v:imagedata r:id="rId448" gain="19661f" blacklevel="22938f"/>
        </v:shape>
      </w:pict>
    </w: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6C4CDBF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5EC6BE6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5F6BF5F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096CCCD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5566B6D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049FF90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790EEA8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3CA4CE8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1B3960"/>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2">
    <w:nsid w:val="1D39020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3">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4">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5">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6">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7">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8">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9">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70">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1">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3">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4">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5">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6">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8">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9">
    <w:nsid w:val="5D9A3C5E"/>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80">
    <w:nsid w:val="455ABEE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1">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2">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3">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4">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5">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6">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7">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8">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9">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0">
    <w:nsid w:val="4E73D42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1">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2">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3">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4">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5">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7">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8">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0">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1">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3">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4">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5">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6">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7">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8">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1">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2">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3">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4">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5">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6">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7">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8">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0">
    <w:nsid w:val="6556016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1">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2">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3">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5">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7">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8">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9">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30">
    <w:nsid w:val="3864F6E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1">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2">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4">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6">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7">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8">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9">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0">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1">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2">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3">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4">
    <w:nsid w:val="5D32DD0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5">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6">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7">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8">
    <w:nsid w:val="571A5BE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9">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50">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1">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2">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4">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5">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6">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7">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8">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9">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1">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2">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3">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4">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5">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6">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7">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8">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9">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0">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1">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2">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3">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4">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5">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6">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7">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8">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2">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3">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4">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5">
    <w:nsid w:val="0C2B776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6">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7">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8">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9">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0">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1">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3">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4">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5">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7">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8">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9">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0">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1">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2">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4">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5">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6">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7">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8">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9">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0">
    <w:nsid w:val="2E79746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1">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2">
    <w:nsid w:val="4FEAA65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3">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4">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5">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6">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7">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8">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0">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5"/>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1">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3">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4">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6">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7">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8">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9">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0">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1">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2">
    <w:nsid w:val="78C7CFC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3">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4">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5">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6">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7">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8">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9">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0">
    <w:nsid w:val="6F23AB2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1">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2">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3">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4">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5">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6">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8">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9">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0">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1">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2">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4">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5">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6">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7">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8">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9">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0">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1">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2">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3">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4">
    <w:nsid w:val="7776F2A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5">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7">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8">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9">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70">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1">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2">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3">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4">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5">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6">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7">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8">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9">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0">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2">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3">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4">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5">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6">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7">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8">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9">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90">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1">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2">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3">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4">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5">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6">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7">
    <w:nsid w:val="29B5193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8">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0">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1">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2">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3">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6">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9">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0">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1">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2">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3">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4">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5">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6">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7">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9">
    <w:nsid w:val="027827A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20">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1">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3">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4">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5">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6">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0">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1">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5">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6">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7">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8">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9">
    <w:nsid w:val="6DB7307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0">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2">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4">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5">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6">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7">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8">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9">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50">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1">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2">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3">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4">
    <w:nsid w:val="3735DFA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5">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6">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7">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8">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9">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1">
    <w:nsid w:val="5A8C5D1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2">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3">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4">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5">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6">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7">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8">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9">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70">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1">
    <w:nsid w:val="30E1E90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2">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3">
    <w:nsid w:val="2DC767D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4">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5">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6">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7">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8">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9">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0">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1">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3">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4">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5">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6">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8">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0">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2">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7">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8">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9">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0">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1">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3">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4">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5">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6">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8">
    <w:nsid w:val="2E4DFB2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9">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0">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1">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2">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3">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4">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6">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7">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9">
    <w:nsid w:val="51C1132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0">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1">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2">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4">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5">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6">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7">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8">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30">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2">
    <w:nsid w:val="2341E90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3">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4">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5">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6">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7">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9">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40">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1">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2">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3">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4">
    <w:nsid w:val="4B63C26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5">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6">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7">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8">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9">
    <w:nsid w:val="6021A0E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0">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1">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2">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4">
    <w:nsid w:val="43D325E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5">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6">
    <w:nsid w:val="2B78BF5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7">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8">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9">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1">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2">
    <w:nsid w:val="31F5477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3">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4">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5">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6">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9">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0">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1">
    <w:nsid w:val="00850CF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2">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3">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4">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5">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6">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7">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8">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9">
    <w:nsid w:val="2662BAC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0">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1">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2">
    <w:nsid w:val="5DD0139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06B69FB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4">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5">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7">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8">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9">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0">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1">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2">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4">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5">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6">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7">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8">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9">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600">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1">
    <w:nsid w:val="2C55E9B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2">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3">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4">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5">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6">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7">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8">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3">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4">
    <w:nsid w:val="267277F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5">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6">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7">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1">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3">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4">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5">
    <w:nsid w:val="1E6489E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6">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7">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8">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9">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30">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1">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2">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3">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4">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5">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6">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7">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8">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9">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1">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2">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3">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4">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6">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7">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8">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9">
    <w:nsid w:val="6F359AD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0">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1">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2">
    <w:nsid w:val="3E94748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6255EB5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4">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5">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6">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7">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9">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60">
    <w:nsid w:val="6C4E57F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1">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2">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3">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4">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5">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6">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7">
    <w:nsid w:val="3A2A742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8">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0">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1">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2">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4">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5">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8">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9">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1">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2">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5">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7">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8">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0">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1">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2">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3">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4">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5">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6">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7">
    <w:nsid w:val="39A7EA8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8">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9">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00">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1">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2">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3">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4">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5">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7">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8">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9">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10">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2">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4">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5">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6">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7">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8">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9">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20">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1">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2">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3">
    <w:nsid w:val="1BE5091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4">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5">
    <w:nsid w:val="5F1B928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6">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7">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8">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0">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2">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3">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4">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5">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6">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7">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8">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9">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3">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4">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7">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9">
    <w:nsid w:val="444C8FE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0">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2">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3">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4">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5">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6">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7">
    <w:nsid w:val="4111B4A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8">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9">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2">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3">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4">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5">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6">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7">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9">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2">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2F28B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4">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6">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7">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9">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0">
    <w:nsid w:val="506956C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1">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2">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3">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BEA12EC"/>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788">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9">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0">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1">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2">
    <w:nsid w:val="086EAA6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3">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4">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5">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6">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7">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8">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9">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0">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801">
    <w:nsid w:val="74D5E95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2">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3">
    <w:nsid w:val="1A3A2EB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4">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5">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6">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3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9">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0">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1">
    <w:abstractNumId w:val="248"/>
    <w:lvlOverride w:ilvl="2">
      <w:lvl w:ilvl="2">
        <w:start w:val="1"/>
        <w:numFmt w:val="lowerLetter"/>
        <w:suff w:val="tab"/>
        <w:lvlText w:val="%3."/>
        <w:pPr>
          <w:tabs>
            <w:tab w:val="num" w:pos="1512"/>
          </w:tabs>
          <w:spacing/>
          <w:ind w:left="2088" w:hanging="576"/>
        </w:pPr>
        <w:rPr>
          <w:rFonts w:cs="Times New Roman" w:hint="default"/>
          <w:b w:val="0"/>
        </w:rPr>
      </w:lvl>
    </w:lvlOverride>
  </w:num>
  <w:num w:numId="812">
    <w:abstractNumId w:val="2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4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5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8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5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7">
    <w:abstractNumId w:val="7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8">
    <w:abstractNumId w:val="179"/>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9">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0">
    <w:abstractNumId w:val="72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21">
    <w:abstractNumId w:val="7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2">
    <w:abstractNumId w:val="614"/>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23">
    <w:abstractNumId w:val="7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abstractNumId w:val="61"/>
    <w:lvlOverride w:ilvl="0">
      <w:startOverride w:val="1"/>
    </w:lvlOverride>
    <w:lvlOverride w:ilvl="1">
      <w:startOverride w:val="1"/>
    </w:lvlOverride>
    <w:lvlOverride w:ilvl="2">
      <w:startOverride w:val="1"/>
    </w:lvlOverride>
    <w:lvlOverride w:ilvl="3">
      <w:startOverride w:val="1"/>
    </w:lvlOverride>
  </w:num>
  <w:num w:numId="825">
    <w:abstractNumId w:val="6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7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4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5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1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2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4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4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7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3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4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7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2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4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2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4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6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5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7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6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5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3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6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7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3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proofState w:spelling="clean" w:grammar="dirty"/>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3"/>
    </w:numPr>
    <w:pPr>
      <w:keepNext/>
      <w:numPr>
        <w:ilvl w:val="0"/>
        <w:numId w:val="753"/>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3"/>
    </w:numPr>
    <w:pPr>
      <w:numPr>
        <w:ilvl w:val="1"/>
        <w:numId w:val="753"/>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3"/>
    </w:numPr>
    <w:pPr>
      <w:numPr>
        <w:ilvl w:val="2"/>
        <w:numId w:val="753"/>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3"/>
    </w:numPr>
    <w:pPr>
      <w:numPr>
        <w:ilvl w:val="3"/>
        <w:numId w:val="753"/>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3"/>
    </w:numPr>
    <w:pPr>
      <w:numPr>
        <w:ilvl w:val="4"/>
        <w:numId w:val="753"/>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30"/>
    </w:numPr>
    <w:pPr>
      <w:numPr>
        <w:ilvl w:val="0"/>
        <w:numId w:val="230"/>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3"/>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5"/>
    </w:numPr>
    <w:pPr>
      <w:numPr>
        <w:ilvl w:val="0"/>
        <w:numId w:val="665"/>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6"/>
    </w:numPr>
    <w:pPr>
      <w:numPr>
        <w:ilvl w:val="0"/>
        <w:numId w:val="316"/>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3"/>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8"/>
    </w:numPr>
    <w:pPr>
      <w:numPr>
        <w:ilvl w:val="0"/>
        <w:numId w:val="448"/>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49" Type="http://schemas.openxmlformats.org/officeDocument/2006/relationships/styles" Target="styles.xml" /><Relationship Id="rId450" Type="http://schemas.openxmlformats.org/officeDocument/2006/relationships/settings" Target="settings.xml" /><Relationship Id="rId451" Type="http://schemas.openxmlformats.org/officeDocument/2006/relationships/theme" Target="theme/theme1.xml" /><Relationship Id="rId452" Type="http://schemas.openxmlformats.org/officeDocument/2006/relationships/numbering" Target="numbering.xml" /><Relationship Id="rId453"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4" Type="http://schemas.openxmlformats.org/officeDocument/2006/relationships/footer" Target="footer104.xml" /><Relationship Id="rId110" Type="http://schemas.openxmlformats.org/officeDocument/2006/relationships/footer" Target="footer110.xml" /><Relationship Id="rId135" Type="http://schemas.openxmlformats.org/officeDocument/2006/relationships/footer" Target="footer135.xml" /><Relationship Id="rId167" Type="http://schemas.openxmlformats.org/officeDocument/2006/relationships/footer" Target="footer167.xml" /><Relationship Id="rId192" Type="http://schemas.openxmlformats.org/officeDocument/2006/relationships/footer" Target="footer192.xml" /><Relationship Id="rId206" Type="http://schemas.openxmlformats.org/officeDocument/2006/relationships/footer" Target="footer206.xml" /><Relationship Id="rId237" Type="http://schemas.openxmlformats.org/officeDocument/2006/relationships/footer" Target="footer237.xml" /><Relationship Id="rId259" Type="http://schemas.openxmlformats.org/officeDocument/2006/relationships/footer" Target="footer259.xml" /><Relationship Id="rId269" Type="http://schemas.openxmlformats.org/officeDocument/2006/relationships/footer" Target="footer269.xml" /><Relationship Id="rId275" Type="http://schemas.openxmlformats.org/officeDocument/2006/relationships/footer" Target="footer275.xml" /><Relationship Id="rId283" Type="http://schemas.openxmlformats.org/officeDocument/2006/relationships/footer" Target="footer283.xml" /><Relationship Id="rId303" Type="http://schemas.openxmlformats.org/officeDocument/2006/relationships/footer" Target="footer303.xml" /><Relationship Id="rId337" Type="http://schemas.openxmlformats.org/officeDocument/2006/relationships/footer" Target="footer337.xml" /><Relationship Id="rId352" Type="http://schemas.openxmlformats.org/officeDocument/2006/relationships/footer" Target="footer352.xml" /><Relationship Id="rId378" Type="http://schemas.openxmlformats.org/officeDocument/2006/relationships/footer" Target="footer378.xml" /><Relationship Id="rId388" Type="http://schemas.openxmlformats.org/officeDocument/2006/relationships/footer" Target="footer388.xml" /><Relationship Id="rId395" Type="http://schemas.openxmlformats.org/officeDocument/2006/relationships/footer" Target="footer395.xml" /><Relationship Id="rId401" Type="http://schemas.openxmlformats.org/officeDocument/2006/relationships/footer" Target="footer401.xml" /><Relationship Id="rId423" Type="http://schemas.openxmlformats.org/officeDocument/2006/relationships/footer" Target="footer423.xml" /><Relationship Id="rId429" Type="http://schemas.openxmlformats.org/officeDocument/2006/relationships/footer" Target="footer429.xml" /><Relationship Id="rId26" Type="http://schemas.openxmlformats.org/officeDocument/2006/relationships/header" Target="header26.xml" /><Relationship Id="rId46" Type="http://schemas.openxmlformats.org/officeDocument/2006/relationships/header" Target="header46.xml" /><Relationship Id="rId134" Type="http://schemas.openxmlformats.org/officeDocument/2006/relationships/header" Target="header134.xml" /><Relationship Id="rId166" Type="http://schemas.openxmlformats.org/officeDocument/2006/relationships/header" Target="header166.xml" /><Relationship Id="rId179" Type="http://schemas.openxmlformats.org/officeDocument/2006/relationships/header" Target="header179.xml" /><Relationship Id="rId183" Type="http://schemas.openxmlformats.org/officeDocument/2006/relationships/header" Target="header183.xml" /><Relationship Id="rId191" Type="http://schemas.openxmlformats.org/officeDocument/2006/relationships/header" Target="header191.xml" /><Relationship Id="rId205" Type="http://schemas.openxmlformats.org/officeDocument/2006/relationships/header" Target="header205.xml" /><Relationship Id="rId236" Type="http://schemas.openxmlformats.org/officeDocument/2006/relationships/header" Target="header236.xml" /><Relationship Id="rId258" Type="http://schemas.openxmlformats.org/officeDocument/2006/relationships/header" Target="header258.xml" /><Relationship Id="rId268" Type="http://schemas.openxmlformats.org/officeDocument/2006/relationships/header" Target="header268.xml" /><Relationship Id="rId274" Type="http://schemas.openxmlformats.org/officeDocument/2006/relationships/header" Target="header274.xml" /><Relationship Id="rId282" Type="http://schemas.openxmlformats.org/officeDocument/2006/relationships/header" Target="header282.xml" /><Relationship Id="rId302" Type="http://schemas.openxmlformats.org/officeDocument/2006/relationships/header" Target="header302.xml" /><Relationship Id="rId336" Type="http://schemas.openxmlformats.org/officeDocument/2006/relationships/header" Target="header336.xml" /><Relationship Id="rId351" Type="http://schemas.openxmlformats.org/officeDocument/2006/relationships/header" Target="header351.xml" /><Relationship Id="rId377" Type="http://schemas.openxmlformats.org/officeDocument/2006/relationships/header" Target="header377.xml" /><Relationship Id="rId387" Type="http://schemas.openxmlformats.org/officeDocument/2006/relationships/header" Target="header387.xml" /><Relationship Id="rId394" Type="http://schemas.openxmlformats.org/officeDocument/2006/relationships/header" Target="header394.xml" /><Relationship Id="rId400" Type="http://schemas.openxmlformats.org/officeDocument/2006/relationships/header" Target="header400.xml" /><Relationship Id="rId422" Type="http://schemas.openxmlformats.org/officeDocument/2006/relationships/header" Target="header422.xml" /><Relationship Id="rId428" Type="http://schemas.openxmlformats.org/officeDocument/2006/relationships/header" Target="header428.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3" Type="http://schemas.openxmlformats.org/officeDocument/2006/relationships/footer" Target="footer103.xml" /><Relationship Id="rId109" Type="http://schemas.openxmlformats.org/officeDocument/2006/relationships/footer" Target="footer109.xml" /><Relationship Id="rId133" Type="http://schemas.openxmlformats.org/officeDocument/2006/relationships/footer" Target="footer133.xml" /><Relationship Id="rId165" Type="http://schemas.openxmlformats.org/officeDocument/2006/relationships/footer" Target="footer165.xml" /><Relationship Id="rId178" Type="http://schemas.openxmlformats.org/officeDocument/2006/relationships/footer" Target="footer178.xml" /><Relationship Id="rId190" Type="http://schemas.openxmlformats.org/officeDocument/2006/relationships/footer" Target="footer190.xml" /><Relationship Id="rId204" Type="http://schemas.openxmlformats.org/officeDocument/2006/relationships/footer" Target="footer204.xml" /><Relationship Id="rId235" Type="http://schemas.openxmlformats.org/officeDocument/2006/relationships/footer" Target="footer235.xml" /><Relationship Id="rId257" Type="http://schemas.openxmlformats.org/officeDocument/2006/relationships/footer" Target="footer257.xml" /><Relationship Id="rId267" Type="http://schemas.openxmlformats.org/officeDocument/2006/relationships/footer" Target="footer267.xml" /><Relationship Id="rId273" Type="http://schemas.openxmlformats.org/officeDocument/2006/relationships/footer" Target="footer273.xml" /><Relationship Id="rId281" Type="http://schemas.openxmlformats.org/officeDocument/2006/relationships/footer" Target="footer281.xml" /><Relationship Id="rId301" Type="http://schemas.openxmlformats.org/officeDocument/2006/relationships/footer" Target="footer301.xml" /><Relationship Id="rId335" Type="http://schemas.openxmlformats.org/officeDocument/2006/relationships/footer" Target="footer335.xml" /><Relationship Id="rId350" Type="http://schemas.openxmlformats.org/officeDocument/2006/relationships/footer" Target="footer350.xml" /><Relationship Id="rId376" Type="http://schemas.openxmlformats.org/officeDocument/2006/relationships/footer" Target="footer376.xml" /><Relationship Id="rId386" Type="http://schemas.openxmlformats.org/officeDocument/2006/relationships/footer" Target="footer386.xml" /><Relationship Id="rId393" Type="http://schemas.openxmlformats.org/officeDocument/2006/relationships/footer" Target="footer393.xml" /><Relationship Id="rId399" Type="http://schemas.openxmlformats.org/officeDocument/2006/relationships/footer" Target="footer399.xml" /><Relationship Id="rId421" Type="http://schemas.openxmlformats.org/officeDocument/2006/relationships/footer" Target="footer421.xml" /><Relationship Id="rId427" Type="http://schemas.openxmlformats.org/officeDocument/2006/relationships/footer" Target="footer427.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32" Type="http://schemas.openxmlformats.org/officeDocument/2006/relationships/header" Target="header132.xml" /><Relationship Id="rId164" Type="http://schemas.openxmlformats.org/officeDocument/2006/relationships/header" Target="header164.xml" /><Relationship Id="rId177" Type="http://schemas.openxmlformats.org/officeDocument/2006/relationships/header" Target="header177.xml" /><Relationship Id="rId182" Type="http://schemas.openxmlformats.org/officeDocument/2006/relationships/header" Target="header182.xml" /><Relationship Id="rId189" Type="http://schemas.openxmlformats.org/officeDocument/2006/relationships/header" Target="header189.xml" /><Relationship Id="rId203" Type="http://schemas.openxmlformats.org/officeDocument/2006/relationships/header" Target="header203.xml" /><Relationship Id="rId234" Type="http://schemas.openxmlformats.org/officeDocument/2006/relationships/header" Target="header234.xml" /><Relationship Id="rId256" Type="http://schemas.openxmlformats.org/officeDocument/2006/relationships/header" Target="header256.xml" /><Relationship Id="rId266" Type="http://schemas.openxmlformats.org/officeDocument/2006/relationships/header" Target="header266.xml" /><Relationship Id="rId272" Type="http://schemas.openxmlformats.org/officeDocument/2006/relationships/header" Target="header272.xml" /><Relationship Id="rId280" Type="http://schemas.openxmlformats.org/officeDocument/2006/relationships/header" Target="header280.xml" /><Relationship Id="rId300" Type="http://schemas.openxmlformats.org/officeDocument/2006/relationships/header" Target="header300.xml" /><Relationship Id="rId334" Type="http://schemas.openxmlformats.org/officeDocument/2006/relationships/header" Target="header334.xml" /><Relationship Id="rId349" Type="http://schemas.openxmlformats.org/officeDocument/2006/relationships/header" Target="header349.xml" /><Relationship Id="rId375" Type="http://schemas.openxmlformats.org/officeDocument/2006/relationships/header" Target="header375.xml" /><Relationship Id="rId385" Type="http://schemas.openxmlformats.org/officeDocument/2006/relationships/header" Target="header385.xml" /><Relationship Id="rId392" Type="http://schemas.openxmlformats.org/officeDocument/2006/relationships/header" Target="header392.xml" /><Relationship Id="rId398" Type="http://schemas.openxmlformats.org/officeDocument/2006/relationships/header" Target="header398.xml" /><Relationship Id="rId420" Type="http://schemas.openxmlformats.org/officeDocument/2006/relationships/header" Target="header420.xml" /><Relationship Id="rId426" Type="http://schemas.openxmlformats.org/officeDocument/2006/relationships/header" Target="header426.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5" Type="http://schemas.openxmlformats.org/officeDocument/2006/relationships/footer" Target="footer85.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6" Type="http://schemas.openxmlformats.org/officeDocument/2006/relationships/footer" Target="footer106.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3" Type="http://schemas.openxmlformats.org/officeDocument/2006/relationships/footer" Target="footer163.xml" /><Relationship Id="rId169" Type="http://schemas.openxmlformats.org/officeDocument/2006/relationships/footer" Target="footer169.xml" /><Relationship Id="rId171" Type="http://schemas.openxmlformats.org/officeDocument/2006/relationships/footer" Target="footer171.xml" /><Relationship Id="rId173" Type="http://schemas.openxmlformats.org/officeDocument/2006/relationships/footer" Target="footer173.xml" /><Relationship Id="rId174" Type="http://schemas.openxmlformats.org/officeDocument/2006/relationships/footer" Target="footer174.xml" /><Relationship Id="rId176" Type="http://schemas.openxmlformats.org/officeDocument/2006/relationships/footer" Target="footer176.xml" /><Relationship Id="rId181" Type="http://schemas.openxmlformats.org/officeDocument/2006/relationships/footer" Target="footer181.xml" /><Relationship Id="rId186" Type="http://schemas.openxmlformats.org/officeDocument/2006/relationships/footer" Target="footer186.xml" /><Relationship Id="rId188" Type="http://schemas.openxmlformats.org/officeDocument/2006/relationships/footer" Target="footer188.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2" Type="http://schemas.openxmlformats.org/officeDocument/2006/relationships/footer" Target="footer202.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4" Type="http://schemas.openxmlformats.org/officeDocument/2006/relationships/footer" Target="footer214.xml" /><Relationship Id="rId217" Type="http://schemas.openxmlformats.org/officeDocument/2006/relationships/footer" Target="footer217.xml" /><Relationship Id="rId219" Type="http://schemas.openxmlformats.org/officeDocument/2006/relationships/footer" Target="footer219.xml" /><Relationship Id="rId221" Type="http://schemas.openxmlformats.org/officeDocument/2006/relationships/footer" Target="footer221.xml" /><Relationship Id="rId223" Type="http://schemas.openxmlformats.org/officeDocument/2006/relationships/footer" Target="footer223.xml" /><Relationship Id="rId225" Type="http://schemas.openxmlformats.org/officeDocument/2006/relationships/footer" Target="footer225.xml" /><Relationship Id="rId227" Type="http://schemas.openxmlformats.org/officeDocument/2006/relationships/footer" Target="footer227.xml" /><Relationship Id="rId229" Type="http://schemas.openxmlformats.org/officeDocument/2006/relationships/footer" Target="footer229.xml" /><Relationship Id="rId231" Type="http://schemas.openxmlformats.org/officeDocument/2006/relationships/footer" Target="footer231.xml" /><Relationship Id="rId233" Type="http://schemas.openxmlformats.org/officeDocument/2006/relationships/footer" Target="footer233.xml" /><Relationship Id="rId239" Type="http://schemas.openxmlformats.org/officeDocument/2006/relationships/footer" Target="footer239.xml" /><Relationship Id="rId241" Type="http://schemas.openxmlformats.org/officeDocument/2006/relationships/footer" Target="footer241.xml" /><Relationship Id="rId243" Type="http://schemas.openxmlformats.org/officeDocument/2006/relationships/footer" Target="footer243.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5" Type="http://schemas.openxmlformats.org/officeDocument/2006/relationships/footer" Target="footer255.xml" /><Relationship Id="rId261" Type="http://schemas.openxmlformats.org/officeDocument/2006/relationships/footer" Target="footer261.xml" /><Relationship Id="rId263" Type="http://schemas.openxmlformats.org/officeDocument/2006/relationships/footer" Target="footer263.xml" /><Relationship Id="rId265" Type="http://schemas.openxmlformats.org/officeDocument/2006/relationships/footer" Target="footer265.xml" /><Relationship Id="rId271" Type="http://schemas.openxmlformats.org/officeDocument/2006/relationships/footer" Target="footer271.xml" /><Relationship Id="rId277" Type="http://schemas.openxmlformats.org/officeDocument/2006/relationships/footer" Target="footer277.xml" /><Relationship Id="rId279" Type="http://schemas.openxmlformats.org/officeDocument/2006/relationships/footer" Target="footer279.xml" /><Relationship Id="rId285" Type="http://schemas.openxmlformats.org/officeDocument/2006/relationships/footer" Target="footer285.xml" /><Relationship Id="rId287" Type="http://schemas.openxmlformats.org/officeDocument/2006/relationships/footer" Target="footer287.xml" /><Relationship Id="rId289" Type="http://schemas.openxmlformats.org/officeDocument/2006/relationships/footer" Target="footer289.xml" /><Relationship Id="rId291" Type="http://schemas.openxmlformats.org/officeDocument/2006/relationships/footer" Target="footer291.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299" Type="http://schemas.openxmlformats.org/officeDocument/2006/relationships/footer" Target="footer299.xml" /><Relationship Id="rId305" Type="http://schemas.openxmlformats.org/officeDocument/2006/relationships/footer" Target="footer305.xml" /><Relationship Id="rId307" Type="http://schemas.openxmlformats.org/officeDocument/2006/relationships/footer" Target="footer307.xml" /><Relationship Id="rId309" Type="http://schemas.openxmlformats.org/officeDocument/2006/relationships/footer" Target="footer309.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3" Type="http://schemas.openxmlformats.org/officeDocument/2006/relationships/footer" Target="footer323.xml" /><Relationship Id="rId325" Type="http://schemas.openxmlformats.org/officeDocument/2006/relationships/footer" Target="footer325.xml" /><Relationship Id="rId327" Type="http://schemas.openxmlformats.org/officeDocument/2006/relationships/footer" Target="footer327.xml" /><Relationship Id="rId329" Type="http://schemas.openxmlformats.org/officeDocument/2006/relationships/footer" Target="footer329.xml" /><Relationship Id="rId331" Type="http://schemas.openxmlformats.org/officeDocument/2006/relationships/footer" Target="footer331.xml" /><Relationship Id="rId333" Type="http://schemas.openxmlformats.org/officeDocument/2006/relationships/footer" Target="footer333.xml" /><Relationship Id="rId339" Type="http://schemas.openxmlformats.org/officeDocument/2006/relationships/footer" Target="footer339.xml" /><Relationship Id="rId340" Type="http://schemas.openxmlformats.org/officeDocument/2006/relationships/footer" Target="footer340.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48" Type="http://schemas.openxmlformats.org/officeDocument/2006/relationships/footer" Target="footer348.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4" Type="http://schemas.openxmlformats.org/officeDocument/2006/relationships/footer" Target="footer374.xml" /><Relationship Id="rId380" Type="http://schemas.openxmlformats.org/officeDocument/2006/relationships/footer" Target="footer380.xml" /><Relationship Id="rId382" Type="http://schemas.openxmlformats.org/officeDocument/2006/relationships/footer" Target="footer382.xml" /><Relationship Id="rId384" Type="http://schemas.openxmlformats.org/officeDocument/2006/relationships/footer" Target="footer384.xml" /><Relationship Id="rId390" Type="http://schemas.openxmlformats.org/officeDocument/2006/relationships/footer" Target="footer390.xml" /><Relationship Id="rId397" Type="http://schemas.openxmlformats.org/officeDocument/2006/relationships/footer" Target="footer397.xml" /><Relationship Id="rId403" Type="http://schemas.openxmlformats.org/officeDocument/2006/relationships/footer" Target="footer403.xml" /><Relationship Id="rId405" Type="http://schemas.openxmlformats.org/officeDocument/2006/relationships/footer" Target="footer405.xml" /><Relationship Id="rId407" Type="http://schemas.openxmlformats.org/officeDocument/2006/relationships/footer" Target="footer407.xml" /><Relationship Id="rId409" Type="http://schemas.openxmlformats.org/officeDocument/2006/relationships/footer" Target="footer409.xml" /><Relationship Id="rId411" Type="http://schemas.openxmlformats.org/officeDocument/2006/relationships/footer" Target="footer411.xml" /><Relationship Id="rId413" Type="http://schemas.openxmlformats.org/officeDocument/2006/relationships/footer" Target="footer413.xml" /><Relationship Id="rId415" Type="http://schemas.openxmlformats.org/officeDocument/2006/relationships/footer" Target="footer415.xml" /><Relationship Id="rId417" Type="http://schemas.openxmlformats.org/officeDocument/2006/relationships/footer" Target="footer417.xml" /><Relationship Id="rId419" Type="http://schemas.openxmlformats.org/officeDocument/2006/relationships/footer" Target="footer419.xml" /><Relationship Id="rId425" Type="http://schemas.openxmlformats.org/officeDocument/2006/relationships/footer" Target="footer425.xml" /><Relationship Id="rId431" Type="http://schemas.openxmlformats.org/officeDocument/2006/relationships/footer" Target="footer431.xml" /><Relationship Id="rId433" Type="http://schemas.openxmlformats.org/officeDocument/2006/relationships/footer" Target="footer433.xml" /><Relationship Id="rId435" Type="http://schemas.openxmlformats.org/officeDocument/2006/relationships/footer" Target="footer435.xml" /><Relationship Id="rId437" Type="http://schemas.openxmlformats.org/officeDocument/2006/relationships/footer" Target="footer437.xml" /><Relationship Id="rId439" Type="http://schemas.openxmlformats.org/officeDocument/2006/relationships/footer" Target="footer439.xml" /><Relationship Id="rId441" Type="http://schemas.openxmlformats.org/officeDocument/2006/relationships/footer" Target="footer441.xml" /><Relationship Id="rId443" Type="http://schemas.openxmlformats.org/officeDocument/2006/relationships/footer" Target="footer443.xml" /><Relationship Id="rId445" Type="http://schemas.openxmlformats.org/officeDocument/2006/relationships/footer" Target="footer445.xml" /><Relationship Id="rId447" Type="http://schemas.openxmlformats.org/officeDocument/2006/relationships/footer" Target="footer447.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4" Type="http://schemas.openxmlformats.org/officeDocument/2006/relationships/header" Target="header84.xml" /><Relationship Id="rId86" Type="http://schemas.openxmlformats.org/officeDocument/2006/relationships/header" Target="header86.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5" Type="http://schemas.openxmlformats.org/officeDocument/2006/relationships/header" Target="header105.xml" /><Relationship Id="rId107" Type="http://schemas.openxmlformats.org/officeDocument/2006/relationships/header" Target="header107.xml" /><Relationship Id="rId108" Type="http://schemas.openxmlformats.org/officeDocument/2006/relationships/header" Target="header108.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2" Type="http://schemas.openxmlformats.org/officeDocument/2006/relationships/header" Target="header162.xml" /><Relationship Id="rId168" Type="http://schemas.openxmlformats.org/officeDocument/2006/relationships/header" Target="header168.xml" /><Relationship Id="rId170" Type="http://schemas.openxmlformats.org/officeDocument/2006/relationships/header" Target="header170.xml" /><Relationship Id="rId172" Type="http://schemas.openxmlformats.org/officeDocument/2006/relationships/header" Target="header172.xml" /><Relationship Id="rId175" Type="http://schemas.openxmlformats.org/officeDocument/2006/relationships/header" Target="header175.xml" /><Relationship Id="rId180" Type="http://schemas.openxmlformats.org/officeDocument/2006/relationships/header" Target="header180.xml" /><Relationship Id="rId184" Type="http://schemas.openxmlformats.org/officeDocument/2006/relationships/header" Target="header184.xml" /><Relationship Id="rId185" Type="http://schemas.openxmlformats.org/officeDocument/2006/relationships/header" Target="header185.xml" /><Relationship Id="rId187" Type="http://schemas.openxmlformats.org/officeDocument/2006/relationships/header" Target="header187.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1" Type="http://schemas.openxmlformats.org/officeDocument/2006/relationships/header" Target="header201.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3" Type="http://schemas.openxmlformats.org/officeDocument/2006/relationships/header" Target="header213.xml" /><Relationship Id="rId216" Type="http://schemas.openxmlformats.org/officeDocument/2006/relationships/header" Target="header216.xml" /><Relationship Id="rId218" Type="http://schemas.openxmlformats.org/officeDocument/2006/relationships/header" Target="header218.xml" /><Relationship Id="rId220" Type="http://schemas.openxmlformats.org/officeDocument/2006/relationships/header" Target="header220.xml" /><Relationship Id="rId222" Type="http://schemas.openxmlformats.org/officeDocument/2006/relationships/header" Target="header222.xml" /><Relationship Id="rId224" Type="http://schemas.openxmlformats.org/officeDocument/2006/relationships/header" Target="header224.xml" /><Relationship Id="rId226" Type="http://schemas.openxmlformats.org/officeDocument/2006/relationships/header" Target="header226.xml" /><Relationship Id="rId228" Type="http://schemas.openxmlformats.org/officeDocument/2006/relationships/header" Target="header228.xml" /><Relationship Id="rId230" Type="http://schemas.openxmlformats.org/officeDocument/2006/relationships/header" Target="header230.xml" /><Relationship Id="rId232" Type="http://schemas.openxmlformats.org/officeDocument/2006/relationships/header" Target="header232.xml" /><Relationship Id="rId238" Type="http://schemas.openxmlformats.org/officeDocument/2006/relationships/header" Target="header238.xml" /><Relationship Id="rId240" Type="http://schemas.openxmlformats.org/officeDocument/2006/relationships/header" Target="header240.xml" /><Relationship Id="rId242" Type="http://schemas.openxmlformats.org/officeDocument/2006/relationships/header" Target="header242.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4" Type="http://schemas.openxmlformats.org/officeDocument/2006/relationships/header" Target="header254.xml" /><Relationship Id="rId260" Type="http://schemas.openxmlformats.org/officeDocument/2006/relationships/header" Target="header260.xml" /><Relationship Id="rId262" Type="http://schemas.openxmlformats.org/officeDocument/2006/relationships/header" Target="header262.xml" /><Relationship Id="rId264" Type="http://schemas.openxmlformats.org/officeDocument/2006/relationships/header" Target="header264.xml" /><Relationship Id="rId270" Type="http://schemas.openxmlformats.org/officeDocument/2006/relationships/header" Target="header270.xml" /><Relationship Id="rId276" Type="http://schemas.openxmlformats.org/officeDocument/2006/relationships/header" Target="header276.xml" /><Relationship Id="rId278" Type="http://schemas.openxmlformats.org/officeDocument/2006/relationships/header" Target="header278.xml" /><Relationship Id="rId284" Type="http://schemas.openxmlformats.org/officeDocument/2006/relationships/header" Target="header284.xml" /><Relationship Id="rId286" Type="http://schemas.openxmlformats.org/officeDocument/2006/relationships/header" Target="header286.xml" /><Relationship Id="rId288" Type="http://schemas.openxmlformats.org/officeDocument/2006/relationships/header" Target="header288.xml" /><Relationship Id="rId290" Type="http://schemas.openxmlformats.org/officeDocument/2006/relationships/header" Target="header290.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298" Type="http://schemas.openxmlformats.org/officeDocument/2006/relationships/header" Target="header298.xml" /><Relationship Id="rId304" Type="http://schemas.openxmlformats.org/officeDocument/2006/relationships/header" Target="header304.xml" /><Relationship Id="rId306" Type="http://schemas.openxmlformats.org/officeDocument/2006/relationships/header" Target="header306.xml" /><Relationship Id="rId308" Type="http://schemas.openxmlformats.org/officeDocument/2006/relationships/header" Target="header308.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2" Type="http://schemas.openxmlformats.org/officeDocument/2006/relationships/header" Target="header322.xml" /><Relationship Id="rId324" Type="http://schemas.openxmlformats.org/officeDocument/2006/relationships/header" Target="header324.xml" /><Relationship Id="rId326" Type="http://schemas.openxmlformats.org/officeDocument/2006/relationships/header" Target="header326.xml" /><Relationship Id="rId328" Type="http://schemas.openxmlformats.org/officeDocument/2006/relationships/header" Target="header328.xml" /><Relationship Id="rId330" Type="http://schemas.openxmlformats.org/officeDocument/2006/relationships/header" Target="header330.xml" /><Relationship Id="rId332" Type="http://schemas.openxmlformats.org/officeDocument/2006/relationships/header" Target="header332.xml" /><Relationship Id="rId338" Type="http://schemas.openxmlformats.org/officeDocument/2006/relationships/header" Target="header338.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47" Type="http://schemas.openxmlformats.org/officeDocument/2006/relationships/header" Target="header347.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3" Type="http://schemas.openxmlformats.org/officeDocument/2006/relationships/header" Target="header373.xml" /><Relationship Id="rId379" Type="http://schemas.openxmlformats.org/officeDocument/2006/relationships/header" Target="header379.xml" /><Relationship Id="rId381" Type="http://schemas.openxmlformats.org/officeDocument/2006/relationships/header" Target="header381.xml" /><Relationship Id="rId383" Type="http://schemas.openxmlformats.org/officeDocument/2006/relationships/header" Target="header383.xml" /><Relationship Id="rId389" Type="http://schemas.openxmlformats.org/officeDocument/2006/relationships/header" Target="header389.xml" /><Relationship Id="rId396" Type="http://schemas.openxmlformats.org/officeDocument/2006/relationships/header" Target="header396.xml" /><Relationship Id="rId402" Type="http://schemas.openxmlformats.org/officeDocument/2006/relationships/header" Target="header402.xml" /><Relationship Id="rId404" Type="http://schemas.openxmlformats.org/officeDocument/2006/relationships/header" Target="header404.xml" /><Relationship Id="rId406" Type="http://schemas.openxmlformats.org/officeDocument/2006/relationships/header" Target="header406.xml" /><Relationship Id="rId408" Type="http://schemas.openxmlformats.org/officeDocument/2006/relationships/header" Target="header408.xml" /><Relationship Id="rId410" Type="http://schemas.openxmlformats.org/officeDocument/2006/relationships/header" Target="header410.xml" /><Relationship Id="rId412" Type="http://schemas.openxmlformats.org/officeDocument/2006/relationships/header" Target="header412.xml" /><Relationship Id="rId414" Type="http://schemas.openxmlformats.org/officeDocument/2006/relationships/header" Target="header414.xml" /><Relationship Id="rId416" Type="http://schemas.openxmlformats.org/officeDocument/2006/relationships/header" Target="header416.xml" /><Relationship Id="rId418" Type="http://schemas.openxmlformats.org/officeDocument/2006/relationships/header" Target="header418.xml" /><Relationship Id="rId424" Type="http://schemas.openxmlformats.org/officeDocument/2006/relationships/header" Target="header424.xml" /><Relationship Id="rId430" Type="http://schemas.openxmlformats.org/officeDocument/2006/relationships/header" Target="header430.xml" /><Relationship Id="rId432" Type="http://schemas.openxmlformats.org/officeDocument/2006/relationships/header" Target="header432.xml" /><Relationship Id="rId434" Type="http://schemas.openxmlformats.org/officeDocument/2006/relationships/header" Target="header434.xml" /><Relationship Id="rId436" Type="http://schemas.openxmlformats.org/officeDocument/2006/relationships/header" Target="header436.xml" /><Relationship Id="rId438" Type="http://schemas.openxmlformats.org/officeDocument/2006/relationships/header" Target="header438.xml" /><Relationship Id="rId440" Type="http://schemas.openxmlformats.org/officeDocument/2006/relationships/header" Target="header440.xml" /><Relationship Id="rId442" Type="http://schemas.openxmlformats.org/officeDocument/2006/relationships/header" Target="header442.xml" /><Relationship Id="rId444" Type="http://schemas.openxmlformats.org/officeDocument/2006/relationships/header" Target="header444.xml" /><Relationship Id="rId454" Type="http://schemas.openxmlformats.org/officeDocument/2006/relationships/fontTable" Target="fontTable.xml" /><Relationship Id="rId82" Type="http://schemas.openxmlformats.org/officeDocument/2006/relationships/image" Target="media/image1.png" /><Relationship Id="rId83" Type="http://schemas.openxmlformats.org/officeDocument/2006/relationships/image" Target="media/image2.png" /><Relationship Id="rId215" Type="http://schemas.openxmlformats.org/officeDocument/2006/relationships/image" Target="media/image4.wmf" /><Relationship Id="rId391" Type="http://schemas.openxmlformats.org/officeDocument/2006/relationships/image" Target="media/image5.gif" /><Relationship Id="rId446" Type="http://schemas.openxmlformats.org/officeDocument/2006/relationships/image" Target="media/image6.emf" /><Relationship Id="rId455" Type="http://schemas.openxmlformats.org/officeDocument/2006/relationships/customXml" Target="../customXml/item1.xml" /></Relationships>
</file>

<file path=word/_rels/header177.xml.rels>&#65279;<?xml version="1.0" encoding="utf-8" standalone="yes"?><Relationships xmlns="http://schemas.openxmlformats.org/package/2006/relationships"><Relationship Id="rId448" Type="http://schemas.openxmlformats.org/officeDocument/2006/relationships/image" Target="media/image3.png" /></Relationships>
</file>

<file path=word/_rels/header179.xml.rels>&#65279;<?xml version="1.0" encoding="utf-8" standalone="yes"?><Relationships xmlns="http://schemas.openxmlformats.org/package/2006/relationships"><Relationship Id="rId448" Type="http://schemas.openxmlformats.org/officeDocument/2006/relationships/image" Target="media/image3.png" /></Relationships>
</file>

<file path=word/_rels/header180.xml.rels>&#65279;<?xml version="1.0" encoding="utf-8" standalone="yes"?><Relationships xmlns="http://schemas.openxmlformats.org/package/2006/relationships"><Relationship Id="rId448"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CC2F2-BA25-4B18-BFB7-F9BA066C86C9}">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1746</TotalTime>
  <Pages>292</Pages>
  <Words>142532</Words>
  <Characters>812434</Characters>
  <Application>Microsoft Office Word</Application>
  <DocSecurity>0</DocSecurity>
  <Lines>6770</Lines>
  <Paragraphs>1906</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2019-12-08T22:37:00Z</cp:lastPrinted>
  <cp:revision>40</cp:revision>
  <dcterms:created xsi:type="dcterms:W3CDTF">2019-07-09T16:54:00Z</dcterms:created>
  <dcterms:modified xsi:type="dcterms:W3CDTF">2019-12-13T02:07:00Z</dcterms:modified>
</cp:coreProperties>
</file>