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90.xml" ContentType="application/vnd.openxmlformats-officedocument.wordprocessingml.footer+xml"/>
  <Override PartName="/word/footer204.xml" ContentType="application/vnd.openxmlformats-officedocument.wordprocessingml.footer+xml"/>
  <Override PartName="/word/footer235.xml" ContentType="application/vnd.openxmlformats-officedocument.wordprocessingml.footer+xml"/>
  <Override PartName="/word/footer257.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81.xml" ContentType="application/vnd.openxmlformats-officedocument.wordprocessingml.footer+xml"/>
  <Override PartName="/word/footer301.xml" ContentType="application/vnd.openxmlformats-officedocument.wordprocessingml.footer+xml"/>
  <Override PartName="/word/footer335.xml" ContentType="application/vnd.openxmlformats-officedocument.wordprocessingml.footer+xml"/>
  <Override PartName="/word/footer350.xml" ContentType="application/vnd.openxmlformats-officedocument.wordprocessingml.footer+xml"/>
  <Override PartName="/word/footer376.xml" ContentType="application/vnd.openxmlformats-officedocument.wordprocessingml.footer+xml"/>
  <Override PartName="/word/footer386.xml" ContentType="application/vnd.openxmlformats-officedocument.wordprocessingml.footer+xml"/>
  <Override PartName="/word/footer393.xml" ContentType="application/vnd.openxmlformats-officedocument.wordprocessingml.footer+xml"/>
  <Override PartName="/word/footer39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77.xml" ContentType="application/vnd.openxmlformats-officedocument.wordprocessingml.header+xml"/>
  <Override PartName="/word/header181.xml" ContentType="application/vnd.openxmlformats-officedocument.wordprocessingml.header+xml"/>
  <Override PartName="/word/header189.xml" ContentType="application/vnd.openxmlformats-officedocument.wordprocessingml.header+xml"/>
  <Override PartName="/word/header203.xml" ContentType="application/vnd.openxmlformats-officedocument.wordprocessingml.header+xml"/>
  <Override PartName="/word/header234.xml" ContentType="application/vnd.openxmlformats-officedocument.wordprocessingml.header+xml"/>
  <Override PartName="/word/header256.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80.xml" ContentType="application/vnd.openxmlformats-officedocument.wordprocessingml.header+xml"/>
  <Override PartName="/word/header300.xml" ContentType="application/vnd.openxmlformats-officedocument.wordprocessingml.header+xml"/>
  <Override PartName="/word/header334.xml" ContentType="application/vnd.openxmlformats-officedocument.wordprocessingml.header+xml"/>
  <Override PartName="/word/header349.xml" ContentType="application/vnd.openxmlformats-officedocument.wordprocessingml.header+xml"/>
  <Override PartName="/word/header375.xml" ContentType="application/vnd.openxmlformats-officedocument.wordprocessingml.header+xml"/>
  <Override PartName="/word/header385.xml" ContentType="application/vnd.openxmlformats-officedocument.wordprocessingml.header+xml"/>
  <Override PartName="/word/header392.xml" ContentType="application/vnd.openxmlformats-officedocument.wordprocessingml.header+xml"/>
  <Override PartName="/word/header39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76.xml" ContentType="application/vnd.openxmlformats-officedocument.wordprocessingml.footer+xml"/>
  <Override PartName="/word/footer188.xml" ContentType="application/vnd.openxmlformats-officedocument.wordprocessingml.footer+xml"/>
  <Override PartName="/word/footer202.xml" ContentType="application/vnd.openxmlformats-officedocument.wordprocessingml.footer+xml"/>
  <Override PartName="/word/footer233.xml" ContentType="application/vnd.openxmlformats-officedocument.wordprocessingml.footer+xml"/>
  <Override PartName="/word/footer255.xml" ContentType="application/vnd.openxmlformats-officedocument.wordprocessingml.footer+xml"/>
  <Override PartName="/word/footer265.xml" ContentType="application/vnd.openxmlformats-officedocument.wordprocessingml.footer+xml"/>
  <Override PartName="/word/footer271.xml" ContentType="application/vnd.openxmlformats-officedocument.wordprocessingml.footer+xml"/>
  <Override PartName="/word/footer279.xml" ContentType="application/vnd.openxmlformats-officedocument.wordprocessingml.footer+xml"/>
  <Override PartName="/word/footer299.xml" ContentType="application/vnd.openxmlformats-officedocument.wordprocessingml.footer+xml"/>
  <Override PartName="/word/footer333.xml" ContentType="application/vnd.openxmlformats-officedocument.wordprocessingml.footer+xml"/>
  <Override PartName="/word/footer348.xml" ContentType="application/vnd.openxmlformats-officedocument.wordprocessingml.footer+xml"/>
  <Override PartName="/word/footer374.xml" ContentType="application/vnd.openxmlformats-officedocument.wordprocessingml.footer+xml"/>
  <Override PartName="/word/footer384.xml" ContentType="application/vnd.openxmlformats-officedocument.wordprocessingml.footer+xml"/>
  <Override PartName="/word/footer391.xml" ContentType="application/vnd.openxmlformats-officedocument.wordprocessingml.footer+xml"/>
  <Override PartName="/word/footer397.xml" ContentType="application/vnd.openxmlformats-officedocument.wordprocessingml.footer+xml"/>
  <Override PartName="/word/footer419.xml" ContentType="application/vnd.openxmlformats-officedocument.wordprocessingml.footer+xml"/>
  <Override PartName="/word/footer425.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5.xml" ContentType="application/vnd.openxmlformats-officedocument.wordprocessingml.header+xml"/>
  <Override PartName="/word/header180.xml" ContentType="application/vnd.openxmlformats-officedocument.wordprocessingml.header+xml"/>
  <Override PartName="/word/header187.xml" ContentType="application/vnd.openxmlformats-officedocument.wordprocessingml.header+xml"/>
  <Override PartName="/word/header201.xml" ContentType="application/vnd.openxmlformats-officedocument.wordprocessingml.header+xml"/>
  <Override PartName="/word/header232.xml" ContentType="application/vnd.openxmlformats-officedocument.wordprocessingml.header+xml"/>
  <Override PartName="/word/header254.xml" ContentType="application/vnd.openxmlformats-officedocument.wordprocessingml.header+xml"/>
  <Override PartName="/word/header264.xml" ContentType="application/vnd.openxmlformats-officedocument.wordprocessingml.header+xml"/>
  <Override PartName="/word/header270.xml" ContentType="application/vnd.openxmlformats-officedocument.wordprocessingml.header+xml"/>
  <Override PartName="/word/header278.xml" ContentType="application/vnd.openxmlformats-officedocument.wordprocessingml.header+xml"/>
  <Override PartName="/word/header298.xml" ContentType="application/vnd.openxmlformats-officedocument.wordprocessingml.header+xml"/>
  <Override PartName="/word/header332.xml" ContentType="application/vnd.openxmlformats-officedocument.wordprocessingml.header+xml"/>
  <Override PartName="/word/header347.xml" ContentType="application/vnd.openxmlformats-officedocument.wordprocessingml.header+xml"/>
  <Override PartName="/word/header373.xml" ContentType="application/vnd.openxmlformats-officedocument.wordprocessingml.header+xml"/>
  <Override PartName="/word/header383.xml" ContentType="application/vnd.openxmlformats-officedocument.wordprocessingml.header+xml"/>
  <Override PartName="/word/header390.xml" ContentType="application/vnd.openxmlformats-officedocument.wordprocessingml.header+xml"/>
  <Override PartName="/word/header396.xml" ContentType="application/vnd.openxmlformats-officedocument.wordprocessingml.header+xml"/>
  <Override PartName="/word/header418.xml" ContentType="application/vnd.openxmlformats-officedocument.wordprocessingml.header+xml"/>
  <Override PartName="/word/header424.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9.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9.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8.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3.xml" ContentType="application/vnd.openxmlformats-officedocument.wordprocessingml.header+xml"/>
  <Override PartName="/word/header178.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8.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6.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7.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2"/>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2"/>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2"/>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2"/>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2"/>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2"/>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2"/>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2"/>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2"/>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2"/>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8"/>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8"/>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8"/>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8"/>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8"/>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8"/>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8"/>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8"/>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8"/>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8"/>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9"/>
        </w:numPr>
        <w:spacing w:line="480" w:lineRule="auto"/>
        <w:rPr>
          <w:sz w:val="24"/>
          <w:szCs w:val="24"/>
        </w:rPr>
      </w:pPr>
      <w:r>
        <w:rPr>
          <w:sz w:val="24"/>
          <w:szCs w:val="24"/>
        </w:rPr>
        <w:t xml:space="preserve">CODE OF CONDUCT</w:t>
      </w:r>
    </w:p>
    <w:p>
      <w:pPr>
        <w:pStyle w:val="ABCgood"/>
        <w:numPr>
          <w:ilvl w:val="1"/>
          <w:numId w:val="773"/>
        </w:numPr>
        <w:spacing w:line="480" w:lineRule="auto"/>
        <w:rPr>
          <w:sz w:val="24"/>
          <w:szCs w:val="24"/>
        </w:rPr>
      </w:pPr>
      <w:r>
        <w:rPr>
          <w:sz w:val="24"/>
          <w:szCs w:val="24"/>
        </w:rPr>
        <w:t xml:space="preserve">HONESTY AND LAWFUL CONDUCT </w:t>
      </w:r>
    </w:p>
    <w:p>
      <w:pPr>
        <w:pStyle w:val="ABCgood"/>
        <w:numPr>
          <w:ilvl w:val="1"/>
          <w:numId w:val="773"/>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73"/>
        </w:numPr>
        <w:spacing w:line="480" w:lineRule="auto"/>
        <w:rPr>
          <w:sz w:val="24"/>
          <w:szCs w:val="24"/>
        </w:rPr>
      </w:pPr>
      <w:r>
        <w:rPr>
          <w:sz w:val="24"/>
          <w:szCs w:val="24"/>
        </w:rPr>
        <w:t xml:space="preserve">QUESTIONS AND CONCERNS </w:t>
      </w:r>
    </w:p>
    <w:p>
      <w:pPr>
        <w:pStyle w:val="ABCgood"/>
        <w:numPr>
          <w:ilvl w:val="1"/>
          <w:numId w:val="773"/>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73"/>
        </w:numPr>
        <w:spacing w:before="100" w:line="480" w:lineRule="auto"/>
        <w:rPr>
          <w:sz w:val="24"/>
          <w:szCs w:val="24"/>
        </w:rPr>
      </w:pPr>
      <w:r>
        <w:rPr>
          <w:sz w:val="24"/>
          <w:szCs w:val="24"/>
        </w:rPr>
        <w:t xml:space="preserve">CODE OF CONDUCT STANDARDS </w:t>
      </w:r>
    </w:p>
    <w:p>
      <w:pPr>
        <w:pStyle w:val="ABCgood"/>
        <w:numPr>
          <w:ilvl w:val="1"/>
          <w:numId w:val="773"/>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73"/>
        </w:numPr>
        <w:spacing w:line="480" w:lineRule="auto"/>
        <w:rPr>
          <w:sz w:val="24"/>
          <w:szCs w:val="24"/>
        </w:rPr>
      </w:pPr>
      <w:r>
        <w:rPr>
          <w:sz w:val="24"/>
          <w:szCs w:val="24"/>
        </w:rPr>
        <w:t xml:space="preserve">STANDARDS RELATING TO QUALITY OF CARE AND SERVICES </w:t>
      </w:r>
    </w:p>
    <w:p>
      <w:pPr>
        <w:pStyle w:val="ABCgood"/>
        <w:numPr>
          <w:ilvl w:val="1"/>
          <w:numId w:val="773"/>
        </w:numPr>
        <w:spacing w:line="480" w:lineRule="auto"/>
        <w:rPr>
          <w:sz w:val="24"/>
          <w:szCs w:val="24"/>
        </w:rPr>
      </w:pPr>
      <w:r>
        <w:rPr>
          <w:sz w:val="24"/>
          <w:szCs w:val="24"/>
        </w:rPr>
        <w:t xml:space="preserve">STANDARDS RELATING TO BILLING AND CODING </w:t>
      </w:r>
    </w:p>
    <w:p>
      <w:pPr>
        <w:pStyle w:val="ABCgood"/>
        <w:numPr>
          <w:ilvl w:val="1"/>
          <w:numId w:val="773"/>
        </w:numPr>
        <w:spacing w:line="480" w:lineRule="auto"/>
        <w:rPr>
          <w:sz w:val="24"/>
          <w:szCs w:val="24"/>
        </w:rPr>
      </w:pPr>
      <w:r>
        <w:rPr>
          <w:sz w:val="24"/>
          <w:szCs w:val="24"/>
        </w:rPr>
        <w:t xml:space="preserve">STANDARDS RELATING TO BUSINESS PRACTICES </w:t>
      </w:r>
    </w:p>
    <w:p>
      <w:pPr>
        <w:pStyle w:val="ABCgood"/>
        <w:numPr>
          <w:ilvl w:val="1"/>
          <w:numId w:val="773"/>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73"/>
        </w:numPr>
        <w:spacing w:line="480" w:lineRule="auto"/>
        <w:rPr>
          <w:sz w:val="24"/>
          <w:szCs w:val="24"/>
        </w:rPr>
      </w:pPr>
      <w:r>
        <w:rPr>
          <w:sz w:val="24"/>
          <w:szCs w:val="24"/>
        </w:rPr>
        <w:t xml:space="preserve">STANDARDS RELATING TO CONFIDENTIALITY</w:t>
      </w:r>
    </w:p>
    <w:p>
      <w:pPr>
        <w:pStyle w:val="II"/>
        <w:numPr>
          <w:ilvl w:val="0"/>
          <w:numId w:val="773"/>
        </w:numPr>
        <w:spacing w:before="100" w:line="480" w:lineRule="auto"/>
        <w:rPr>
          <w:sz w:val="24"/>
          <w:szCs w:val="24"/>
        </w:rPr>
      </w:pPr>
      <w:r>
        <w:rPr>
          <w:sz w:val="24"/>
          <w:szCs w:val="24"/>
        </w:rPr>
        <w:t xml:space="preserve">EDUCATION </w:t>
      </w:r>
    </w:p>
    <w:p>
      <w:pPr>
        <w:pStyle w:val="IIIIII"/>
        <w:numPr>
          <w:ilvl w:val="0"/>
          <w:numId w:val="773"/>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73"/>
        </w:numPr>
        <w:spacing w:before="100" w:line="480" w:lineRule="auto"/>
        <w:rPr>
          <w:sz w:val="24"/>
          <w:szCs w:val="24"/>
        </w:rPr>
      </w:pPr>
      <w:r>
        <w:rPr>
          <w:sz w:val="24"/>
          <w:szCs w:val="24"/>
        </w:rPr>
        <w:t xml:space="preserve">REPORTING OF VIOLATIONS</w:t>
      </w:r>
    </w:p>
    <w:p>
      <w:pPr>
        <w:pStyle w:val="IIIIII"/>
        <w:numPr>
          <w:ilvl w:val="0"/>
          <w:numId w:val="773"/>
        </w:numPr>
        <w:spacing w:before="100" w:line="480" w:lineRule="auto"/>
        <w:rPr>
          <w:sz w:val="24"/>
          <w:szCs w:val="24"/>
        </w:rPr>
      </w:pPr>
      <w:r>
        <w:rPr>
          <w:sz w:val="24"/>
          <w:szCs w:val="24"/>
        </w:rPr>
        <w:t xml:space="preserve">DISCIPLINARY ACTION </w:t>
      </w:r>
    </w:p>
    <w:p>
      <w:pPr>
        <w:pStyle w:val="IIIIII"/>
        <w:numPr>
          <w:ilvl w:val="0"/>
          <w:numId w:val="773"/>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bookmarkStart w:id="20" w:name="_GoBack"/>
      <w:bookmarkEnd w:id="20"/>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w:t>
      </w:r>
      <w:r>
        <w:rPr>
          <w:rFonts w:ascii="Verdana" w:hAnsi="Verdana" w:eastAsia="Verdana"/>
          <w:szCs w:val="24"/>
        </w:rPr>
        <w:t xml:space="preserve">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4"/>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professional groups and associations, and to be familiar with the laws that affect their specific job duties.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4"/>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w:t>
      </w:r>
      <w:r>
        <w:rPr>
          <w:rFonts w:ascii="Verdana" w:hAnsi="Verdana" w:eastAsia="Verdana"/>
          <w:szCs w:val="24"/>
        </w:rPr>
        <w:t xml:space="preserve">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4"/>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decisions about their own care, treatment and discharge.</w:t>
      </w:r>
    </w:p>
    <w:p>
      <w:pPr>
        <w:numPr>
          <w:ilvl w:val="3"/>
          <w:numId w:val="614"/>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4"/>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4"/>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takes all reasonable steps to ensure that its billing software reliably and accurately codes and bills all services according to </w:t>
      </w:r>
      <w:r>
        <w:rPr>
          <w:rFonts w:ascii="Verdana" w:hAnsi="Verdana" w:eastAsia="Verdana"/>
          <w:sz w:val="24"/>
          <w:szCs w:val="24"/>
        </w:rPr>
        <w:t xml:space="preserve">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(i)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4"/>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4"/>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4"/>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4"/>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4"/>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4"/>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4"/>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4"/>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4"/>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4"/>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4"/>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4"/>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4"/>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4"/>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4"/>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(i)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5"/>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7"/>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7"/>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7"/>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i-xix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4"/>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4"/>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4"/>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4"/>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4"/>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4"/>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4"/>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4"/>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4"/>
        </w:numPr>
        <w:spacing/>
        <w:jc w:val="both"/>
        <w:rPr>
          <w:rFonts w:ascii="Verdana" w:hAnsi="Verdana" w:eastAsia="Verdana"/>
        </w:rPr>
      </w:pPr>
      <w:r>
        <w:rPr>
          <w:rFonts w:ascii="Verdana" w:hAnsi="Verdana" w:eastAsia="Verdana"/>
        </w:rPr>
        <w:t xml:space="preserve">Trend analysis, and</w:t>
      </w:r>
    </w:p>
    <w:p>
      <w:pPr>
        <w:pStyle w:val="List"/>
        <w:numPr>
          <w:ilvl w:val="2"/>
          <w:numId w:val="774"/>
        </w:numPr>
        <w:spacing/>
        <w:jc w:val="both"/>
        <w:rPr>
          <w:rFonts w:ascii="Verdana" w:hAnsi="Verdana" w:eastAsia="Verdana"/>
        </w:rPr>
      </w:pPr>
      <w:r>
        <w:rPr>
          <w:rFonts w:ascii="Verdana" w:hAnsi="Verdana" w:eastAsia="Verdana"/>
        </w:rPr>
        <w:t xml:space="preserve">On-site visits.  </w:t>
      </w:r>
    </w:p>
    <w:p>
      <w:pPr>
        <w:pStyle w:val="List"/>
        <w:numPr>
          <w:ilvl w:val="0"/>
          <w:numId w:val="774"/>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4"/>
        </w:numPr>
        <w:spacing/>
        <w:jc w:val="both"/>
        <w:rPr>
          <w:rFonts w:ascii="Verdana" w:hAnsi="Verdana" w:eastAsia="Verdana"/>
        </w:rPr>
      </w:pPr>
      <w:r>
        <w:rPr>
          <w:rFonts w:ascii="Verdana" w:hAnsi="Verdana" w:eastAsia="Cambria"/>
        </w:rPr>
        <w:t xml:space="preserve">billings;</w:t>
      </w:r>
    </w:p>
    <w:p>
      <w:pPr>
        <w:pStyle w:val="List"/>
        <w:numPr>
          <w:ilvl w:val="1"/>
          <w:numId w:val="774"/>
        </w:numPr>
        <w:spacing/>
        <w:jc w:val="both"/>
        <w:rPr>
          <w:rFonts w:ascii="Verdana" w:hAnsi="Verdana" w:eastAsia="Verdana"/>
        </w:rPr>
      </w:pPr>
      <w:r>
        <w:rPr>
          <w:rFonts w:ascii="Verdana" w:hAnsi="Verdana" w:eastAsia="Cambria"/>
        </w:rPr>
        <w:t xml:space="preserve">payments;</w:t>
      </w:r>
    </w:p>
    <w:p>
      <w:pPr>
        <w:pStyle w:val="List"/>
        <w:numPr>
          <w:ilvl w:val="1"/>
          <w:numId w:val="774"/>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4"/>
        </w:numPr>
        <w:spacing/>
        <w:jc w:val="both"/>
        <w:rPr>
          <w:rFonts w:ascii="Verdana" w:hAnsi="Verdana" w:eastAsia="Verdana"/>
        </w:rPr>
      </w:pPr>
      <w:r>
        <w:rPr>
          <w:rFonts w:ascii="Verdana" w:hAnsi="Verdana" w:eastAsia="Cambria"/>
        </w:rPr>
        <w:t xml:space="preserve">governance;</w:t>
      </w:r>
    </w:p>
    <w:p>
      <w:pPr>
        <w:pStyle w:val="List"/>
        <w:numPr>
          <w:ilvl w:val="1"/>
          <w:numId w:val="774"/>
        </w:numPr>
        <w:spacing/>
        <w:jc w:val="both"/>
        <w:rPr>
          <w:rFonts w:ascii="Verdana" w:hAnsi="Verdana" w:eastAsia="Verdana"/>
        </w:rPr>
      </w:pPr>
      <w:r>
        <w:rPr>
          <w:rFonts w:ascii="Verdana" w:hAnsi="Verdana" w:eastAsia="Cambria"/>
        </w:rPr>
        <w:t xml:space="preserve">mandatory reporting;</w:t>
      </w:r>
    </w:p>
    <w:p>
      <w:pPr>
        <w:pStyle w:val="List"/>
        <w:numPr>
          <w:ilvl w:val="1"/>
          <w:numId w:val="774"/>
        </w:numPr>
        <w:spacing/>
        <w:jc w:val="both"/>
        <w:rPr>
          <w:rFonts w:ascii="Verdana" w:hAnsi="Verdana" w:eastAsia="Verdana"/>
        </w:rPr>
      </w:pPr>
      <w:r>
        <w:rPr>
          <w:rFonts w:ascii="Verdana" w:hAnsi="Verdana" w:eastAsia="Cambria"/>
        </w:rPr>
        <w:t xml:space="preserve">credentialing; and</w:t>
      </w:r>
    </w:p>
    <w:p>
      <w:pPr>
        <w:pStyle w:val="List"/>
        <w:numPr>
          <w:ilvl w:val="1"/>
          <w:numId w:val="774"/>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4"/>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4"/>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4"/>
        </w:numPr>
        <w:spacing/>
        <w:jc w:val="both"/>
        <w:rPr>
          <w:rFonts w:ascii="Verdana" w:hAnsi="Verdana" w:eastAsia="Verdana"/>
        </w:rPr>
      </w:pPr>
      <w:r>
        <w:rPr>
          <w:rFonts w:ascii="Verdana" w:hAnsi="Verdana" w:eastAsia="Verdana"/>
        </w:rPr>
        <w:t xml:space="preserve">Conducting the Audit</w:t>
      </w:r>
    </w:p>
    <w:p>
      <w:pPr>
        <w:pStyle w:val="List"/>
        <w:numPr>
          <w:ilvl w:val="1"/>
          <w:numId w:val="774"/>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4"/>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4"/>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4"/>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4"/>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4"/>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4"/>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4"/>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4"/>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4"/>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1"/>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1"/>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evolving guidance from the US DHHS Office of the Inspector General and other federal and state agencies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1"/>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1"/>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1"/>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1"/>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1"/>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1"/>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1"/>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1"/>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1"/>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8"/>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8"/>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8"/>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8"/>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8"/>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8"/>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8"/>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8"/>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8"/>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8"/>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8"/>
        </w:numPr>
        <w:spacing/>
        <w:jc w:val="both"/>
        <w:rPr>
          <w:rFonts w:ascii="Verdana" w:hAnsi="Verdana" w:eastAsia="Verdana"/>
          <w:bCs/>
        </w:rPr>
      </w:pPr>
      <w:r>
        <w:rPr>
          <w:rFonts w:ascii="Verdana" w:hAnsi="Verdana" w:eastAsia="Verdana"/>
          <w:bCs/>
        </w:rPr>
        <w:t xml:space="preserve">“Make-up” Trainings</w:t>
      </w:r>
    </w:p>
    <w:p>
      <w:pPr>
        <w:pStyle w:val="List"/>
        <w:numPr>
          <w:ilvl w:val="1"/>
          <w:numId w:val="468"/>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8"/>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8"/>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8"/>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8"/>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the key questions of what, where, when, how, and why, to the extent such matters were covered during the interview.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7"/>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9"/>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5"/>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w:t>
      </w:r>
      <w:r>
        <w:rPr>
          <w:rFonts w:ascii="Verdana" w:hAnsi="Verdana" w:eastAsia="Verdana" w:cs="Times New Roman"/>
          <w:szCs w:val="24"/>
        </w:rPr>
        <w:t xml:space="preserve">,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5"/>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10"/>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0"/>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0"/>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10"/>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0"/>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4"/>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4"/>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7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700"/>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7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700"/>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70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70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7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70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7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70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7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70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7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70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7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700"/>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4"/>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4"/>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4"/>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4"/>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4"/>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4"/>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4"/>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4"/>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relay all information and documentation from the identification and legal documents. </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representatives may even imply that it is wrong for an Associate to refuse to speak with them during this first encounter.</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4"/>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7"/>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11"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Deficit Reduction Act Of 2005</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79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1"/>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1"/>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1"/>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1"/>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1"/>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26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6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w:t>
      </w:r>
    </w:p>
    <w:p>
      <w:pPr>
        <w:widowControl w:val="false"/>
        <w:autoSpaceDE w:val="false"/>
        <w:autoSpaceDN w:val="false"/>
        <w:adjustRightInd w:val="false"/>
        <w:spacing w:after="0" w:line="1" w:lineRule="exact"/>
        <w:rPr>
          <w:rFonts w:ascii="Verdana" w:hAnsi="Verdana" w:eastAsia="Verdana" w:cs="Verdana"/>
          <w:szCs w:val="24"/>
        </w:rPr>
      </w:pPr>
    </w:p>
    <w:p>
      <w:pPr>
        <w:widowControl w:val="false"/>
        <w:numPr>
          <w:ilvl w:val="1"/>
          <w:numId w:val="26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26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26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r>
        <w:rPr>
          <w:rFonts w:cs="Times New Roman"/>
          <w:szCs w:val="24"/>
        </w:rPr>
        <w:br w:type="page"/>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7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70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70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70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707"/>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70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707"/>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707"/>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70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70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70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entitled, and then uses false statements or records in order to retain the money. </w:t>
      </w:r>
    </w:p>
    <w:p>
      <w:pPr>
        <w:widowControl w:val="false"/>
        <w:numPr>
          <w:ilvl w:val="1"/>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pStyle w:val="ListParagraph"/>
        <w:widowControl w:val="false"/>
        <w:numPr>
          <w:ilvl w:val="1"/>
          <w:numId w:val="489"/>
        </w:numPr>
        <w:overflowPunct w:val="false"/>
        <w:autoSpaceDE w:val="false"/>
        <w:autoSpaceDN w:val="false"/>
        <w:adjustRightInd w:val="false"/>
        <w:spacing w:after="0" w:line="240" w:lineRule="auto"/>
        <w:jc w:val="both"/>
        <w:rPr>
          <w:rFonts w:ascii="Verdana" w:hAnsi="Verdana" w:eastAsia="Verdana" w:cs="Verdana"/>
          <w:sz w:val="24"/>
          <w:szCs w:val="24"/>
        </w:rPr>
      </w:pPr>
      <w:r>
        <w:rPr>
          <w:rFonts w:ascii="Verdana" w:hAnsi="Verdana" w:eastAsia="Verdana" w:cs="Verdana"/>
          <w:sz w:val="24"/>
          <w:szCs w:val="24"/>
        </w:rPr>
        <w:t xml:space="preserve">Penalties </w:t>
      </w:r>
    </w:p>
    <w:p>
      <w:pPr>
        <w:pStyle w:val="ListParagraph"/>
        <w:widowControl w:val="false"/>
        <w:numPr>
          <w:ilvl w:val="2"/>
          <w:numId w:val="489"/>
        </w:numPr>
        <w:overflowPunct w:val="false"/>
        <w:autoSpaceDE w:val="false"/>
        <w:autoSpaceDN w:val="false"/>
        <w:adjustRightInd w:val="false"/>
        <w:spacing w:after="0" w:line="240" w:lineRule="auto"/>
        <w:jc w:val="both"/>
        <w:rPr>
          <w:rFonts w:ascii="Verdana" w:hAnsi="Verdana" w:eastAsia="Verdana" w:cs="Verdana"/>
          <w:sz w:val="24"/>
          <w:szCs w:val="24"/>
        </w:rPr>
      </w:pPr>
      <w:r>
        <w:rPr>
          <w:rFonts w:ascii="Verdana" w:hAnsi="Verdana" w:eastAsia="Verdana" w:cs="Verdana"/>
          <w:sz w:val="24"/>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pStyle w:val="ListParagraph"/>
        <w:widowControl w:val="false"/>
        <w:numPr>
          <w:ilvl w:val="1"/>
          <w:numId w:val="489"/>
        </w:numPr>
        <w:autoSpaceDE w:val="false"/>
        <w:autoSpaceDN w:val="false"/>
        <w:adjustRightInd w:val="false"/>
        <w:spacing w:after="0" w:line="240" w:lineRule="auto"/>
        <w:jc w:val="both"/>
        <w:rPr>
          <w:rFonts w:ascii="Times New Roman" w:hAnsi="Times New Roman" w:eastAsia="Times New Roman" w:cs="Times New Roman"/>
          <w:sz w:val="24"/>
          <w:szCs w:val="24"/>
        </w:rPr>
      </w:pPr>
      <w:r>
        <w:rPr>
          <w:rFonts w:ascii="Verdana" w:hAnsi="Verdana" w:eastAsia="Verdana" w:cs="Verdana"/>
          <w:i/>
          <w:iCs/>
          <w:sz w:val="24"/>
          <w:szCs w:val="24"/>
        </w:rPr>
        <w:t xml:space="preserve">Qui Tam </w:t>
      </w:r>
      <w:r>
        <w:rPr>
          <w:rFonts w:ascii="Verdana" w:hAnsi="Verdana" w:eastAsia="Verdana" w:cs="Verdana"/>
          <w:sz w:val="24"/>
          <w:szCs w:val="24"/>
        </w:rPr>
        <w:t xml:space="preserve">Provisions</w:t>
      </w:r>
    </w:p>
    <w:p>
      <w:pPr>
        <w:widowControl w:val="false"/>
        <w:numPr>
          <w:ilvl w:val="2"/>
          <w:numId w:val="48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1"/>
          <w:numId w:val="4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2"/>
          <w:numId w:val="489"/>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4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489"/>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United States government funds is subject to significant fines and imprisonment.</w:t>
      </w:r>
    </w:p>
    <w:p>
      <w:pPr>
        <w:widowControl w:val="false"/>
        <w:numPr>
          <w:ilvl w:val="2"/>
          <w:numId w:val="489"/>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489"/>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489"/>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1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1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1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and/or imprisonment for up to one (1) year. </w:t>
      </w:r>
    </w:p>
    <w:p>
      <w:pPr>
        <w:pStyle w:val="ListParagraph"/>
        <w:widowControl w:val="false"/>
        <w:numPr>
          <w:ilvl w:val="0"/>
          <w:numId w:val="489"/>
        </w:numPr>
        <w:overflowPunct w:val="false"/>
        <w:autoSpaceDE w:val="false"/>
        <w:autoSpaceDN w:val="false"/>
        <w:adjustRightInd w:val="false"/>
        <w:spacing w:after="0" w:line="263" w:lineRule="auto"/>
        <w:jc w:val="both"/>
        <w:rPr>
          <w:rFonts w:ascii="Times New Roman" w:hAnsi="Times New Roman" w:eastAsia="Times New Roman" w:cs="Times New Roman"/>
          <w:sz w:val="24"/>
          <w:szCs w:val="24"/>
        </w:rPr>
      </w:pPr>
      <w:r>
        <w:rPr>
          <w:rFonts w:ascii="Verdana" w:hAnsi="Verdana" w:eastAsia="Verdana" w:cs="Verdana"/>
          <w:sz w:val="24"/>
          <w:szCs w:val="24"/>
        </w:rPr>
        <w:t xml:space="preserve">Federal Health Care Fraud Statute – 18 U.S.C. § 1347</w:t>
      </w:r>
    </w:p>
    <w:p>
      <w:pPr>
        <w:widowControl w:val="false"/>
        <w:numPr>
          <w:ilvl w:val="1"/>
          <w:numId w:val="48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48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48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48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3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3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3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pStyle w:val="ListParagraph"/>
        <w:widowControl w:val="false"/>
        <w:numPr>
          <w:ilvl w:val="0"/>
          <w:numId w:val="489"/>
        </w:numPr>
        <w:autoSpaceDE w:val="false"/>
        <w:autoSpaceDN w:val="false"/>
        <w:adjustRightInd w:val="false"/>
        <w:spacing w:after="0" w:line="240" w:lineRule="auto"/>
        <w:rPr>
          <w:rFonts w:ascii="Times New Roman" w:hAnsi="Times New Roman" w:eastAsia="Times New Roman" w:cs="Times New Roman"/>
          <w:sz w:val="24"/>
          <w:szCs w:val="24"/>
        </w:rPr>
      </w:pPr>
      <w:r>
        <w:rPr>
          <w:rFonts w:ascii="Verdana" w:hAnsi="Verdana" w:eastAsia="Verdana" w:cs="Verdana"/>
          <w:sz w:val="24"/>
          <w:szCs w:val="24"/>
        </w:rPr>
        <w:t xml:space="preserve">Federal Criminal False Claims Act – 18 U.S.C.A. §§ 286-287</w:t>
      </w:r>
    </w:p>
    <w:p>
      <w:pPr>
        <w:widowControl w:val="false"/>
        <w:numPr>
          <w:ilvl w:val="1"/>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48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pStyle w:val="ListParagraph"/>
        <w:widowControl w:val="false"/>
        <w:numPr>
          <w:ilvl w:val="0"/>
          <w:numId w:val="489"/>
        </w:numPr>
        <w:overflowPunct w:val="false"/>
        <w:autoSpaceDE w:val="false"/>
        <w:autoSpaceDN w:val="false"/>
        <w:adjustRightInd w:val="false"/>
        <w:spacing w:after="0" w:line="263" w:lineRule="auto"/>
        <w:rPr>
          <w:rFonts w:ascii="Times New Roman" w:hAnsi="Times New Roman" w:eastAsia="Times New Roman" w:cs="Times New Roman"/>
          <w:sz w:val="24"/>
          <w:szCs w:val="24"/>
        </w:rPr>
      </w:pPr>
      <w:r>
        <w:rPr>
          <w:rFonts w:ascii="Verdana" w:hAnsi="Verdana" w:eastAsia="Verdana" w:cs="Verdana"/>
          <w:sz w:val="24"/>
          <w:szCs w:val="24"/>
        </w:rPr>
        <w:t xml:space="preserve">The Program Fraud Civil Remedies Act (“PFCRA”) – 31 U.S.C. 3801-3812</w:t>
      </w:r>
    </w:p>
    <w:p>
      <w:pPr>
        <w:widowControl w:val="false"/>
        <w:numPr>
          <w:ilvl w:val="1"/>
          <w:numId w:val="489"/>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489"/>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4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166"/>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16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16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16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166"/>
        </w:numPr>
        <w:overflowPunct w:val="false"/>
        <w:autoSpaceDE w:val="false"/>
        <w:autoSpaceDN w:val="false"/>
        <w:adjustRightInd w:val="false"/>
        <w:spacing w:after="0" w:line="250" w:lineRule="auto"/>
        <w:ind w:left="182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16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37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37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autoSpaceDE w:val="false"/>
        <w:autoSpaceDN w:val="false"/>
        <w:adjustRightInd w:val="false"/>
        <w:spacing w:after="0" w:line="203" w:lineRule="exact"/>
        <w:rPr>
          <w:rFonts w:ascii="Verdana" w:hAnsi="Verdana" w:eastAsia="Verdana" w:cs="Verdana"/>
          <w:szCs w:val="24"/>
        </w:rPr>
      </w:pPr>
    </w:p>
    <w:p>
      <w:pPr>
        <w:widowControl w:val="false"/>
        <w:numPr>
          <w:ilvl w:val="2"/>
          <w:numId w:val="37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370"/>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80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802"/>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802"/>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80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802"/>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802"/>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802"/>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802"/>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widowControl w:val="false"/>
        <w:numPr>
          <w:ilvl w:val="0"/>
          <w:numId w:val="75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Nebraska False Medicaid Claims Act – (R.R.S. Neb. § </w:t>
      </w:r>
      <w:r>
        <w:rPr>
          <w:rFonts w:ascii="Verdana" w:hAnsi="Verdana" w:eastAsia="Verdana" w:cs="Times New Roman"/>
          <w:szCs w:val="24"/>
        </w:rPr>
        <w:t xml:space="preserve">§ </w:t>
      </w:r>
      <w:r>
        <w:rPr>
          <w:rFonts w:ascii="Verdana" w:hAnsi="Verdana" w:eastAsia="Verdana" w:cs="Verdana"/>
          <w:szCs w:val="24"/>
        </w:rPr>
        <w:t xml:space="preserve">68-934 to 68-947)</w:t>
      </w:r>
    </w:p>
    <w:p>
      <w:pPr>
        <w:pStyle w:val="ListParagraph"/>
        <w:widowControl w:val="false"/>
        <w:numPr>
          <w:ilvl w:val="1"/>
          <w:numId w:val="75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Segoe UI"/>
          <w:sz w:val="24"/>
          <w:szCs w:val="24"/>
        </w:rPr>
        <w:t xml:space="preserve">A person presents a false Medicaid claim and is subject to civil liability if such person:</w:t>
      </w:r>
    </w:p>
    <w:p>
      <w:pPr>
        <w:pStyle w:val="text-justify"/>
        <w:numPr>
          <w:ilvl w:val="2"/>
          <w:numId w:val="757"/>
        </w:numPr>
        <w:shd w:val="clear" w:color="auto" w:fill="FFFFFF"/>
        <w:tabs>
          <w:tab w:val="clear" w:pos="1584"/>
          <w:tab w:val="num" w:pos="1890"/>
        </w:tabs>
        <w:spacing w:before="0" w:beforeAutospacing="0"/>
        <w:ind w:left="1890" w:hanging="540"/>
        <w:jc w:val="both"/>
        <w:rPr>
          <w:rFonts w:ascii="Verdana" w:hAnsi="Verdana" w:eastAsia="Verdana" w:cs="Segoe UI"/>
        </w:rPr>
      </w:pPr>
      <w:r>
        <w:rPr>
          <w:rFonts w:ascii="Verdana" w:hAnsi="Verdana" w:eastAsia="Verdana" w:cs="Segoe UI"/>
        </w:rPr>
        <w:t xml:space="preserve">Knowingly presents, or causes to be presented, a false or fraudulent claim for payment or approval;</w:t>
      </w:r>
    </w:p>
    <w:p>
      <w:pPr>
        <w:pStyle w:val="text-justify"/>
        <w:numPr>
          <w:ilvl w:val="2"/>
          <w:numId w:val="757"/>
        </w:numPr>
        <w:shd w:val="clear" w:color="auto" w:fill="FFFFFF"/>
        <w:tabs>
          <w:tab w:val="clear" w:pos="1584"/>
          <w:tab w:val="num" w:pos="1890"/>
        </w:tabs>
        <w:spacing w:before="0" w:beforeAutospacing="0"/>
        <w:ind w:left="1890" w:hanging="540"/>
        <w:jc w:val="both"/>
        <w:rPr>
          <w:rFonts w:ascii="Verdana" w:hAnsi="Verdana" w:eastAsia="Verdana" w:cs="Segoe UI"/>
        </w:rPr>
      </w:pPr>
      <w:r>
        <w:rPr>
          <w:rFonts w:ascii="Verdana" w:hAnsi="Verdana" w:eastAsia="Verdana" w:cs="Segoe UI"/>
        </w:rPr>
        <w:t xml:space="preserve">Knowingly makes, uses, or causes to be made or used, a false record or statement material to a false or fraudulent claim;</w:t>
      </w:r>
    </w:p>
    <w:p>
      <w:pPr>
        <w:pStyle w:val="text-justify"/>
        <w:numPr>
          <w:ilvl w:val="2"/>
          <w:numId w:val="757"/>
        </w:numPr>
        <w:shd w:val="clear" w:color="auto" w:fill="FFFFFF"/>
        <w:tabs>
          <w:tab w:val="clear" w:pos="1584"/>
          <w:tab w:val="left" w:pos="720"/>
          <w:tab w:val="num" w:pos="1890"/>
        </w:tabs>
        <w:spacing w:before="0" w:beforeAutospacing="0"/>
        <w:ind w:left="1890" w:hanging="540"/>
        <w:jc w:val="both"/>
        <w:rPr>
          <w:rFonts w:ascii="Verdana" w:hAnsi="Verdana" w:eastAsia="Verdana" w:cs="Segoe UI"/>
        </w:rPr>
      </w:pPr>
      <w:r>
        <w:rPr>
          <w:rFonts w:ascii="Verdana" w:hAnsi="Verdana" w:eastAsia="Verdana" w:cs="Segoe UI"/>
        </w:rPr>
        <w:t xml:space="preserve">Conspires to commit a violation of the False Medicaid Claims Act;</w:t>
      </w:r>
    </w:p>
    <w:p>
      <w:pPr>
        <w:pStyle w:val="text-justify"/>
        <w:numPr>
          <w:ilvl w:val="2"/>
          <w:numId w:val="757"/>
        </w:numPr>
        <w:shd w:val="clear" w:color="auto" w:fill="FFFFFF"/>
        <w:tabs>
          <w:tab w:val="clear" w:pos="1584"/>
          <w:tab w:val="num" w:pos="1890"/>
        </w:tabs>
        <w:spacing w:before="0" w:beforeAutospacing="0"/>
        <w:ind w:left="1890" w:hanging="540"/>
        <w:jc w:val="both"/>
        <w:rPr>
          <w:rFonts w:ascii="Verdana" w:hAnsi="Verdana" w:eastAsia="Verdana" w:cs="Segoe UI"/>
        </w:rPr>
      </w:pPr>
      <w:r>
        <w:rPr>
          <w:rFonts w:ascii="Verdana" w:hAnsi="Verdana" w:eastAsia="Verdana" w:cs="Segoe UI"/>
        </w:rPr>
        <w:t xml:space="preserve">Has possession, custody, or control of property or money used, or to be used, by the state and knowingly delivers, or causes to be delivered, less than all of the money or property;</w:t>
      </w:r>
    </w:p>
    <w:p>
      <w:pPr>
        <w:pStyle w:val="text-justify"/>
        <w:numPr>
          <w:ilvl w:val="2"/>
          <w:numId w:val="757"/>
        </w:numPr>
        <w:shd w:val="clear" w:color="auto" w:fill="FFFFFF"/>
        <w:tabs>
          <w:tab w:val="clear" w:pos="1584"/>
          <w:tab w:val="num" w:pos="1890"/>
        </w:tabs>
        <w:spacing w:before="0" w:beforeAutospacing="0"/>
        <w:ind w:left="1890" w:hanging="540"/>
        <w:jc w:val="both"/>
        <w:rPr>
          <w:rFonts w:ascii="Verdana" w:hAnsi="Verdana" w:eastAsia="Verdana" w:cs="Segoe UI"/>
        </w:rPr>
      </w:pPr>
      <w:r>
        <w:rPr>
          <w:rFonts w:ascii="Verdana" w:hAnsi="Verdana" w:eastAsia="Verdana" w:cs="Segoe UI"/>
        </w:rPr>
        <w:t xml:space="preserve">Is authorized to make or deliver a document certifying receipt of property used, or to be used, by the state and, intending to defraud the state, makes or delivers the receipt knowing that the information on the receipt is not true;</w:t>
      </w:r>
    </w:p>
    <w:p>
      <w:pPr>
        <w:pStyle w:val="text-justify"/>
        <w:numPr>
          <w:ilvl w:val="2"/>
          <w:numId w:val="757"/>
        </w:numPr>
        <w:shd w:val="clear" w:color="auto" w:fill="FFFFFF"/>
        <w:tabs>
          <w:tab w:val="clear" w:pos="1584"/>
          <w:tab w:val="num" w:pos="1890"/>
        </w:tabs>
        <w:spacing w:before="0" w:beforeAutospacing="0"/>
        <w:ind w:left="1890" w:hanging="540"/>
        <w:jc w:val="both"/>
        <w:rPr>
          <w:rFonts w:ascii="Verdana" w:hAnsi="Verdana" w:eastAsia="Verdana" w:cs="Segoe UI"/>
        </w:rPr>
      </w:pPr>
      <w:r>
        <w:rPr>
          <w:rFonts w:ascii="Verdana" w:hAnsi="Verdana" w:eastAsia="Verdana" w:cs="Segoe UI"/>
        </w:rPr>
        <w:t xml:space="preserve">Knowingly buys, or receives as a pledge of an obligation or debt, public property from any officer or employee of the state who may not lawfully sell or pledge such property; or</w:t>
      </w:r>
    </w:p>
    <w:p>
      <w:pPr>
        <w:pStyle w:val="text-justify"/>
        <w:numPr>
          <w:ilvl w:val="2"/>
          <w:numId w:val="757"/>
        </w:numPr>
        <w:shd w:val="clear" w:color="auto" w:fill="FFFFFF"/>
        <w:tabs>
          <w:tab w:val="clear" w:pos="1584"/>
          <w:tab w:val="num" w:pos="1890"/>
        </w:tabs>
        <w:spacing w:before="0" w:beforeAutospacing="0"/>
        <w:ind w:left="1890" w:hanging="540"/>
        <w:jc w:val="both"/>
        <w:rPr>
          <w:rFonts w:ascii="Verdana" w:hAnsi="Verdana" w:eastAsia="Verdana" w:cs="Segoe UI"/>
        </w:rPr>
      </w:pPr>
      <w:r>
        <w:rPr>
          <w:rFonts w:ascii="Verdana" w:hAnsi="Verdana" w:eastAsia="Verdana" w:cs="Segoe UI"/>
        </w:rPr>
        <w:t xml:space="preserve">Knowingly makes, uses, or causes to be made or used, a false record or statement material to an obligation to pay or transmit money or property to the state or knowingly conceals, avoids, or decreases an obligation to pay or transmit money or property to the state.</w:t>
      </w:r>
    </w:p>
    <w:p>
      <w:pPr>
        <w:pStyle w:val="text-justify"/>
        <w:numPr>
          <w:ilvl w:val="1"/>
          <w:numId w:val="757"/>
        </w:numPr>
        <w:shd w:val="clear" w:color="auto" w:fill="FFFFFF"/>
        <w:tabs>
          <w:tab w:val="clear" w:pos="720"/>
        </w:tabs>
        <w:spacing w:before="0" w:beforeAutospacing="0"/>
        <w:jc w:val="both"/>
        <w:rPr>
          <w:rFonts w:ascii="Verdana" w:hAnsi="Verdana" w:eastAsia="Verdana" w:cs="Segoe UI"/>
        </w:rPr>
      </w:pPr>
      <w:r>
        <w:rPr>
          <w:rFonts w:ascii="Verdana" w:hAnsi="Verdana" w:eastAsia="Verdana" w:cs="Segoe UI"/>
        </w:rPr>
        <w:t xml:space="preserve">A person who commits a violation of the False Medicaid Claims Act is subject to, in addition to any other remedies that may be prescribed by law, a civil penalty of not more than ten thousand dollars. In addition to any civil penalty, any such person may be subject to damages in the amount of three times the amount of the false claim because of the act of that person.</w:t>
      </w:r>
    </w:p>
    <w:p>
      <w:pPr>
        <w:pStyle w:val="text-justify"/>
        <w:numPr>
          <w:ilvl w:val="1"/>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If the state is the prevailing party in an action under the False Medicaid Claims Act, the defendant, in addition to penalties and damages, shall pay the state's costs and attorney's fees for the civil action brought to recover penalties or damages under the False Medicaid Claims Act. Liability is joint and several for any act committed by two or more persons.</w:t>
      </w:r>
    </w:p>
    <w:p>
      <w:pPr>
        <w:pStyle w:val="text-justify"/>
        <w:numPr>
          <w:ilvl w:val="1"/>
          <w:numId w:val="757"/>
        </w:numPr>
        <w:shd w:val="clear" w:color="auto" w:fill="FFFFFF"/>
        <w:spacing w:before="0" w:beforeAutospacing="0"/>
        <w:jc w:val="both"/>
        <w:rPr>
          <w:rFonts w:ascii="Verdana" w:hAnsi="Verdana" w:eastAsia="Verdana" w:cs="Segoe UI"/>
        </w:rPr>
      </w:pPr>
      <w:r>
        <w:rPr>
          <w:rFonts w:ascii="Verdana" w:hAnsi="Verdana" w:eastAsia="Verdana"/>
        </w:rPr>
        <w:t xml:space="preserve">Failure to report</w:t>
      </w:r>
      <w:r>
        <w:rPr>
          <w:rFonts w:ascii="Verdana" w:hAnsi="Verdana" w:eastAsia="Verdana" w:cs="Segoe UI"/>
        </w:rPr>
        <w:t xml:space="preserve">. </w:t>
      </w:r>
      <w:r>
        <w:rPr>
          <w:rFonts w:ascii="Verdana" w:hAnsi="Verdana" w:eastAsia="Verdana"/>
        </w:rPr>
        <w:t xml:space="preserve">A person violates the False Medicaid Claims Act, and is subject to civil liability if such person is a beneficiary of an inadvertent submission of a false Medicaid claim to the state, and subsequently discovers and, knowing the claim is false, fails to report the claim to the department within sixty days of such discovery. The beneficiary is not obliged to make such a report to the department if more than six years have passed since submission of the claim. </w:t>
      </w:r>
    </w:p>
    <w:p>
      <w:pPr>
        <w:pStyle w:val="text-justify"/>
        <w:numPr>
          <w:ilvl w:val="1"/>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A person violates the False Medicaid Claims Act, and a claim submitted with regard to a good or service is deemed to be false and subjects such person to civil liability if he or she, acting on behalf of a provider providing such good or service to a recipient under the medical assistance program, charges, solicits, accepts, or receives anything of value in addition to the amount legally payable under the medical assistance program in connection with a provision of such good or service knowing that such charge, solicitation, acceptance, or receipt is not legally payable.</w:t>
      </w:r>
    </w:p>
    <w:p>
      <w:pPr>
        <w:pStyle w:val="text-justify"/>
        <w:numPr>
          <w:ilvl w:val="1"/>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A person violates the False Medicaid Claims Act and is subject to civil liability and damages if he or she:</w:t>
      </w:r>
    </w:p>
    <w:p>
      <w:pPr>
        <w:pStyle w:val="text-justify"/>
        <w:numPr>
          <w:ilvl w:val="2"/>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Having submitted a claim or received payment for a good or service under the medical assistance program, knowingly fails to maintain such records as are necessary to disclose fully the nature of all goods or services for which a claim was submitted or payment was received, or such records as are necessary to disclose fully all income and expenditures upon which rates of payment were based, for a period of at least six years after the date on which payment was received; or</w:t>
      </w:r>
    </w:p>
    <w:p>
      <w:pPr>
        <w:pStyle w:val="text-justify"/>
        <w:numPr>
          <w:ilvl w:val="2"/>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Knowingly destroys such records within six years from the date payment was received.</w:t>
      </w:r>
    </w:p>
    <w:p>
      <w:pPr>
        <w:pStyle w:val="text-justify"/>
        <w:numPr>
          <w:ilvl w:val="1"/>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A person who knowingly fails to maintain records or who knowingly destroys records within six years from the date payment for a claim was received shall be subject to damages in the amount of three times the amount of the claim submitted for which records were knowingly not maintained or knowingly destroyed.</w:t>
      </w:r>
    </w:p>
    <w:p>
      <w:pPr>
        <w:pStyle w:val="text-justify"/>
        <w:numPr>
          <w:ilvl w:val="1"/>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If the state is the prevailing party in an action, the defendant, in addition to penalties and damages, shall pay the state’s costs and attorney’s fees for the civil action brought to recover penalties or damages under the False Medicaid Claims Act.</w:t>
      </w:r>
    </w:p>
    <w:p>
      <w:pPr>
        <w:pStyle w:val="text-justify"/>
        <w:numPr>
          <w:ilvl w:val="1"/>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Penalties or damages; considerations; liability; costs and attorney’s fees.</w:t>
      </w:r>
    </w:p>
    <w:p>
      <w:pPr>
        <w:pStyle w:val="text-justify"/>
        <w:numPr>
          <w:ilvl w:val="1"/>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In determining the amount of any penalties or damages awarded under the False Medicaid Claims Act, the following shall be taken into account:</w:t>
      </w:r>
    </w:p>
    <w:p>
      <w:pPr>
        <w:pStyle w:val="text-justify"/>
        <w:numPr>
          <w:ilvl w:val="2"/>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The nature of claims and the circumstances under which they were presented;</w:t>
      </w:r>
    </w:p>
    <w:p>
      <w:pPr>
        <w:pStyle w:val="text-justify"/>
        <w:numPr>
          <w:ilvl w:val="2"/>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The degree of culpability and history of prior offenses of the person presenting the claims;</w:t>
      </w:r>
    </w:p>
    <w:p>
      <w:pPr>
        <w:pStyle w:val="text-justify"/>
        <w:numPr>
          <w:ilvl w:val="2"/>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Coordination of the total penalties and damages arising from the same claims, goods, or services, whether based on state or federal statute; and</w:t>
      </w:r>
    </w:p>
    <w:p>
      <w:pPr>
        <w:pStyle w:val="text-justify"/>
        <w:numPr>
          <w:ilvl w:val="2"/>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Such other matters as justice requires.</w:t>
      </w:r>
    </w:p>
    <w:p>
      <w:pPr>
        <w:pStyle w:val="text-justify"/>
        <w:numPr>
          <w:ilvl w:val="1"/>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Any person who presents a false Medicaid claim is subject to civil liability, except when the court finds that:</w:t>
      </w:r>
    </w:p>
    <w:p>
      <w:pPr>
        <w:pStyle w:val="text-justify"/>
        <w:numPr>
          <w:ilvl w:val="2"/>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The person committing the violation of the False Medicaid Claims Act furnished officials of the state responsible for investigating violations of the act with all information known to such person about the violation within thirty days after the date on which the defendant first obtained the information;</w:t>
      </w:r>
    </w:p>
    <w:p>
      <w:pPr>
        <w:pStyle w:val="text-justify"/>
        <w:numPr>
          <w:ilvl w:val="2"/>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Such person fully cooperated with any state investigation of such violation; and</w:t>
      </w:r>
    </w:p>
    <w:p>
      <w:pPr>
        <w:pStyle w:val="text-justify"/>
        <w:numPr>
          <w:ilvl w:val="2"/>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At the time such person furnished the state with the information about the violation, no criminal prosecution, civil action, or administrative action had commenced under the act with respect to such violation and the person did not have actual knowledge of the existence of an investigation into such violation.</w:t>
      </w:r>
    </w:p>
    <w:p>
      <w:pPr>
        <w:pStyle w:val="text-justify"/>
        <w:numPr>
          <w:ilvl w:val="1"/>
          <w:numId w:val="757"/>
        </w:numPr>
        <w:shd w:val="clear" w:color="auto" w:fill="FFFFFF"/>
        <w:spacing w:before="0" w:beforeAutospacing="0"/>
        <w:jc w:val="both"/>
        <w:rPr>
          <w:rFonts w:ascii="Verdana" w:hAnsi="Verdana" w:eastAsia="Verdana" w:cs="Segoe UI"/>
        </w:rPr>
      </w:pPr>
      <w:r>
        <w:rPr>
          <w:rFonts w:ascii="Verdana" w:hAnsi="Verdana" w:eastAsia="Verdana" w:cs="Segoe UI"/>
        </w:rPr>
        <w:t xml:space="preserve">The court may assess not more than two times the amount of the false Medicaid claims submitted because of the action of a person coming within the exception under section K. above, and such person is also liable for the state’s costs and attorney’s fees for a civil action brought to recover any penalty or damages.</w:t>
      </w:r>
    </w:p>
    <w:p>
      <w:pPr>
        <w:pStyle w:val="text-justify"/>
        <w:numPr>
          <w:ilvl w:val="0"/>
          <w:numId w:val="757"/>
        </w:numPr>
        <w:shd w:val="clear" w:color="auto" w:fill="FFFFFF"/>
        <w:spacing w:before="0" w:beforeAutospacing="0"/>
        <w:jc w:val="both"/>
        <w:rPr>
          <w:rFonts w:ascii="Verdana" w:hAnsi="Verdana" w:eastAsia="Verdana" w:cs="Segoe UI"/>
        </w:rPr>
      </w:pPr>
      <w:r>
        <w:rPr>
          <w:rFonts w:ascii="Verdana" w:hAnsi="Verdana" w:eastAsia="Verdana"/>
        </w:rPr>
        <w:t xml:space="preserve">Nebraska Whistleblowers’ Protection Act (R.R.S. Neb. § 81-2705) </w:t>
      </w:r>
    </w:p>
    <w:p>
      <w:pPr>
        <w:pStyle w:val="ListParagraph"/>
        <w:widowControl w:val="false"/>
        <w:numPr>
          <w:ilvl w:val="1"/>
          <w:numId w:val="757"/>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sz w:val="24"/>
          <w:szCs w:val="24"/>
        </w:rPr>
        <w:t xml:space="preserve">Employee protections</w:t>
      </w:r>
      <w:r>
        <w:rPr>
          <w:rFonts w:ascii="Verdana" w:hAnsi="Verdana" w:eastAsia="Verdana" w:cs="Verdana"/>
          <w:sz w:val="24"/>
          <w:szCs w:val="24"/>
        </w:rPr>
        <w:t xml:space="preserve">. </w:t>
      </w:r>
      <w:r>
        <w:rPr>
          <w:rFonts w:ascii="Verdana" w:hAnsi="Verdana" w:eastAsia="Verdana" w:cs="Times New Roman"/>
          <w:sz w:val="24"/>
          <w:szCs w:val="24"/>
          <w:lang w:bidi="ar-SA"/>
        </w:rPr>
        <w:t xml:space="preserve">Any person who has authority to recommend, approve, direct, or otherwise take or affect personnel action shall not, with respect to such authority:</w:t>
      </w:r>
    </w:p>
    <w:p>
      <w:pPr>
        <w:pStyle w:val="ListParagraph"/>
        <w:widowControl w:val="false"/>
        <w:numPr>
          <w:ilvl w:val="2"/>
          <w:numId w:val="757"/>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Times New Roman"/>
          <w:sz w:val="24"/>
          <w:szCs w:val="24"/>
          <w:lang w:bidi="ar-SA"/>
        </w:rPr>
        <w:t xml:space="preserve">Take personnel action against an employee because of the disclosure of information by the employee to the Public Counsel or an official which the employee reasonably believes evidences wrongdoing;</w:t>
      </w:r>
    </w:p>
    <w:p>
      <w:pPr>
        <w:pStyle w:val="ListParagraph"/>
        <w:widowControl w:val="false"/>
        <w:numPr>
          <w:ilvl w:val="2"/>
          <w:numId w:val="757"/>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Times New Roman"/>
          <w:sz w:val="24"/>
          <w:szCs w:val="24"/>
          <w:lang w:bidi="ar-SA"/>
        </w:rPr>
        <w:t xml:space="preserve">Take personnel action against an employee as a reprisal for the submission of an allegation of wrongdoing or a violation of this section to the Public Counsel or official by such employee; or</w:t>
      </w:r>
    </w:p>
    <w:p>
      <w:pPr>
        <w:pStyle w:val="ListParagraph"/>
        <w:widowControl w:val="false"/>
        <w:numPr>
          <w:ilvl w:val="2"/>
          <w:numId w:val="757"/>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Times New Roman"/>
          <w:sz w:val="24"/>
          <w:szCs w:val="24"/>
          <w:lang w:bidi="ar-SA"/>
        </w:rPr>
        <w:t xml:space="preserve">Take personnel action against an employee as a reprisal for providing information or testimony, pursuant to an investigation or hearing held under the State Government Effectiveness Act, to the Public Counsel, an official, the State Personnel Board, a corresponding personnel appeals board, or the director or chief operating officer of an agency.</w:t>
      </w:r>
    </w:p>
    <w:p>
      <w:pPr>
        <w:pStyle w:val="ListParagraph"/>
        <w:widowControl w:val="false"/>
        <w:numPr>
          <w:ilvl w:val="0"/>
          <w:numId w:val="757"/>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Nebraska Health Care Facility Licensure Act (R.R.S. Neb. § 71-445).</w:t>
      </w:r>
    </w:p>
    <w:p>
      <w:pPr>
        <w:pStyle w:val="ListParagraph"/>
        <w:widowControl w:val="false"/>
        <w:numPr>
          <w:ilvl w:val="1"/>
          <w:numId w:val="757"/>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This law prohibits health care facilities from discriminating or retaliating against a person residing in, served by, or employed at such facility who has initiated or participated in any proceeding authorized by Nebraska’s Health Care Facility Licensure Act or who has presented a complaint or provided information to the administrator of such facility or the Nebraska Department of Health and Human Services. </w:t>
      </w:r>
    </w:p>
    <w:p>
      <w:pPr>
        <w:pStyle w:val="ListParagraph"/>
        <w:widowControl w:val="false"/>
        <w:numPr>
          <w:ilvl w:val="0"/>
          <w:numId w:val="757"/>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Times New Roman"/>
          <w:sz w:val="24"/>
          <w:szCs w:val="24"/>
        </w:rPr>
        <w:t xml:space="preserve">Commercial Bribery (R.R.S. Neb. § 28-613)</w:t>
      </w:r>
    </w:p>
    <w:p>
      <w:pPr>
        <w:widowControl w:val="false"/>
        <w:numPr>
          <w:ilvl w:val="1"/>
          <w:numId w:val="489"/>
        </w:numPr>
        <w:overflowPunct w:val="false"/>
        <w:autoSpaceDE w:val="false"/>
        <w:autoSpaceDN w:val="false"/>
        <w:adjustRightInd w:val="false"/>
        <w:spacing w:after="0" w:line="250" w:lineRule="auto"/>
        <w:ind w:left="1746"/>
        <w:rPr>
          <w:rFonts w:ascii="Verdana" w:hAnsi="Verdana" w:eastAsia="Verdana"/>
          <w:szCs w:val="24"/>
        </w:rPr>
      </w:pPr>
      <w:r>
        <w:rPr>
          <w:rFonts w:ascii="Verdana" w:hAnsi="Verdana" w:eastAsia="Verdana"/>
          <w:szCs w:val="24"/>
        </w:rPr>
        <w:t xml:space="preserve">A person commits a Class I misdemeanor if he or she solicits, accepts, or agrees to accept any benefit as consideration for knowingly violating or agreeing to violate a duty of fidelity to which he or she is subject as:</w:t>
      </w:r>
    </w:p>
    <w:p>
      <w:pPr>
        <w:widowControl w:val="false"/>
        <w:numPr>
          <w:ilvl w:val="2"/>
          <w:numId w:val="489"/>
        </w:numPr>
        <w:overflowPunct w:val="false"/>
        <w:autoSpaceDE w:val="false"/>
        <w:autoSpaceDN w:val="false"/>
        <w:adjustRightInd w:val="false"/>
        <w:spacing w:after="0" w:line="250" w:lineRule="auto"/>
        <w:rPr>
          <w:rFonts w:ascii="Verdana" w:hAnsi="Verdana" w:eastAsia="Verdana"/>
          <w:szCs w:val="24"/>
        </w:rPr>
      </w:pPr>
      <w:r>
        <w:rPr>
          <w:rFonts w:ascii="Verdana" w:hAnsi="Verdana" w:eastAsia="Verdana"/>
          <w:szCs w:val="24"/>
        </w:rPr>
        <w:t xml:space="preserve">Agent or employee; or</w:t>
      </w:r>
    </w:p>
    <w:p>
      <w:pPr>
        <w:widowControl w:val="false"/>
        <w:numPr>
          <w:ilvl w:val="2"/>
          <w:numId w:val="489"/>
        </w:numPr>
        <w:overflowPunct w:val="false"/>
        <w:autoSpaceDE w:val="false"/>
        <w:autoSpaceDN w:val="false"/>
        <w:adjustRightInd w:val="false"/>
        <w:spacing w:after="0" w:line="250" w:lineRule="auto"/>
        <w:rPr>
          <w:rFonts w:ascii="Verdana" w:hAnsi="Verdana" w:eastAsia="Verdana"/>
          <w:szCs w:val="24"/>
        </w:rPr>
      </w:pPr>
      <w:r>
        <w:rPr>
          <w:rFonts w:ascii="Verdana" w:hAnsi="Verdana" w:eastAsia="Verdana"/>
          <w:szCs w:val="24"/>
        </w:rPr>
        <w:t xml:space="preserve">Trustee, guardian, or other fiduciary; or</w:t>
      </w:r>
    </w:p>
    <w:p>
      <w:pPr>
        <w:widowControl w:val="false"/>
        <w:numPr>
          <w:ilvl w:val="2"/>
          <w:numId w:val="489"/>
        </w:numPr>
        <w:overflowPunct w:val="false"/>
        <w:autoSpaceDE w:val="false"/>
        <w:autoSpaceDN w:val="false"/>
        <w:adjustRightInd w:val="false"/>
        <w:spacing w:after="0" w:line="250" w:lineRule="auto"/>
        <w:rPr>
          <w:rFonts w:ascii="Verdana" w:hAnsi="Verdana" w:eastAsia="Verdana"/>
          <w:szCs w:val="24"/>
        </w:rPr>
      </w:pPr>
      <w:r>
        <w:rPr>
          <w:rFonts w:ascii="Verdana" w:hAnsi="Verdana" w:eastAsia="Verdana"/>
          <w:szCs w:val="24"/>
        </w:rPr>
        <w:t xml:space="preserve">Lawyer, physician, accountant, appraiser, or other professional advisor; or</w:t>
      </w:r>
    </w:p>
    <w:p>
      <w:pPr>
        <w:widowControl w:val="false"/>
        <w:numPr>
          <w:ilvl w:val="2"/>
          <w:numId w:val="489"/>
        </w:numPr>
        <w:overflowPunct w:val="false"/>
        <w:autoSpaceDE w:val="false"/>
        <w:autoSpaceDN w:val="false"/>
        <w:adjustRightInd w:val="false"/>
        <w:spacing w:after="0" w:line="250" w:lineRule="auto"/>
        <w:rPr>
          <w:rFonts w:ascii="Verdana" w:hAnsi="Verdana" w:eastAsia="Verdana"/>
          <w:szCs w:val="24"/>
        </w:rPr>
      </w:pPr>
      <w:r>
        <w:rPr>
          <w:rFonts w:ascii="Verdana" w:hAnsi="Verdana" w:eastAsia="Verdana"/>
          <w:szCs w:val="24"/>
        </w:rPr>
        <w:t xml:space="preserve">Officer, director, partner, limited liability company member, manager, or other participant in the direction of the affairs of an incorporated or unincorporated association; or</w:t>
      </w:r>
    </w:p>
    <w:p>
      <w:pPr>
        <w:widowControl w:val="false"/>
        <w:numPr>
          <w:ilvl w:val="2"/>
          <w:numId w:val="489"/>
        </w:numPr>
        <w:overflowPunct w:val="false"/>
        <w:autoSpaceDE w:val="false"/>
        <w:autoSpaceDN w:val="false"/>
        <w:adjustRightInd w:val="false"/>
        <w:spacing w:after="0" w:line="250" w:lineRule="auto"/>
        <w:rPr>
          <w:rFonts w:ascii="Verdana" w:hAnsi="Verdana" w:eastAsia="Verdana"/>
          <w:szCs w:val="24"/>
        </w:rPr>
      </w:pPr>
      <w:r>
        <w:rPr>
          <w:rFonts w:ascii="Verdana" w:hAnsi="Verdana" w:eastAsia="Verdana"/>
          <w:szCs w:val="24"/>
        </w:rPr>
        <w:t xml:space="preserve">Duly elected or appointed representative or trustee of a labor organization or employee of a welfare trust fund; or</w:t>
      </w:r>
    </w:p>
    <w:p>
      <w:pPr>
        <w:widowControl w:val="false"/>
        <w:numPr>
          <w:ilvl w:val="2"/>
          <w:numId w:val="489"/>
        </w:numPr>
        <w:overflowPunct w:val="false"/>
        <w:autoSpaceDE w:val="false"/>
        <w:autoSpaceDN w:val="false"/>
        <w:adjustRightInd w:val="false"/>
        <w:spacing w:after="0" w:line="250" w:lineRule="auto"/>
        <w:rPr>
          <w:rFonts w:ascii="Verdana" w:hAnsi="Verdana" w:eastAsia="Verdana"/>
          <w:szCs w:val="24"/>
        </w:rPr>
      </w:pPr>
      <w:r>
        <w:rPr>
          <w:rFonts w:ascii="Verdana" w:hAnsi="Verdana" w:eastAsia="Verdana"/>
          <w:szCs w:val="24"/>
        </w:rPr>
        <w:t xml:space="preserve">Arbitrator or other purportedly disinterested adjudicator or referee. </w:t>
      </w:r>
    </w:p>
    <w:p>
      <w:pPr>
        <w:widowControl w:val="false"/>
        <w:numPr>
          <w:ilvl w:val="1"/>
          <w:numId w:val="489"/>
        </w:numPr>
        <w:overflowPunct w:val="false"/>
        <w:autoSpaceDE w:val="false"/>
        <w:autoSpaceDN w:val="false"/>
        <w:adjustRightInd w:val="false"/>
        <w:spacing w:after="0" w:line="250" w:lineRule="auto"/>
        <w:rPr>
          <w:rFonts w:ascii="Verdana" w:hAnsi="Verdana" w:eastAsia="Verdana"/>
          <w:szCs w:val="24"/>
        </w:rPr>
      </w:pPr>
      <w:r>
        <w:rPr>
          <w:rFonts w:ascii="Verdana" w:hAnsi="Verdana" w:eastAsia="Verdana"/>
          <w:szCs w:val="24"/>
        </w:rPr>
        <w:t xml:space="preserve">A person who holds himself or herself out to the public as being engaged in the business of making disinterested selection, appraisal, or criticism of commodities, property, or services commits a Class I misdemeanor if he or she solicits, accepts, or agrees to accept any benefit to alter, modify, or change his or her selection, appraisal, or criticism.</w:t>
      </w:r>
    </w:p>
    <w:p>
      <w:pPr>
        <w:widowControl w:val="false"/>
        <w:numPr>
          <w:ilvl w:val="1"/>
          <w:numId w:val="489"/>
        </w:numPr>
        <w:overflowPunct w:val="false"/>
        <w:autoSpaceDE w:val="false"/>
        <w:autoSpaceDN w:val="false"/>
        <w:adjustRightInd w:val="false"/>
        <w:spacing w:after="0" w:line="250" w:lineRule="auto"/>
        <w:rPr>
          <w:rFonts w:ascii="Verdana" w:hAnsi="Verdana" w:eastAsia="Verdana"/>
          <w:szCs w:val="24"/>
        </w:rPr>
      </w:pPr>
      <w:r>
        <w:rPr>
          <w:rFonts w:ascii="Verdana" w:hAnsi="Verdana" w:eastAsia="Verdana"/>
          <w:szCs w:val="24"/>
        </w:rPr>
        <w:t xml:space="preserve">A person commits a Class I misdemeanor if he or she confers or offers or agrees to confer any benefit the acceptance of which would be an offense under this statute.</w:t>
      </w:r>
    </w:p>
    <w:p>
      <w:pPr>
        <w:widowControl w:val="false"/>
        <w:numPr>
          <w:ilvl w:val="0"/>
          <w:numId w:val="489"/>
        </w:numPr>
        <w:overflowPunct w:val="false"/>
        <w:autoSpaceDE w:val="false"/>
        <w:autoSpaceDN w:val="false"/>
        <w:adjustRightInd w:val="false"/>
        <w:spacing w:after="0" w:line="250" w:lineRule="auto"/>
        <w:rPr>
          <w:rFonts w:ascii="Verdana" w:hAnsi="Verdana" w:eastAsia="Verdana"/>
          <w:szCs w:val="24"/>
        </w:rPr>
      </w:pPr>
      <w:r>
        <w:rPr>
          <w:rFonts w:ascii="Verdana" w:hAnsi="Verdana" w:eastAsia="Verdana"/>
          <w:szCs w:val="24"/>
        </w:rPr>
        <w:t xml:space="preserve">Nebraska Fair Employment Act (R.R.S. Neb. § 48-1114)</w:t>
      </w:r>
    </w:p>
    <w:p>
      <w:pPr>
        <w:widowControl w:val="false"/>
        <w:numPr>
          <w:ilvl w:val="1"/>
          <w:numId w:val="489"/>
        </w:numPr>
        <w:overflowPunct w:val="false"/>
        <w:autoSpaceDE w:val="false"/>
        <w:autoSpaceDN w:val="false"/>
        <w:adjustRightInd w:val="false"/>
        <w:spacing w:after="0" w:line="250" w:lineRule="auto"/>
        <w:rPr>
          <w:rFonts w:ascii="Verdana" w:hAnsi="Verdana" w:eastAsia="Verdana"/>
          <w:szCs w:val="24"/>
        </w:rPr>
      </w:pPr>
      <w:r>
        <w:rPr>
          <w:rFonts w:ascii="Verdana" w:hAnsi="Verdana" w:eastAsia="Verdana"/>
          <w:szCs w:val="24"/>
        </w:rPr>
        <w:t xml:space="preserve">An employer may not discriminate against an employee for making a charge, testifying, assisting or participating in any manner in an investigation, proceeding or hearing under the Nebraska Fair Employment Act, or for refusing to carry out any action that would violate federal or State law.</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50" w:lineRule="auto"/>
        <w:ind w:left="2088"/>
        <w:rPr>
          <w:rFonts w:ascii="Verdana" w:hAnsi="Verdana" w:eastAsia="Verdana" w:cs="Times New Roman"/>
          <w:color w:val="FF0000"/>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color w:val="FF0000"/>
        </w:rPr>
      </w:pP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22"/>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22"/>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22"/>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22"/>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22"/>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22"/>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22"/>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8"/>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w:t>
      </w:r>
      <w:r>
        <w:rPr>
          <w:rFonts w:ascii="Verdana" w:hAnsi="Verdana" w:eastAsia="Verdana" w:cs="Verdana"/>
          <w:szCs w:val="24"/>
        </w:rPr>
        <w:t xml:space="preserve">, </w:t>
      </w:r>
      <w:r>
        <w:rPr>
          <w:rFonts w:ascii="Verdana" w:hAnsi="Verdana" w:eastAsia="Verdana" w:cs="Verdana"/>
          <w:szCs w:val="24"/>
        </w:rPr>
        <w:t xml:space="preserve">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7"/>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50"/>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5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5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5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1"/>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1"/>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1"/>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5"/>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5"/>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4"/>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11"/>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12"/>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12"/>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12"/>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12"/>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1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1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1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1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1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12"/>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misrepresentation of the resident’s status, the submission of false claims and potential enforcement actions. </w:t>
      </w:r>
    </w:p>
    <w:p>
      <w:pPr>
        <w:widowControl w:val="false"/>
        <w:numPr>
          <w:ilvl w:val="1"/>
          <w:numId w:val="81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12"/>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7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72"/>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6"/>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6"/>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6"/>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6"/>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color w:val="FF0000"/>
          <w:szCs w:val="24"/>
        </w:rPr>
        <w:t xml:space="preserve">.</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 </w:t>
      </w:r>
      <w:r>
        <w:rPr>
          <w:rFonts w:ascii="Verdana" w:hAnsi="Verdana" w:eastAsia="Verdana" w:cs="Verdana"/>
          <w:szCs w:val="24"/>
        </w:rPr>
        <w:t xml:space="preserve">staff can possibly assist 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8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8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13"/>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13"/>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13"/>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13"/>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5"/>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5"/>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7"/>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State of </w:t>
      </w:r>
      <w:r>
        <w:rPr>
          <w:rFonts w:ascii="Verdana" w:hAnsi="Verdana" w:eastAsia="Verdana" w:cs="Times New Roman"/>
          <w:b/>
          <w:lang w:bidi="ar-SA"/>
        </w:rPr>
        <w:t xml:space="preserve">Nebraska</w:t>
      </w:r>
      <w:r>
        <w:rPr>
          <w:rFonts w:ascii="Verdana" w:hAnsi="Verdana" w:eastAsia="Verdana" w:cs="Times New Roman"/>
          <w:lang w:bidi="ar-SA"/>
        </w:rPr>
        <w:t xml:space="preserve"> exclusion list at </w:t>
      </w:r>
      <w:r>
        <w:rPr/>
        <w:fldChar w:fldCharType="begin"/>
      </w:r>
      <w:r>
        <w:rPr/>
        <w:instrText xml:space="preserve">HYPERLINK "http://dhhs.ne.gov/Documents/Medicaid%20excluded%20providers.pdf" \l "search=nmep"</w:instrText>
      </w:r>
      <w:r>
        <w:rPr/>
        <w:fldChar w:fldCharType="separate"/>
      </w:r>
      <w:r>
        <w:rPr>
          <w:rStyle w:val="Hyperlink"/>
          <w:rFonts w:ascii="Verdana" w:hAnsi="Verdana" w:eastAsia="Verdana"/>
          <w:color w:val="auto"/>
          <w:lang w:bidi="ar-SA"/>
        </w:rPr>
        <w:t xml:space="preserve">http://dhhs.ne.gov/Documents/Medicaid%20excluded%20providers.pdf#search=nmep</w:t>
      </w:r>
      <w:r>
        <w:rPr/>
        <w:fldChar w:fldCharType="end"/>
      </w:r>
      <w:r>
        <w:rPr>
          <w:rFonts w:ascii="Verdana" w:hAnsi="Verdana" w:eastAsia="Verdana" w:cs="Times New Roman"/>
          <w:lang w:bidi="ar-SA"/>
        </w:rPr>
        <w:t xml:space="preserve"> </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 must complete and maintain documentation of pre-employment criminal background and registry checks on each unlicensed direct care staff member. The criminal background checks must be completed through a governmental law enforcement agency or a private entity that maintains criminal background information.  The facility must check for adverse findings on the following registries: Nurse Aide Registry; Adult Protective Services Central Registry; Central Register of Child Protection Cases; and the Nebraska State Patrol Sex Offender Registry.</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State of </w:t>
      </w:r>
      <w:r>
        <w:rPr>
          <w:rFonts w:ascii="Verdana" w:hAnsi="Verdana" w:eastAsia="Verdana" w:cs="Times New Roman"/>
          <w:b/>
          <w:lang w:bidi="ar-SA"/>
        </w:rPr>
        <w:t xml:space="preserve">Nebraska</w:t>
      </w:r>
      <w:r>
        <w:rPr>
          <w:rFonts w:ascii="Verdana" w:hAnsi="Verdana" w:eastAsia="Verdana" w:cs="Times New Roman"/>
          <w:lang w:bidi="ar-SA"/>
        </w:rPr>
        <w:t xml:space="preserve"> exclusions list at </w:t>
      </w:r>
      <w:r>
        <w:rPr/>
        <w:fldChar w:fldCharType="begin"/>
      </w:r>
      <w:r>
        <w:rPr/>
        <w:instrText xml:space="preserve">HYPERLINK "http://dhhs.ne.gov/Documents/Medicaid%20excluded%20providers.pdf" \l "search=nmep"</w:instrText>
      </w:r>
      <w:r>
        <w:rPr/>
        <w:fldChar w:fldCharType="separate"/>
      </w:r>
      <w:r>
        <w:rPr>
          <w:rStyle w:val="Hyperlink"/>
          <w:rFonts w:ascii="Verdana" w:hAnsi="Verdana" w:eastAsia="Verdana"/>
          <w:color w:val="auto"/>
          <w:lang w:bidi="ar-SA"/>
        </w:rPr>
        <w:t xml:space="preserve">http://dhhs.ne.gov/Documents/Medicaid%20excluded%20providers.pdf#search=nmep</w:t>
      </w:r>
      <w:r>
        <w:rPr/>
        <w:fldChar w:fldCharType="end"/>
      </w:r>
      <w:r>
        <w:rPr>
          <w:rFonts w:ascii="Verdana" w:hAnsi="Verdana" w:eastAsia="Verdana" w:cs="Times New Roman"/>
          <w:lang w:bidi="ar-SA"/>
        </w:rPr>
        <w:t xml:space="preserve"> </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State of </w:t>
      </w:r>
      <w:r>
        <w:rPr>
          <w:rFonts w:ascii="Verdana" w:hAnsi="Verdana" w:eastAsia="Verdana" w:cs="Times New Roman"/>
          <w:b/>
          <w:lang w:bidi="ar-SA"/>
        </w:rPr>
        <w:t xml:space="preserve">Nebraska</w:t>
      </w:r>
      <w:r>
        <w:rPr>
          <w:rFonts w:ascii="Verdana" w:hAnsi="Verdana" w:eastAsia="Verdana" w:cs="Times New Roman"/>
          <w:lang w:bidi="ar-SA"/>
        </w:rPr>
        <w:t xml:space="preserve"> exclusion list at </w:t>
      </w:r>
      <w:r>
        <w:rPr/>
        <w:fldChar w:fldCharType="begin"/>
      </w:r>
      <w:r>
        <w:rPr/>
        <w:instrText xml:space="preserve">HYPERLINK "http://dhhs.ne.gov/Documents/Medicaid%20excluded%20providers.pdf" \l "search=nmep"</w:instrText>
      </w:r>
      <w:r>
        <w:rPr/>
        <w:fldChar w:fldCharType="separate"/>
      </w:r>
      <w:r>
        <w:rPr>
          <w:rStyle w:val="Hyperlink"/>
          <w:rFonts w:ascii="Verdana" w:hAnsi="Verdana" w:eastAsia="Verdana"/>
          <w:color w:val="auto"/>
          <w:lang w:bidi="ar-SA"/>
        </w:rPr>
        <w:t xml:space="preserve">http://dhhs.ne.gov/Documents/Medicaid%20excluded%20providers.pdf#search=nmep</w:t>
      </w:r>
      <w:r>
        <w:rPr/>
        <w:fldChar w:fldCharType="end"/>
      </w:r>
      <w:r>
        <w:rPr>
          <w:rFonts w:ascii="Verdana" w:hAnsi="Verdana" w:eastAsia="Verdana" w:cs="Times New Roman"/>
          <w:lang w:bidi="ar-SA"/>
        </w:rPr>
        <w:t xml:space="preserve"> </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92"/>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9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9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9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92"/>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92"/>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9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9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9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9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9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9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9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9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9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9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92"/>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 faith reporting of incidents of harassment of any kind, pursuing any harassment claim or cooperating in related investigations.</w:t>
      </w:r>
    </w:p>
    <w:p>
      <w:pPr>
        <w:widowControl w:val="false"/>
        <w:numPr>
          <w:ilvl w:val="0"/>
          <w:numId w:val="792"/>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92"/>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92"/>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(i)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6"/>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2"/>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2"/>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2"/>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contain electronic information or records covered by a Record Destruction Hold Notice.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2"/>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2"/>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(i)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(i)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5"/>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5"/>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5"/>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5"/>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5"/>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(i)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(i)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6"/>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6"/>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9"/>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9"/>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9"/>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9"/>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9"/>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9"/>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9"/>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9"/>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9"/>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9"/>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9"/>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9"/>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9"/>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9"/>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9"/>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8"/>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8"/>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8"/>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8"/>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8"/>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8"/>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8"/>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8"/>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8"/>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8"/>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8"/>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8"/>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8"/>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8"/>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8"/>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8"/>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8"/>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8"/>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8"/>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6"/>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HealthInfoNet or other regional IT exchange</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6"/>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6"/>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6"/>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theft.</w:t>
      </w:r>
    </w:p>
    <w:p>
      <w:pPr>
        <w:pStyle w:val="ListParagraph"/>
        <w:widowControl w:val="false"/>
        <w:numPr>
          <w:ilvl w:val="2"/>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3"/>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7"/>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7"/>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7"/>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7"/>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7"/>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7"/>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7"/>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7"/>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7"/>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7"/>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7"/>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7"/>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7"/>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7"/>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7"/>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7"/>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7"/>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7"/>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7"/>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7"/>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7"/>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70"/>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70"/>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70"/>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9"/>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9"/>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70"/>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70"/>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70"/>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70"/>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70"/>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70"/>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70"/>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70"/>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70"/>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70"/>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70"/>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4"/>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70"/>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70"/>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70"/>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70"/>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70"/>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70"/>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7"/>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70"/>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70"/>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70"/>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70"/>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70"/>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70"/>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70"/>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3"/>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3"/>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3"/>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3"/>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2"/>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50"/>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80"/>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3"/>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80"/>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80"/>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80"/>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80"/>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80"/>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4"/>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8"/>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8"/>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8"/>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9"/>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9"/>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7"/>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7"/>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7"/>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7"/>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7"/>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4"/>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5"/>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5"/>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4"/>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6"/>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6"/>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6"/>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sanctioned as a resident care activity can be viewed as compromising the staff-resident relationship. Examples of boundary problems that may occur in social relationships include, but are not limited, to: </w:t>
      </w:r>
    </w:p>
    <w:p>
      <w:pPr>
        <w:pStyle w:val="ListParagraph"/>
        <w:numPr>
          <w:ilvl w:val="1"/>
          <w:numId w:val="816"/>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6"/>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6"/>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6"/>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6"/>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6"/>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7"/>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7"/>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7"/>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4"/>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8"/>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4"/>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9"/>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9"/>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9"/>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0"/>
          <w:footerReference w:type="default" r:id="rId17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1"/>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61"/>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61"/>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61"/>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(i)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obtained from the individual as soon as reasonably practical.</w:t>
      </w:r>
    </w:p>
    <w:p>
      <w:pPr>
        <w:pStyle w:val="ListParagraph"/>
        <w:widowControl w:val="false"/>
        <w:numPr>
          <w:ilvl w:val="0"/>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5"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20"/>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20"/>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2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2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2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2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2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2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2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2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20"/>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20"/>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20"/>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20"/>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20"/>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20"/>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20"/>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20"/>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facilitate donation and transplantation. </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20"/>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apprehend an individual.</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2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2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2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2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2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2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2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20"/>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20"/>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20"/>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deviations; to track products; to enable product recalls; to make repairs or replacement; or to conduct post marketing surveillance, as required.</w:t>
      </w:r>
    </w:p>
    <w:p>
      <w:pPr>
        <w:widowControl w:val="false"/>
        <w:numPr>
          <w:ilvl w:val="0"/>
          <w:numId w:val="820"/>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20"/>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given to a member of the clergy, even if the clergy member does not ask for you by name.</w:t>
      </w:r>
    </w:p>
    <w:p>
      <w:pPr>
        <w:widowControl w:val="false"/>
        <w:numPr>
          <w:ilvl w:val="1"/>
          <w:numId w:val="820"/>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20"/>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20"/>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20"/>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20"/>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20"/>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20"/>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20"/>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20"/>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20"/>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20"/>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20"/>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20"/>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20"/>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20"/>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20"/>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20"/>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20"/>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20"/>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20"/>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used or disclosed for the purposes of treatment, payment, or health care operations. You may also request that your PHI not be disclosed to family members or friends who may be involved in your care. </w:t>
      </w:r>
    </w:p>
    <w:p>
      <w:pPr>
        <w:widowControl w:val="false"/>
        <w:numPr>
          <w:ilvl w:val="1"/>
          <w:numId w:val="820"/>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20"/>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20"/>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20"/>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accommodate all reasonable requests. </w:t>
      </w:r>
    </w:p>
    <w:p>
      <w:pPr>
        <w:widowControl w:val="false"/>
        <w:numPr>
          <w:ilvl w:val="0"/>
          <w:numId w:val="820"/>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20"/>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20"/>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20"/>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20"/>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20"/>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20"/>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20"/>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5"/>
          <w:footerReference w:type="first" r:id="rId176"/>
          <w:headerReference w:type="even" r:id="rId177"/>
          <w:headerReference w:type="default" r:id="rId178"/>
          <w:footerReference w:type="default" r:id="rId179"/>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21"/>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5"/>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0"/>
          <w:headerReference w:type="even" r:id="rId181"/>
          <w:headerReference w:type="default" r:id="rId182"/>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3"/>
          <w:footerReference w:type="default" r:id="rId18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2"/>
        </w:numPr>
        <w:spacing w:after="0"/>
        <w:rPr>
          <w:rFonts w:ascii="Verdana" w:hAnsi="Verdana" w:eastAsia="Verdana"/>
          <w:szCs w:val="24"/>
        </w:rPr>
      </w:pPr>
      <w:r>
        <w:rPr>
          <w:rFonts w:ascii="Verdana" w:hAnsi="Verdana" w:eastAsia="Verdana"/>
          <w:szCs w:val="24"/>
        </w:rPr>
        <w:t xml:space="preserve">Definition of PHI </w:t>
      </w:r>
    </w:p>
    <w:p>
      <w:pPr>
        <w:numPr>
          <w:ilvl w:val="1"/>
          <w:numId w:val="572"/>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2"/>
        </w:numPr>
        <w:spacing w:after="0"/>
        <w:rPr>
          <w:rFonts w:ascii="Verdana" w:hAnsi="Verdana" w:eastAsia="Verdana"/>
          <w:szCs w:val="24"/>
        </w:rPr>
      </w:pPr>
      <w:r>
        <w:rPr>
          <w:rFonts w:ascii="Verdana" w:hAnsi="Verdana" w:eastAsia="Verdana"/>
          <w:szCs w:val="24"/>
        </w:rPr>
        <w:t xml:space="preserve">Definition of Breach </w:t>
      </w:r>
    </w:p>
    <w:p>
      <w:pPr>
        <w:numPr>
          <w:ilvl w:val="1"/>
          <w:numId w:val="572"/>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2"/>
        </w:numPr>
        <w:spacing w:after="0"/>
        <w:rPr>
          <w:rFonts w:ascii="Verdana" w:hAnsi="Verdana" w:eastAsia="Verdana"/>
          <w:szCs w:val="24"/>
        </w:rPr>
      </w:pPr>
      <w:r>
        <w:rPr>
          <w:rFonts w:ascii="Verdana" w:hAnsi="Verdana" w:eastAsia="Verdana"/>
          <w:szCs w:val="24"/>
        </w:rPr>
        <w:t xml:space="preserve">Exceptions to Breach</w:t>
      </w:r>
    </w:p>
    <w:p>
      <w:pPr>
        <w:numPr>
          <w:ilvl w:val="1"/>
          <w:numId w:val="572"/>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2"/>
        </w:numPr>
        <w:spacing w:after="0"/>
        <w:rPr>
          <w:rFonts w:ascii="Verdana" w:hAnsi="Verdana" w:eastAsia="Verdana"/>
          <w:szCs w:val="24"/>
        </w:rPr>
      </w:pPr>
      <w:r>
        <w:rPr>
          <w:rFonts w:ascii="Verdana" w:hAnsi="Verdana" w:eastAsia="Verdana"/>
          <w:szCs w:val="24"/>
        </w:rPr>
        <w:t xml:space="preserve">Notification </w:t>
      </w:r>
    </w:p>
    <w:p>
      <w:pPr>
        <w:numPr>
          <w:ilvl w:val="1"/>
          <w:numId w:val="572"/>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2"/>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2"/>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(i)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2"/>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2"/>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2"/>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2"/>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2"/>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2"/>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2"/>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2"/>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2"/>
        </w:numPr>
        <w:spacing w:after="0"/>
        <w:rPr>
          <w:rFonts w:ascii="Verdana" w:hAnsi="Verdana" w:eastAsia="Verdana"/>
          <w:szCs w:val="24"/>
        </w:rPr>
      </w:pPr>
      <w:r>
        <w:rPr>
          <w:rFonts w:ascii="Verdana" w:hAnsi="Verdana" w:eastAsia="Verdana"/>
          <w:szCs w:val="24"/>
        </w:rPr>
        <w:t xml:space="preserve">Documentation</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2"/>
        </w:numPr>
        <w:spacing w:after="0"/>
        <w:rPr>
          <w:rFonts w:ascii="Verdana" w:hAnsi="Verdana" w:eastAsia="Verdana"/>
          <w:szCs w:val="24"/>
        </w:rPr>
      </w:pPr>
      <w:r>
        <w:rPr>
          <w:rFonts w:ascii="Verdana" w:hAnsi="Verdana" w:eastAsia="Verdana"/>
          <w:szCs w:val="24"/>
        </w:rPr>
        <w:t xml:space="preserve">Staff Training</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5"/>
          <w:footerReference w:type="default" r:id="rId186"/>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9"/>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9"/>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87"/>
          <w:footerReference w:type="first" r:id="rId188"/>
          <w:headerReference w:type="even" r:id="rId189"/>
          <w:footerReference w:type="even" r:id="rId190"/>
          <w:headerReference w:type="default" r:id="rId191"/>
          <w:footerReference w:type="default" r:id="rId19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resident’s personal health records.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Face sheet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resident’s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4"/>
        </w:numPr>
        <w:spacing/>
        <w:contextualSpacing/>
        <w:jc w:val="both"/>
        <w:rPr>
          <w:rFonts w:ascii="Verdana" w:hAnsi="Verdana" w:eastAsia="Verdana"/>
          <w:sz w:val="24"/>
          <w:szCs w:val="24"/>
        </w:rPr>
        <w:sectPr>
          <w:headerReference w:type="default" r:id="rId193"/>
          <w:footerReference w:type="default" r:id="rId19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5"/>
          <w:footerReference w:type="default" r:id="rId1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3"/>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3"/>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1"/>
          <w:footerReference w:type="first" r:id="rId202"/>
          <w:headerReference w:type="even" r:id="rId203"/>
          <w:footerReference w:type="even" r:id="rId204"/>
          <w:headerReference w:type="default" r:id="rId205"/>
          <w:footerReference w:type="default" r:id="rId20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07"/>
          <w:footerReference w:type="default" r:id="rId2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(i)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zyxwvuts,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09"/>
          <w:footerReference w:type="default" r:id="rId2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1"/>
          <w:footerReference w:type="default" r:id="rId21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3"/>
        </w:numPr>
        <w:spacing/>
        <w:contextualSpacing/>
        <w:jc w:val="both"/>
        <w:rPr>
          <w:rFonts w:ascii="Verdana" w:hAnsi="Verdana" w:eastAsia="Verdana"/>
          <w:sz w:val="24"/>
          <w:szCs w:val="24"/>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51"/>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51"/>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51"/>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51"/>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51"/>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51"/>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51"/>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8"/>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5"/>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5"/>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5"/>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5"/>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5"/>
        </w:numPr>
        <w:spacing/>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7"/>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7"/>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7"/>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Ethics</w:t>
      </w:r>
      <w:r>
        <w:rPr>
          <w:rFonts w:ascii="Verdana" w:hAnsi="Verdana" w:eastAsia="Verdana"/>
          <w:sz w:val="24"/>
          <w:szCs w:val="24"/>
        </w:rPr>
        <w:t xml:space="preserve">/Privacy/Security Officer, and/or a member of the Facility’s administration.  </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2"/>
          <w:footerReference w:type="first" r:id="rId233"/>
          <w:headerReference w:type="even" r:id="rId234"/>
          <w:footerReference w:type="even" r:id="rId235"/>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38"/>
          <w:footerReference w:type="default" r:id="rId23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5"/>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0"/>
          <w:footerReference w:type="default" r:id="rId2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2"/>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2"/>
          <w:footerReference w:type="default" r:id="rId2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6"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6"/>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2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22"/>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2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22"/>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22"/>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22"/>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22"/>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22"/>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22"/>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22"/>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w:t>
      </w:r>
      <w:r>
        <w:rPr>
          <w:rFonts w:ascii="Verdana" w:hAnsi="Verdana" w:eastAsia="Verdana" w:cs="ArialMTPro"/>
          <w:color w:val="FF0000"/>
          <w:sz w:val="24"/>
          <w:szCs w:val="24"/>
        </w:rPr>
        <w:t xml:space="preserve"> </w:t>
      </w:r>
      <w:r>
        <w:rPr>
          <w:rFonts w:ascii="Verdana" w:hAnsi="Verdana" w:eastAsia="Verdana" w:cs="ArialMTPro"/>
          <w:sz w:val="24"/>
          <w:szCs w:val="24"/>
        </w:rPr>
        <w:t xml:space="preserve">when copies are requested and within 10 days when examination is requested</w:t>
      </w:r>
      <w:r>
        <w:rPr>
          <w:rFonts w:ascii="Verdana" w:hAnsi="Verdana" w:eastAsia="Verdana" w:cs="ArialMTPro"/>
          <w:color w:val="FF0000"/>
          <w:sz w:val="24"/>
          <w:szCs w:val="24"/>
        </w:rPr>
        <w:t xml:space="preserve"> </w:t>
      </w:r>
      <w:r>
        <w:rPr>
          <w:rFonts w:ascii="Verdana" w:hAnsi="Verdana" w:eastAsia="Verdana" w:cs="ArialMTPro"/>
          <w:sz w:val="24"/>
          <w:szCs w:val="24"/>
        </w:rPr>
        <w:t xml:space="preserve">access to examine the records</w:t>
      </w:r>
      <w:r>
        <w:rPr>
          <w:rFonts w:ascii="Verdana" w:hAnsi="Verdana" w:eastAsia="Verdana" w:cs="ArialMTPro"/>
          <w:color w:val="FF0000"/>
          <w:sz w:val="24"/>
          <w:szCs w:val="24"/>
        </w:rPr>
        <w:t xml:space="preserve"> </w:t>
      </w:r>
      <w:r>
        <w:rPr>
          <w:rFonts w:ascii="Verdana" w:hAnsi="Verdana" w:eastAsia="Verdana" w:cs="Times"/>
          <w:sz w:val="24"/>
          <w:szCs w:val="24"/>
        </w:rPr>
        <w:t xml:space="preserve">of the receipt of the request for the PHI.</w:t>
      </w:r>
    </w:p>
    <w:p>
      <w:pPr>
        <w:pStyle w:val="ListParagraph"/>
        <w:spacing/>
        <w:ind w:left="2160"/>
        <w:rPr>
          <w:rFonts w:ascii="Verdana" w:hAnsi="Verdana" w:eastAsia="Verdana" w:cs="Times"/>
          <w:sz w:val="24"/>
          <w:szCs w:val="24"/>
        </w:rPr>
      </w:pPr>
      <w:r>
        <w:rPr>
          <w:rFonts w:ascii="Verdana" w:hAnsi="Verdana" w:eastAsia="Verdana" w:cs="Times"/>
          <w:sz w:val="24"/>
          <w:szCs w:val="24"/>
        </w:rPr>
        <w:t xml:space="preserve">If an individual provides a written request to examine the medical records, the records must be made available as promptly as required under the circumstances but no later than 10 days after receiving the request and must be made available during regular business hours. The facility must inform the individual if the records do not exist or cannot be found and, if the facility does not maintain the requested records, must provide the name and address of the provider who maintains the records. If unusual circumstances have delayed handling the request, the facility must inform the patient in writing of the reasons for the delay and the earliest date, not later than 21 days after receiving the request, when the records will be available for examination. </w:t>
      </w:r>
    </w:p>
    <w:p>
      <w:pPr>
        <w:pStyle w:val="ListParagraph"/>
        <w:widowControl w:val="false"/>
        <w:tabs>
          <w:tab w:val="left" w:pos="1620"/>
        </w:tabs>
        <w:autoSpaceDE w:val="false"/>
        <w:autoSpaceDN w:val="false"/>
        <w:adjustRightInd w:val="false"/>
        <w:spacing w:before="113" w:after="0" w:line="240" w:lineRule="auto"/>
        <w:ind w:left="1296"/>
        <w:contextualSpacing/>
        <w:jc w:val="both"/>
        <w:rPr>
          <w:rFonts w:ascii="Verdana" w:hAnsi="Verdana" w:eastAsia="Verdana" w:cs="Times"/>
          <w:color w:val="FF0000"/>
          <w:sz w:val="24"/>
          <w:szCs w:val="24"/>
        </w:rPr>
      </w:pP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III.C.a., prov</w:t>
      </w:r>
      <w:r>
        <w:rPr>
          <w:rFonts w:ascii="Verdana" w:hAnsi="Verdana" w:eastAsia="Verdana" w:cs="Times"/>
          <w:sz w:val="24"/>
          <w:szCs w:val="24"/>
        </w:rPr>
        <w:t xml:space="preserve">ided that:</w:t>
      </w:r>
    </w:p>
    <w:p>
      <w:pPr>
        <w:pStyle w:val="ListParagraph"/>
        <w:widowControl w:val="false"/>
        <w:numPr>
          <w:ilvl w:val="3"/>
          <w:numId w:val="822"/>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22"/>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2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2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2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2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22"/>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22"/>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22"/>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22"/>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822"/>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Cs w:val="24"/>
        </w:rPr>
        <w:t xml:space="preserve">Facilities may charge no more than $20 as a handling fee and may charge no more than fifty cents per page as a copying fee.  The facility may charge for the reasonable cost for duplications of medical records which cannot routinely be copied or duplicated on a standard photocopy machine. The facility may charge an amount necessary to cover the cost of labor and materials for furnishing a copy of an X-ray or similar special medical record. If the facility does not have the ability to reproduce X-rays or other records requested, the person making the request may arrange, at his or her expense, for the reproduction of such records.</w:t>
      </w:r>
    </w:p>
    <w:p>
      <w:pPr>
        <w:pStyle w:val="ListParagraph"/>
        <w:widowControl w:val="false"/>
        <w:numPr>
          <w:ilvl w:val="2"/>
          <w:numId w:val="822"/>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Cs w:val="24"/>
        </w:rPr>
        <w:t xml:space="preserve">The facility shall not charge a fee for medical records requested by a patient for use in supporting an application for disability or other benefits or assistance or an appeal relating to the denial of such benefits or assistance under</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RRS Neb Section 43-501 to 43-536 regarding assistance to certain delinquent, dependent, and medically handicapped children; </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Medical Assistance Act; and</w:t>
      </w:r>
    </w:p>
    <w:p>
      <w:pPr>
        <w:pStyle w:val="ListParagraph"/>
        <w:widowControl w:val="false"/>
        <w:numPr>
          <w:ilvl w:val="4"/>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Titles II, XVI and XVIII of the federal Social Security Act.</w:t>
      </w:r>
    </w:p>
    <w:p>
      <w:pPr>
        <w:pStyle w:val="ListParagraph"/>
        <w:widowControl w:val="false"/>
        <w:numPr>
          <w:ilvl w:val="0"/>
          <w:numId w:val="466"/>
        </w:numPr>
        <w:autoSpaceDE w:val="false"/>
        <w:autoSpaceDN w:val="false"/>
        <w:adjustRightInd w:val="false"/>
        <w:spacing w:before="113" w:after="0" w:line="240" w:lineRule="auto"/>
        <w:ind w:left="1800"/>
        <w:contextualSpacing/>
        <w:rPr>
          <w:rFonts w:ascii="Verdana" w:hAnsi="Verdana" w:eastAsia="Verdana" w:cs="ArialMTPro"/>
          <w:iCs/>
          <w:szCs w:val="24"/>
        </w:rPr>
      </w:pPr>
      <w:r>
        <w:rPr>
          <w:rFonts w:ascii="Verdana" w:hAnsi="Verdana" w:eastAsia="Verdana" w:cs="ArialMTPro"/>
          <w:iCs/>
          <w:szCs w:val="24"/>
        </w:rPr>
        <w:t xml:space="preserve">The facility may charge the fees specified above for the records of a patient requested by a state or federal agency in relation to the patient’s application for benefits or assistance, as listed above.</w:t>
      </w:r>
    </w:p>
    <w:p>
      <w:pPr>
        <w:pStyle w:val="ListParagraph"/>
        <w:widowControl w:val="false"/>
        <w:numPr>
          <w:ilvl w:val="0"/>
          <w:numId w:val="466"/>
        </w:numPr>
        <w:autoSpaceDE w:val="false"/>
        <w:autoSpaceDN w:val="false"/>
        <w:adjustRightInd w:val="false"/>
        <w:spacing w:before="113" w:after="0" w:line="240" w:lineRule="auto"/>
        <w:ind w:left="1800"/>
        <w:contextualSpacing/>
        <w:rPr>
          <w:rFonts w:ascii="Verdana" w:hAnsi="Verdana" w:eastAsia="Verdana" w:cs="ArialMTPro"/>
          <w:iCs/>
          <w:szCs w:val="24"/>
        </w:rPr>
      </w:pPr>
      <w:r>
        <w:rPr>
          <w:rFonts w:ascii="Verdana" w:hAnsi="Verdana" w:eastAsia="Verdana" w:cs="ArialMTPro"/>
          <w:iCs/>
          <w:szCs w:val="24"/>
        </w:rPr>
        <w:t xml:space="preserve">The requirements of this section do not apply to the release of medical records under the Nebraska Workers’ Compensation Act. </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resident’s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6"/>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resident’s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resident’s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resident’s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resident’s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resident’s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resident’s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resident’s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23"/>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3"/>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3"/>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23"/>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“limited data use agreement,” used solely to disclose a subset of information for research, public health, or health care operations.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resident’s request for an accounting, no later than 60 days after receipt of such a request, as follows.</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and provides the resident with an opportunity to withdraw or modify the request for a subsequent accounting in order to avoid or reduce the fee.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3"/>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documentation as required by law</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3"/>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resident’s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4"/>
          <w:footerReference w:type="first" r:id="rId255"/>
          <w:headerReference w:type="even" r:id="rId256"/>
          <w:footerReference w:type="even" r:id="rId257"/>
          <w:headerReference w:type="default" r:id="rId258"/>
          <w:footerReference w:type="default" r:id="rId259"/>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0"/>
          <w:footerReference w:type="default" r:id="rId261"/>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resident’s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2"/>
          <w:footerReference w:type="default" r:id="rId26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4"/>
          <w:footerReference w:type="first" r:id="rId265"/>
          <w:headerReference w:type="even" r:id="rId266"/>
          <w:footerReference w:type="even" r:id="rId267"/>
          <w:headerReference w:type="default" r:id="rId268"/>
          <w:footerReference w:type="default" r:id="rId26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7"/>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7" w:name="c_1_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8" w:name="c_1_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9" w:name="c_1_iii"/>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0" w:name="c_1_i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1" w:name="c_1_v"/>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2" w:name="c_1_vi"/>
      <w:bookmarkEnd w:id="42"/>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7"/>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3" w:name="i"/>
      <w:bookmarkEnd w:id="43"/>
    </w:p>
    <w:p>
      <w:pPr>
        <w:pStyle w:val="ListParagraph"/>
        <w:numPr>
          <w:ilvl w:val="1"/>
          <w:numId w:val="717"/>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7"/>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4" w:name="i_2_vi_B"/>
      <w:bookmarkStart w:id="45" w:name="i_2_ii"/>
      <w:bookmarkEnd w:id="44"/>
      <w:bookmarkEnd w:id="45"/>
      <w:r>
        <w:rPr>
          <w:rFonts w:ascii="Verdana" w:hAnsi="Verdana" w:eastAsia="Verdana" w:cs="Lucida Sans Unicode"/>
          <w:color w:val="000000"/>
          <w:sz w:val="24"/>
          <w:szCs w:val="24"/>
        </w:rPr>
        <w:t xml:space="preserve">,</w:t>
      </w:r>
    </w:p>
    <w:p>
      <w:pPr>
        <w:pStyle w:val="ListParagraph"/>
        <w:numPr>
          <w:ilvl w:val="1"/>
          <w:numId w:val="717"/>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6" w:name="i_2_iii"/>
      <w:bookmarkEnd w:id="46"/>
      <w:r>
        <w:rPr>
          <w:rFonts w:ascii="Verdana" w:hAnsi="Verdana" w:eastAsia="Verdana" w:cs="Lucida Sans Unicode"/>
          <w:color w:val="000000"/>
          <w:sz w:val="24"/>
          <w:szCs w:val="24"/>
        </w:rPr>
        <w:t xml:space="preserve">,</w:t>
      </w:r>
    </w:p>
    <w:p>
      <w:pPr>
        <w:pStyle w:val="ListParagraph"/>
        <w:numPr>
          <w:ilvl w:val="1"/>
          <w:numId w:val="717"/>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7" w:name="b_2_i"/>
      <w:bookmarkEnd w:id="47"/>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e)(i)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0"/>
          <w:footerReference w:type="first" r:id="rId271"/>
          <w:headerReference w:type="even" r:id="rId272"/>
          <w:footerReference w:type="even" r:id="rId273"/>
          <w:headerReference w:type="default" r:id="rId274"/>
          <w:footerReference w:type="default" r:id="rId27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w:t>
      </w:r>
      <w:r>
        <w:rPr>
          <w:rFonts w:ascii="Verdana" w:hAnsi="Verdana" w:eastAsia="Verdana"/>
          <w:sz w:val="20"/>
          <w:szCs w:val="20"/>
        </w:rPr>
        <w:t xml:space="preserve">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76"/>
          <w:footerReference w:type="default" r:id="rId277"/>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r>
        <w:rPr>
          <w:rFonts w:ascii="Verdana" w:hAnsi="Verdana" w:eastAsia="Verdana"/>
          <w:szCs w:val="24"/>
        </w:rPr>
        <w:t xml:space="preserve">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78"/>
          <w:footerReference w:type="first" r:id="rId279"/>
          <w:headerReference w:type="even" r:id="rId280"/>
          <w:footerReference w:type="even" r:id="rId281"/>
          <w:headerReference w:type="default" r:id="rId282"/>
          <w:footerReference w:type="default" r:id="rId28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4"/>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4"/>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4"/>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4"/>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4"/>
          <w:footerReference w:type="default" r:id="rId2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Opt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resident’s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6"/>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resident’s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8"/>
          <w:footerReference w:type="default" r:id="rId28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4"/>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4"/>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4"/>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4"/>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1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1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1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1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1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1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1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1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1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1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1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waiver criteria set forth in HIPAA are satisfied by the IRB or Privacy Board and documented.</w:t>
      </w:r>
    </w:p>
    <w:p>
      <w:pPr>
        <w:pStyle w:val="ListParagraph"/>
        <w:widowControl w:val="false"/>
        <w:numPr>
          <w:ilvl w:val="2"/>
          <w:numId w:val="711"/>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11"/>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11"/>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11"/>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11"/>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11"/>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11"/>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11"/>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11"/>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11"/>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11"/>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11"/>
        </w:numPr>
        <w:spacing w:after="0" w:line="240" w:lineRule="auto"/>
        <w:contextualSpacing/>
        <w:jc w:val="both"/>
        <w:rPr>
          <w:rFonts w:ascii="Verdana" w:hAnsi="Verdana" w:eastAsia="Verdana"/>
          <w:color w:val="252525"/>
          <w:sz w:val="24"/>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resident</w:t>
      </w:r>
      <w:r>
        <w:rPr>
          <w:rFonts w:ascii="Verdana" w:hAnsi="Verdana" w:eastAsia="Verdana" w:cs="Times"/>
          <w:bCs/>
          <w:szCs w:val="24"/>
        </w:rPr>
        <w:t xml:space="preserve">’</w:t>
      </w:r>
      <w:r>
        <w:rPr>
          <w:rFonts w:ascii="Verdana" w:hAnsi="Verdana" w:eastAsia="Verdana" w:cs="Times"/>
          <w:bCs/>
          <w:szCs w:val="24"/>
        </w:rPr>
        <w:t xml:space="preserve">s health care or payment related to the resident’s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resident’s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298"/>
          <w:footerReference w:type="first" r:id="rId299"/>
          <w:headerReference w:type="even" r:id="rId300"/>
          <w:footerReference w:type="even" r:id="rId301"/>
          <w:headerReference w:type="default" r:id="rId302"/>
          <w:footerReference w:type="default" r:id="rId303"/>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5"/>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5"/>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5"/>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5"/>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5"/>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5"/>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5"/>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5"/>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5"/>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5"/>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5"/>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5"/>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5"/>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5"/>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5"/>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5"/>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5"/>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5"/>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4"/>
          <w:footerReference w:type="default" r:id="rId305"/>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5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5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5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6"/>
          <w:footerReference w:type="default" r:id="rId30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6"/>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6"/>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8"/>
          <w:footerReference w:type="default" r:id="rId3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6"/>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6"/>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autoSpaceDE w:val="false"/>
        <w:autoSpaceDN w:val="false"/>
        <w:adjustRightInd w:val="false"/>
        <w:spacing w:before="170" w:after="0" w:line="240" w:lineRule="auto"/>
        <w:ind w:left="1296"/>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six (6) years</w:t>
      </w:r>
      <w:r>
        <w:rPr/>
        <w:t xml:space="preserve"> </w:t>
      </w:r>
      <w:r>
        <w:rPr>
          <w:rFonts w:ascii="Verdana" w:hAnsi="Verdana" w:eastAsia="Verdana" w:cs="ArialMTPro"/>
          <w:color w:val="000000"/>
          <w:szCs w:val="24"/>
        </w:rPr>
        <w:t xml:space="preserve">from 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1"/>
          <w:numId w:val="827"/>
        </w:numPr>
        <w:autoSpaceDE w:val="false"/>
        <w:autoSpaceDN w:val="false"/>
        <w:adjustRightInd w:val="false"/>
        <w:spacing w:before="170" w:after="0" w:line="240" w:lineRule="auto"/>
        <w:jc w:val="both"/>
        <w:rPr>
          <w:rFonts w:ascii="Verdana" w:hAnsi="Verdana" w:eastAsia="Verdana" w:cs="ArialMTPro"/>
          <w:sz w:val="24"/>
          <w:szCs w:val="24"/>
        </w:rPr>
      </w:pPr>
      <w:r>
        <w:rPr>
          <w:rFonts w:ascii="Verdana" w:hAnsi="Verdana" w:eastAsia="Verdana" w:cs="ArialMTPro"/>
          <w:sz w:val="24"/>
          <w:szCs w:val="24"/>
        </w:rPr>
        <w:t xml:space="preserve"> </w:t>
      </w:r>
      <w:r>
        <w:rPr>
          <w:rFonts w:ascii="Verdana" w:hAnsi="Verdana" w:eastAsia="Verdana" w:cs="ArialMTPro"/>
          <w:sz w:val="24"/>
          <w:szCs w:val="24"/>
        </w:rPr>
        <w:t xml:space="preserve">The Facility must permanently retain records or documentation of the actual fact of resident medical record destruction.</w:t>
      </w:r>
    </w:p>
    <w:p>
      <w:pPr>
        <w:pStyle w:val="ListParagraph"/>
        <w:widowControl w:val="false"/>
        <w:numPr>
          <w:ilvl w:val="0"/>
          <w:numId w:val="826"/>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6"/>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6"/>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6"/>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7"/>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7"/>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7"/>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7"/>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7"/>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7"/>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7"/>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7"/>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7"/>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MySpace, Twitter), etc.</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7"/>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8"/>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8"/>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enforcement and the state survey agency, if appropriate. See CCG 00304 for the Facility’s Elder Justice Act Policy and Procedure.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0"/>
          <w:footerReference w:type="default" r:id="rId331"/>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Bedhold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32"/>
          <w:footerReference w:type="first" r:id="rId333"/>
          <w:headerReference w:type="even" r:id="rId334"/>
          <w:footerReference w:type="even" r:id="rId335"/>
          <w:headerReference w:type="default" r:id="rId336"/>
          <w:footerReference w:type="default" r:id="rId337"/>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demonstrates that catheterization is necessary;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5"/>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accurate acquiring, receiving, dispensing, and administering of all drugs and biologicals, to meet the needs of each resident;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sectPr>
          <w:footerReference w:type="default" r:id="rId33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shall request participation of other members of its staff as well as consultants on the committee as necessary to identify issues which necessitate action and to participate in development and implementation of action plan to correct the problem and reevaluation of the problem.</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identify issues that necessitate action by the committee.</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monitor the appropriateness and effectiveness of any corrective action.</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reevaluate corrective actions, revise plans of corrective action, and revise Facility policies and clinical policies as necessary.</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39"/>
          <w:footerReference w:type="default" r:id="rId340"/>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1"/>
        </w:numPr>
        <w:spacing/>
        <w:ind w:left="720"/>
        <w:contextualSpacing/>
        <w:jc w:val="both"/>
        <w:rPr>
          <w:rFonts w:ascii="Verdana" w:hAnsi="Verdana" w:eastAsia="Verdana"/>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9"/>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9"/>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9"/>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9"/>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9"/>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9"/>
        </w:numPr>
        <w:spacing/>
        <w:ind w:left="720"/>
        <w:jc w:val="both"/>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47"/>
          <w:footerReference w:type="first" r:id="rId348"/>
          <w:headerReference w:type="even" r:id="rId349"/>
          <w:footerReference w:type="even" r:id="rId350"/>
          <w:headerReference w:type="default" r:id="rId351"/>
          <w:footerReference w:type="default" r:id="rId35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440"/>
        <w:jc w:val="center"/>
        <w:outlineLvl w:val="0"/>
        <w:rPr>
          <w:rFonts w:ascii="Verdana" w:hAnsi="Verdana" w:eastAsia="Verdana" w:cs="Verdana"/>
          <w:b/>
          <w:bCs/>
          <w:sz w:val="28"/>
          <w:szCs w:val="28"/>
          <w:lang w:bidi="ar-SA"/>
        </w:rPr>
      </w:pPr>
      <w:bookmarkStart w:id="48" w:name="_Hlk24032484"/>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tabs>
          <w:tab w:val="left" w:pos="2490"/>
        </w:tabs>
        <w:autoSpaceDE w:val="false"/>
        <w:autoSpaceDN w:val="false"/>
        <w:spacing w:after="0"/>
        <w:ind w:left="100" w:right="819"/>
        <w:rPr>
          <w:rFonts w:ascii="Verdana" w:hAnsi="Verdana" w:eastAsia="Verdana" w:cs="Verdana"/>
          <w:sz w:val="27"/>
          <w:lang w:bidi="ar-SA"/>
        </w:rPr>
      </w:pPr>
      <w:r>
        <w:rPr>
          <w:rFonts w:ascii="Verdana" w:hAnsi="Verdana" w:eastAsia="Verdana" w:cs="Verdana"/>
          <w:sz w:val="27"/>
          <w:lang w:bidi="ar-SA"/>
        </w:rPr>
        <w:tab/>
        <w:t xml:space="preserve"/>
      </w: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bookmarkEnd w:id="48"/>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7"/>
          <w:footerReference w:type="default" r:id="rId358"/>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9"/>
          <w:footerReference w:type="default" r:id="rId360"/>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9"/>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9"/>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30"/>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o</w:t>
      </w:r>
      <w:r>
        <w:rPr>
          <w:rFonts w:ascii="Verdana" w:hAnsi="Verdana" w:eastAsia="Verdana"/>
        </w:rPr>
        <w:t xml:space="preserve">f $60 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excee</w:t>
      </w:r>
      <w:r>
        <w:rPr>
          <w:rFonts w:ascii="Verdana" w:hAnsi="Verdana" w:eastAsia="Verdana"/>
        </w:rPr>
        <w:t xml:space="preserve">d $60</w:t>
      </w:r>
      <w:r>
        <w:rPr>
          <w:rFonts w:ascii="Verdana" w:hAnsi="Verdana" w:eastAsia="Verdana"/>
        </w:rPr>
        <w:t xml:space="preserve"> </w:t>
      </w:r>
      <w:r>
        <w:rPr>
          <w:rFonts w:ascii="Verdana" w:hAnsi="Verdana" w:eastAsia="Verdana"/>
        </w:rPr>
        <w:t xml:space="preserve">in </w:t>
      </w:r>
      <w:r>
        <w:rPr>
          <w:rFonts w:ascii="Verdana" w:hAnsi="Verdana" w:eastAsia="Verdana"/>
        </w:rPr>
        <w:t xml:space="preserve">a non-interest bearing account, interest-bearing account, or petty cash fund.</w:t>
      </w:r>
    </w:p>
    <w:p>
      <w:pPr>
        <w:pStyle w:val="psection-3"/>
        <w:numPr>
          <w:ilvl w:val="0"/>
          <w:numId w:val="830"/>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9"/>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31"/>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balance for every resident. For each transaction, the resident shall be given a receipt and the Facility shall retain a copy.</w:t>
      </w:r>
    </w:p>
    <w:p>
      <w:pPr>
        <w:pStyle w:val="psection-3"/>
        <w:numPr>
          <w:ilvl w:val="0"/>
          <w:numId w:val="831"/>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31"/>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9"/>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32"/>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32"/>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32"/>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33"/>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34"/>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34"/>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34"/>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34"/>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5"/>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5"/>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5"/>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5"/>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5"/>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5"/>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5"/>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5"/>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5"/>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5"/>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5"/>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5"/>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5"/>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5"/>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5"/>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5"/>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5"/>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5"/>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5"/>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5"/>
        </w:numPr>
        <w:shd w:val="clear" w:color="auto" w:fill="FFFFFF"/>
        <w:spacing w:before="0" w:beforeAutospacing="0" w:after="150" w:afterAutospacing="0"/>
        <w:jc w:val="both"/>
        <w:rPr>
          <w:rFonts w:ascii="Verdana" w:hAnsi="Verdana" w:eastAsia="Verdana"/>
        </w:rPr>
        <w:sectPr>
          <w:headerReference w:type="default" r:id="rId361"/>
          <w:footerReference w:type="default" r:id="rId362"/>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6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6"/>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6"/>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6"/>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6"/>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63"/>
          <w:footerReference w:type="default" r:id="rId364"/>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692"/>
        </w:numPr>
        <w:spacing/>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692"/>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692"/>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be actively supervised by a staff member while in the designated smoking area.  </w:t>
      </w:r>
    </w:p>
    <w:p>
      <w:pPr>
        <w:pStyle w:val="ListParagraph"/>
        <w:numPr>
          <w:ilvl w:val="1"/>
          <w:numId w:val="692"/>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692"/>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692"/>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692"/>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692"/>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Cs w:val="24"/>
        </w:rPr>
        <w:t xml:space="preserve">and may not include bedrooms.</w:t>
      </w:r>
    </w:p>
    <w:p>
      <w:pPr>
        <w:pStyle w:val="ListParagraph"/>
        <w:numPr>
          <w:ilvl w:val="1"/>
          <w:numId w:val="692"/>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692"/>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692"/>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692"/>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692"/>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692"/>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692"/>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692"/>
        </w:numPr>
        <w:spacing/>
        <w:contextualSpacing/>
        <w:jc w:val="both"/>
        <w:rPr>
          <w:rFonts w:ascii="Verdana" w:hAnsi="Verdana" w:eastAsia="Verdana"/>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pStyle w:val="ListParagraph"/>
        <w:numPr>
          <w:ilvl w:val="0"/>
          <w:numId w:val="692"/>
        </w:numPr>
        <w:spacing/>
        <w:contextualSpacing/>
        <w:rPr>
          <w:rFonts w:ascii="Verdana" w:hAnsi="Verdana" w:eastAsia="Verdana"/>
          <w:szCs w:val="24"/>
        </w:rPr>
      </w:pPr>
      <w:r>
        <w:rPr>
          <w:rFonts w:ascii="Verdana" w:hAnsi="Verdana" w:eastAsia="Verdana"/>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5"/>
          <w:footerReference w:type="default" r:id="rId366"/>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6"/>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6"/>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6"/>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6"/>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6"/>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6"/>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6"/>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67"/>
          <w:footerReference w:type="default" r:id="rId36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69"/>
          <w:footerReference w:type="default" r:id="rId37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7"/>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resident’s health has improved sufficiently so the resident no longer needs the services provided by the facility;</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7"/>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7"/>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7"/>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7"/>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7"/>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7"/>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7"/>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7"/>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7"/>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7"/>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7"/>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7"/>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7"/>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7"/>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7"/>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7"/>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7"/>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7"/>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7"/>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7"/>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7"/>
        </w:numPr>
        <w:spacing/>
        <w:ind w:left="1530"/>
        <w:contextualSpacing/>
        <w:jc w:val="both"/>
        <w:rPr>
          <w:rFonts w:ascii="Verdana" w:hAnsi="Verdana" w:eastAsia="Verdana"/>
          <w:sz w:val="24"/>
          <w:szCs w:val="24"/>
        </w:rPr>
      </w:pPr>
      <w:r>
        <w:rPr>
          <w:rFonts w:ascii="Verdana" w:hAnsi="Verdana" w:eastAsia="Verdana"/>
          <w:sz w:val="24"/>
          <w:szCs w:val="24"/>
        </w:rPr>
        <w:t xml:space="preserve">The written </w:t>
      </w:r>
      <w:r>
        <w:rPr>
          <w:rFonts w:ascii="Verdana" w:hAnsi="Verdana" w:eastAsia="Verdana"/>
          <w:sz w:val="24"/>
          <w:szCs w:val="24"/>
        </w:rPr>
        <w:t xml:space="preserve">notice must be in 12-point type or larger and</w:t>
      </w:r>
      <w:r>
        <w:rPr>
          <w:rFonts w:ascii="Verdana" w:hAnsi="Verdana" w:eastAsia="Verdana"/>
          <w:sz w:val="24"/>
          <w:szCs w:val="24"/>
        </w:rPr>
        <w:t xml:space="preserve"> </w:t>
      </w:r>
      <w:r>
        <w:rPr>
          <w:rFonts w:ascii="Verdana" w:hAnsi="Verdana" w:eastAsia="Verdana"/>
          <w:sz w:val="24"/>
          <w:szCs w:val="24"/>
        </w:rPr>
        <w:t xml:space="preserve">shall include the following:</w:t>
      </w:r>
    </w:p>
    <w:p>
      <w:pPr>
        <w:pStyle w:val="ListParagraph"/>
        <w:numPr>
          <w:ilvl w:val="0"/>
          <w:numId w:val="838"/>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8"/>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8"/>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8"/>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8"/>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8"/>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8"/>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7"/>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7"/>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IV.C.b. below and except in cases of facility closure, the notice of transfer or discharge required shall be made by the Facility at least 30 days before the resident is transferred or discharged.</w:t>
      </w:r>
    </w:p>
    <w:p>
      <w:pPr>
        <w:pStyle w:val="ListParagraph"/>
        <w:numPr>
          <w:ilvl w:val="3"/>
          <w:numId w:val="487"/>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9"/>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9"/>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9"/>
        </w:numPr>
        <w:spacing/>
        <w:contextualSpacing/>
        <w:jc w:val="both"/>
        <w:rPr>
          <w:rFonts w:ascii="Verdana" w:hAnsi="Verdana" w:eastAsia="Verdana"/>
          <w:sz w:val="24"/>
          <w:szCs w:val="24"/>
        </w:rPr>
      </w:pPr>
      <w:r>
        <w:rPr>
          <w:rFonts w:ascii="Verdana" w:hAnsi="Verdana" w:eastAsia="Verdana"/>
          <w:sz w:val="24"/>
          <w:szCs w:val="24"/>
        </w:rPr>
        <w:t xml:space="preserve">The resident's health improves sufficiently to allow a more immediate transfer or </w:t>
      </w:r>
      <w:r>
        <w:rPr>
          <w:rFonts w:ascii="Verdana" w:hAnsi="Verdana" w:eastAsia="Verdana"/>
          <w:sz w:val="24"/>
          <w:szCs w:val="24"/>
        </w:rPr>
        <w:t xml:space="preserve">discharge in which case, five days written notice must be provided;</w:t>
      </w:r>
    </w:p>
    <w:p>
      <w:pPr>
        <w:pStyle w:val="ListParagraph"/>
        <w:numPr>
          <w:ilvl w:val="0"/>
          <w:numId w:val="839"/>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9"/>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839"/>
        </w:numPr>
        <w:spacing/>
        <w:contextualSpacing/>
        <w:jc w:val="both"/>
        <w:rPr>
          <w:rFonts w:ascii="Verdana" w:hAnsi="Verdana" w:eastAsia="Verdana"/>
          <w:sz w:val="24"/>
          <w:szCs w:val="24"/>
        </w:rPr>
      </w:pPr>
      <w:r>
        <w:rPr>
          <w:rFonts w:ascii="Verdana" w:hAnsi="Verdana" w:eastAsia="Verdana"/>
          <w:sz w:val="24"/>
          <w:szCs w:val="24"/>
        </w:rPr>
        <w:t xml:space="preserve">the reason for discharge is due to nonpayment of the resident’s stay, in which case ten days’ written notice must be provided if the charges are five days or more in arrears.</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7"/>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ensure that each admitted resident has written approval of a recommendation for admittance to the Facility by a medical practitioner. Each resident admitted to the facility shall also have a history and physical examination completed by a medical practitioner within 30 days prior to or 14 days after admission. Each resident shall remain under the care of a medical practitioner.</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w:t>
      </w:r>
      <w:r>
        <w:rPr>
          <w:rFonts w:ascii="Verdana" w:hAnsi="Verdana" w:eastAsia="Verdana"/>
          <w:sz w:val="24"/>
          <w:szCs w:val="24"/>
        </w:rPr>
        <w:t xml:space="preserve">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3"/>
          <w:footerReference w:type="first" r:id="rId374"/>
          <w:headerReference w:type="even" r:id="rId375"/>
          <w:footerReference w:type="even" r:id="rId376"/>
          <w:headerReference w:type="default" r:id="rId377"/>
          <w:footerReference w:type="default" r:id="rId37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9"/>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9"/>
          <w:footerReference w:type="default" r:id="rId38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1"/>
          <w:footerReference w:type="default" r:id="rId38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3"/>
          <w:footerReference w:type="first" r:id="rId384"/>
          <w:headerReference w:type="even" r:id="rId385"/>
          <w:footerReference w:type="even" r:id="rId386"/>
          <w:headerReference w:type="default" r:id="rId387"/>
          <w:footerReference w:type="default" r:id="rId38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0"/>
          <w:footerReference w:type="first" r:id="rId391"/>
          <w:headerReference w:type="even" r:id="rId392"/>
          <w:footerReference w:type="even" r:id="rId393"/>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40"/>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41"/>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41"/>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41"/>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41"/>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41"/>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41"/>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41"/>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and informs staff of the elements and goals of the Facility’s QAPI program.</w:t>
      </w:r>
    </w:p>
    <w:p>
      <w:pPr>
        <w:pStyle w:val="ListParagraph"/>
        <w:numPr>
          <w:ilvl w:val="0"/>
          <w:numId w:val="841"/>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41"/>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4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4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41"/>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4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4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w:t>
      </w:r>
    </w:p>
    <w:p>
      <w:pPr>
        <w:pStyle w:val="ListParagraph"/>
        <w:numPr>
          <w:ilvl w:val="1"/>
          <w:numId w:val="84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41"/>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41"/>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41"/>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41"/>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4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4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4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4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4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41"/>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4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4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4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4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4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41"/>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41"/>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396"/>
          <w:footerReference w:type="first" r:id="rId397"/>
          <w:headerReference w:type="even" r:id="rId398"/>
          <w:footerReference w:type="even" r:id="rId399"/>
          <w:headerReference w:type="default" r:id="rId400"/>
          <w:footerReference w:type="default" r:id="rId40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3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3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3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8"/>
        </w:numPr>
        <w:spacing w:before="120" w:line="260" w:lineRule="atLeast"/>
        <w:ind w:left="720"/>
        <w:jc w:val="both"/>
        <w:rPr>
          <w:rFonts w:ascii="Verdana" w:hAnsi="Verdana" w:eastAsia="Verdana"/>
          <w:sz w:val="24"/>
        </w:rPr>
      </w:pPr>
      <w:bookmarkStart w:id="49" w:name="Bookmark__b"/>
      <w:bookmarkEnd w:id="49"/>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50" w:name="Bookmark__b_1"/>
      <w:bookmarkEnd w:id="50"/>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1" w:name="Bookmark__b_2"/>
      <w:bookmarkEnd w:id="51"/>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2" w:name="Bookmark__b_3"/>
      <w:bookmarkEnd w:id="52"/>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3" w:name="Bookmark__b_3_i"/>
      <w:bookmarkEnd w:id="53"/>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4" w:name="Bookmark__b_3_ii"/>
      <w:bookmarkEnd w:id="54"/>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5" w:name="Bookmark__b_4"/>
      <w:bookmarkEnd w:id="55"/>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6" w:name="Bookmark__b_5"/>
      <w:bookmarkEnd w:id="56"/>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7" w:name="Bookmark__b_6"/>
      <w:bookmarkEnd w:id="57"/>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8" w:name="Bookmark__b_7"/>
      <w:bookmarkEnd w:id="58"/>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9" w:name="Bookmark__b_7_i"/>
      <w:bookmarkEnd w:id="59"/>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60" w:name="Bookmark__b_7_ii"/>
      <w:bookmarkEnd w:id="60"/>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1" w:name="Bookmark__b_7_iii"/>
      <w:bookmarkEnd w:id="61"/>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8"/>
        </w:numPr>
        <w:spacing w:before="120" w:line="260" w:lineRule="atLeast"/>
        <w:ind w:left="720"/>
        <w:jc w:val="both"/>
        <w:rPr>
          <w:rFonts w:ascii="Verdana" w:hAnsi="Verdana" w:eastAsia="Verdana"/>
          <w:sz w:val="24"/>
        </w:rPr>
      </w:pPr>
      <w:bookmarkStart w:id="62" w:name="Bookmark__c"/>
      <w:bookmarkEnd w:id="62"/>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3" w:name="Bookmark__c_1"/>
      <w:bookmarkEnd w:id="6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4" w:name="Bookmark__c_2"/>
      <w:bookmarkEnd w:id="6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5" w:name="Bookmark__c_2_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6" w:name="Bookmark__c_2_ii"/>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7" w:name="Bookmark__c_2_iii"/>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8" w:name="Bookmark__c_2_iv"/>
      <w:bookmarkEnd w:id="6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9" w:name="Bookmark__c_2_v"/>
      <w:bookmarkEnd w:id="69"/>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70" w:name="Bookmark__c_3"/>
      <w:bookmarkEnd w:id="70"/>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1" w:name="Bookmark__c_3_i"/>
      <w:bookmarkEnd w:id="71"/>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2" w:name="Bookmark__c_3_i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3" w:name="Bookmark__c_3_iii"/>
      <w:bookmarkEnd w:id="73"/>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resident’s personal and cultural preferences in developing goals of care.</w:t>
      </w:r>
      <w:bookmarkStart w:id="74" w:name="Bookmark__c_4"/>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5" w:name="Bookmark__c_5"/>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6" w:name="Bookmark__c_6"/>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7" w:name="Bookmark__c_7"/>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8" w:name="Bookmark__c_8"/>
      <w:bookmarkEnd w:id="78"/>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9" w:name="Bookmark__d"/>
      <w:bookmarkEnd w:id="79"/>
    </w:p>
    <w:p>
      <w:pPr>
        <w:pStyle w:val="Normal0"/>
        <w:numPr>
          <w:ilvl w:val="0"/>
          <w:numId w:val="808"/>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80" w:name="Bookmark__d_1"/>
      <w:bookmarkEnd w:id="80"/>
    </w:p>
    <w:p>
      <w:pPr>
        <w:pStyle w:val="Normal0"/>
        <w:numPr>
          <w:ilvl w:val="0"/>
          <w:numId w:val="635"/>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1" w:name="Bookmark__d_2"/>
      <w:bookmarkEnd w:id="81"/>
    </w:p>
    <w:p>
      <w:pPr>
        <w:pStyle w:val="Normal0"/>
        <w:numPr>
          <w:ilvl w:val="0"/>
          <w:numId w:val="635"/>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2" w:name="Bookmark__d_3"/>
      <w:bookmarkEnd w:id="82"/>
    </w:p>
    <w:p>
      <w:pPr>
        <w:pStyle w:val="Normal0"/>
        <w:numPr>
          <w:ilvl w:val="0"/>
          <w:numId w:val="635"/>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5"/>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3" w:name="Bookmark__d_5"/>
      <w:bookmarkEnd w:id="83"/>
      <w:r>
        <w:rPr>
          <w:rFonts w:ascii="Verdana" w:hAnsi="Verdana" w:eastAsia="Verdana"/>
          <w:color w:val="000000"/>
          <w:sz w:val="24"/>
        </w:rPr>
        <w:t xml:space="preserve">if any, among options</w:t>
      </w:r>
    </w:p>
    <w:p>
      <w:pPr>
        <w:pStyle w:val="Normal0"/>
        <w:numPr>
          <w:ilvl w:val="0"/>
          <w:numId w:val="635"/>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4" w:name="Bookmark__e"/>
      <w:bookmarkEnd w:id="84"/>
    </w:p>
    <w:p>
      <w:pPr>
        <w:pStyle w:val="Normal0"/>
        <w:numPr>
          <w:ilvl w:val="0"/>
          <w:numId w:val="808"/>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5" w:name="Bookmark__e_1"/>
      <w:bookmarkEnd w:id="85"/>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6" w:name="Bookmark__e_2"/>
      <w:bookmarkEnd w:id="86"/>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7" w:name="Bookmark__e_3"/>
      <w:bookmarkEnd w:id="87"/>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8" w:name="Bookmark__e_4"/>
      <w:bookmarkEnd w:id="88"/>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9" w:name="Bookmark__e_5"/>
      <w:bookmarkEnd w:id="89"/>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90" w:name="Bookmark__e_6"/>
      <w:bookmarkEnd w:id="90"/>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1" w:name="Bookmark__e_7"/>
      <w:bookmarkEnd w:id="91"/>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2" w:name="Bookmark__e_7_i"/>
      <w:bookmarkEnd w:id="92"/>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3" w:name="Bookmark__e_7_ii"/>
      <w:bookmarkEnd w:id="93"/>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4" w:name="Bookmark__e_7_iii"/>
      <w:bookmarkEnd w:id="94"/>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5" w:name="Bookmark__e_8"/>
      <w:bookmarkEnd w:id="95"/>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6" w:name="Bookmark__f"/>
      <w:bookmarkEnd w:id="96"/>
    </w:p>
    <w:p>
      <w:pPr>
        <w:pStyle w:val="Normal0"/>
        <w:numPr>
          <w:ilvl w:val="0"/>
          <w:numId w:val="808"/>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7" w:name="Bookmark__f_1"/>
      <w:bookmarkEnd w:id="9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8" w:name="Bookmark__f_2"/>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9" w:name="Bookmark__f_3"/>
      <w:bookmarkEnd w:id="9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100" w:name="Bookmark__f_4"/>
      <w:bookmarkEnd w:id="10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1" w:name="Bookmark__f_4_i"/>
      <w:bookmarkEnd w:id="101"/>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2" w:name="Bookmark__f_4_i_a"/>
      <w:bookmarkEnd w:id="102"/>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3" w:name="Bookmark__f_4_i_b"/>
      <w:bookmarkEnd w:id="10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4" w:name="Bookmark__f_4_i_c"/>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5" w:name="Bookmark__f_4_i_d"/>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6" w:name="Bookmark__f_4_i_e"/>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7" w:name="Bookmark__f_4_i_f"/>
      <w:bookmarkEnd w:id="10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8" w:name="Bookmark__f_4_i_g"/>
      <w:bookmarkEnd w:id="10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9" w:name="Bookmark__f_4_ii"/>
      <w:bookmarkEnd w:id="10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10" w:name="Bookmark__f_4_iii"/>
      <w:bookmarkEnd w:id="110"/>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1" w:name="Bookmark__f_4_vi_a"/>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2" w:name="Bookmark__f_4_vi_b"/>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partner), another family member, or a friend, and his or her right to withdraw or deny such consent at any time.</w:t>
      </w:r>
      <w:bookmarkStart w:id="113" w:name="Bookmark__f_4_vi_c"/>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4" w:name="Bookmark__f_4_vi_d"/>
      <w:bookmarkEnd w:id="11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5" w:name="Bookmark__f_5"/>
      <w:bookmarkEnd w:id="11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6" w:name="Bookmark__f_5_ii"/>
      <w:bookmarkEnd w:id="11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7" w:name="Bookmark__f_5_iv_b"/>
      <w:bookmarkEnd w:id="11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8" w:name="Bookmark__f_6"/>
      <w:bookmarkEnd w:id="118"/>
    </w:p>
    <w:p>
      <w:pPr>
        <w:pStyle w:val="Normal0"/>
        <w:numPr>
          <w:ilvl w:val="0"/>
          <w:numId w:val="444"/>
        </w:numPr>
        <w:spacing w:before="120" w:line="260" w:lineRule="atLeast"/>
        <w:ind w:left="1080"/>
        <w:jc w:val="both"/>
        <w:rPr>
          <w:rFonts w:ascii="Verdana" w:hAnsi="Verdana" w:eastAsia="Verdana"/>
          <w:sz w:val="24"/>
        </w:rPr>
      </w:pPr>
      <w:bookmarkStart w:id="119" w:name="Bookmark__f_7"/>
      <w:bookmarkEnd w:id="119"/>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20" w:name="Bookmark__f_8"/>
      <w:bookmarkEnd w:id="12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1" w:name="Bookmark__f_9"/>
      <w:bookmarkEnd w:id="121"/>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2" w:name="Bookmark__f_9_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3" w:name="Bookmark__f_9_ii"/>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4" w:name="Bookmark__f_9_iii"/>
      <w:bookmarkEnd w:id="12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5" w:name="Bookmark__f_9_iv"/>
      <w:bookmarkEnd w:id="12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6" w:name="Bookmark__f_10"/>
      <w:bookmarkEnd w:id="12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7" w:name="Bookmark__f_10_i"/>
      <w:bookmarkEnd w:id="12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8" w:name="Bookmark__f_10_ii"/>
      <w:bookmarkEnd w:id="12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9" w:name="Bookmark__f_10_ii_b"/>
      <w:bookmarkEnd w:id="12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30" w:name="Bookmark__f_10_iii"/>
      <w:bookmarkEnd w:id="130"/>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1" w:name="Bookmark__f_10_iii_b"/>
      <w:bookmarkEnd w:id="13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2" w:name="Bookmark__f_10_iii_c"/>
      <w:bookmarkEnd w:id="13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3" w:name="Bookmark__f_10_iv"/>
      <w:bookmarkEnd w:id="13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4" w:name="Bookmark__f_10_iv_a"/>
      <w:bookmarkEnd w:id="13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5" w:name="Bookmark__f_10_iv_b"/>
      <w:bookmarkEnd w:id="13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6" w:name="Bookmark__f_10_v"/>
      <w:bookmarkEnd w:id="13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7" w:name="Bookmark__f_10_vi"/>
      <w:bookmarkEnd w:id="13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8" w:name="Bookmark__f_11"/>
      <w:bookmarkEnd w:id="138"/>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9" w:name="Bookmark__f_11_i"/>
      <w:bookmarkEnd w:id="13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40" w:name="Bookmark__f_11_i_a"/>
      <w:bookmarkEnd w:id="140"/>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1" w:name="Bookmark__f_11_i_b"/>
      <w:bookmarkEnd w:id="141"/>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2" w:name="Bookmark__f_11_i_c"/>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3" w:name="Bookmark__f_11_i_d"/>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4" w:name="Bookmark__f_11_i_e"/>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5" w:name="Bookmark__f_11_i_f"/>
      <w:bookmarkEnd w:id="14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6" w:name="Bookmark__f_11_i_g"/>
      <w:bookmarkEnd w:id="14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7" w:name="Bookmark__f_11_ii"/>
      <w:bookmarkEnd w:id="14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8" w:name="Bookmark__f_11_ii_a"/>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9" w:name="Bookmark__f_11_ii_b"/>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50" w:name="Bookmark__f_11_ii_c"/>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1" w:name="Bookmark__f_11_ii_d"/>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2" w:name="Bookmark__f_11_ii_e"/>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3" w:name="Bookmark__f_11_ii_f"/>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4" w:name="Bookmark__f_11_ii_g"/>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5" w:name="Bookmark__f_11_ii_h"/>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6" w:name="Bookmark__f_11_ii_i"/>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7" w:name="Bookmark__f_11_ii_j"/>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8" w:name="Bookmark__f_11_ii_k"/>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9" w:name="Bookmark__f_11_ii_l"/>
      <w:bookmarkEnd w:id="15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60" w:name="Bookmark__f_11_ii_l_1"/>
      <w:bookmarkEnd w:id="160"/>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1" w:name="Bookmark__f_11_ii_l_2"/>
      <w:bookmarkEnd w:id="161"/>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2" w:name="Bookmark__f_11_iii"/>
      <w:bookmarkEnd w:id="16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8"/>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3" w:name="Bookmark__g"/>
      <w:bookmarkStart w:id="164" w:name="Bookmark__g_1"/>
      <w:bookmarkEnd w:id="163"/>
      <w:bookmarkEnd w:id="164"/>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5" w:name="Bookmark__g_2"/>
      <w:bookmarkEnd w:id="16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6" w:name="Bookmark__g_2_ii_a"/>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7" w:name="Bookmark__g_2_ii_b"/>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8" w:name="Bookmark__g_2_ii_c"/>
      <w:bookmarkEnd w:id="16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9" w:name="Bookmark__g_3"/>
      <w:bookmarkEnd w:id="169"/>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70" w:name="Bookmark__g_4"/>
      <w:bookmarkEnd w:id="17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1" w:name="Bookmark__g_4_i"/>
      <w:bookmarkEnd w:id="17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2" w:name="Bookmark__g_4_i_a"/>
      <w:bookmarkEnd w:id="172"/>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3" w:name="Bookmark__g_4_i_b"/>
      <w:bookmarkEnd w:id="173"/>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4" w:name="Bookmark__g_4_i_c"/>
      <w:bookmarkEnd w:id="17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5" w:name="Bookmark__g_4_i_d"/>
      <w:bookmarkEnd w:id="175"/>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6" w:name="Bookmark__g_4_ii"/>
      <w:bookmarkEnd w:id="17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7" w:name="Bookmark__g_4_iii"/>
      <w:bookmarkEnd w:id="17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8" w:name="Bookmark__g_4_iv"/>
      <w:bookmarkEnd w:id="178"/>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9" w:name="Bookmark__g_4_v"/>
      <w:bookmarkEnd w:id="179"/>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80" w:name="Bookmark__g_4_vi"/>
      <w:bookmarkEnd w:id="180"/>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1" w:name="Bookmark__g_5"/>
      <w:bookmarkEnd w:id="18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2" w:name="Bookmark__g_5_i"/>
      <w:bookmarkEnd w:id="18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3" w:name="Bookmark__g_5_ii"/>
      <w:bookmarkEnd w:id="18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resident’s own expense.</w:t>
      </w:r>
      <w:bookmarkStart w:id="184" w:name="Bookmark__g_7"/>
      <w:bookmarkEnd w:id="18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5" w:name="Bookmark__g_7_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6" w:name="Bookmark__g_7_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7" w:name="Bookmark__g_7_iii"/>
      <w:bookmarkEnd w:id="18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8" w:name="Bookmark__g_8"/>
      <w:bookmarkEnd w:id="18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9" w:name="Bookmark__g_8_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90" w:name="Bookmark__g_8_i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resident’s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1" w:name="Bookmark__g_9_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2" w:name="Bookmark__g_9_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3" w:name="Bookmark__g_9_iii"/>
      <w:bookmarkEnd w:id="19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4" w:name="Bookmark__g_10"/>
      <w:bookmarkEnd w:id="19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5" w:name="Bookmark__g_10_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6" w:name="Bookmark__g_10_i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7" w:name="Bookmark__g_11_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8" w:name="Bookmark__g_11_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9" w:name="Bookmark__g_11_iii"/>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200" w:name="Bookmark__g_11_iv"/>
      <w:bookmarkEnd w:id="20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1" w:name="Bookmark__g_12"/>
      <w:bookmarkEnd w:id="20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2" w:name="Bookmark__g_12_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3" w:name="Bookmark__g_12_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4" w:name="Bookmark__g_12_iii"/>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5" w:name="Bookmark__g_12_iv"/>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6" w:name="Bookmark__g_12_v"/>
      <w:bookmarkEnd w:id="20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7" w:name="Bookmark__g_13"/>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8" w:name="Bookmark__g_14"/>
      <w:bookmarkEnd w:id="20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9" w:name="Bookmark__g_14_a"/>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10" w:name="Bookmark__g_14_b"/>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1" w:name="Bookmark__g_14_c"/>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2" w:name="Bookmark__g_14_d"/>
      <w:bookmarkEnd w:id="21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3" w:name="Bookmark__g_14_d_ii"/>
      <w:bookmarkEnd w:id="21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4" w:name="Bookmark__g_14_d_iii_a"/>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5" w:name="Bookmark__g_14_d_iii_b"/>
      <w:bookmarkEnd w:id="21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6" w:name="Bookmark__g_15"/>
      <w:bookmarkEnd w:id="21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7" w:name="Bookmark__g_16_iii"/>
      <w:bookmarkEnd w:id="21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8" w:name="Bookmark__g_17"/>
      <w:bookmarkEnd w:id="218"/>
      <w:r>
        <w:rPr>
          <w:rFonts w:ascii="Verdana" w:hAnsi="Verdana" w:eastAsia="Verdana"/>
          <w:color w:val="000000"/>
          <w:sz w:val="24"/>
        </w:rPr>
        <w:t xml:space="preserve">The Facility</w:t>
      </w:r>
      <w:r>
        <w:rPr>
          <w:rFonts w:ascii="Verdana" w:hAnsi="Verdana" w:eastAsia="Verdana"/>
          <w:color w:val="000000"/>
          <w:sz w:val="24"/>
        </w:rPr>
        <w:t xml:space="preserve"> will</w:t>
      </w:r>
      <w:bookmarkStart w:id="219" w:name="Bookmark__g_17_i"/>
      <w:bookmarkEnd w:id="219"/>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20" w:name="Bookmark__g_17_i_a"/>
      <w:bookmarkEnd w:id="220"/>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1" w:name="Bookmark__g_17_i_b"/>
      <w:bookmarkEnd w:id="221"/>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2" w:name="Bookmark__g_17_ii"/>
      <w:bookmarkEnd w:id="222"/>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3" w:name="Bookmark__g_18"/>
      <w:bookmarkEnd w:id="223"/>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4" w:name="Bookmark__g_18_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5" w:name="Bookmark__g_18_i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6" w:name="Bookmark__g_18_iii"/>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facility, regardless of any minimum stay or discharge notice requirements.</w:t>
      </w:r>
      <w:bookmarkStart w:id="227" w:name="Bookmark__g_18_iv"/>
      <w:bookmarkEnd w:id="22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8" w:name="Bookmark__g_18_v"/>
      <w:bookmarkStart w:id="229" w:name="Bookmark__h"/>
      <w:bookmarkEnd w:id="228"/>
      <w:bookmarkEnd w:id="229"/>
    </w:p>
    <w:p>
      <w:pPr>
        <w:pStyle w:val="Normal0"/>
        <w:numPr>
          <w:ilvl w:val="0"/>
          <w:numId w:val="808"/>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30" w:name="Bookmark__h_1"/>
      <w:bookmarkEnd w:id="230"/>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1" w:name="Bookmark__h_2"/>
      <w:bookmarkEnd w:id="231"/>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9"/>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2" w:name="Bookmark__h_3_i"/>
      <w:bookmarkEnd w:id="232"/>
      <w:r>
        <w:rPr>
          <w:rFonts w:ascii="Verdana" w:hAnsi="Verdana" w:eastAsia="Verdana"/>
          <w:color w:val="000000"/>
          <w:sz w:val="24"/>
        </w:rPr>
        <w:t xml:space="preserve">.</w:t>
      </w:r>
    </w:p>
    <w:p>
      <w:pPr>
        <w:pStyle w:val="Normal0"/>
        <w:numPr>
          <w:ilvl w:val="1"/>
          <w:numId w:val="519"/>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3" w:name="Bookmark__h_3_ii"/>
      <w:bookmarkEnd w:id="233"/>
    </w:p>
    <w:p>
      <w:pPr>
        <w:pStyle w:val="Normal0"/>
        <w:numPr>
          <w:ilvl w:val="1"/>
          <w:numId w:val="519"/>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4" w:name="Bookmark__i"/>
      <w:bookmarkEnd w:id="234"/>
    </w:p>
    <w:p>
      <w:pPr>
        <w:pStyle w:val="Normal0"/>
        <w:numPr>
          <w:ilvl w:val="0"/>
          <w:numId w:val="808"/>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5" w:name="Bookmark__i_1"/>
      <w:bookmarkEnd w:id="235"/>
      <w:r>
        <w:rPr>
          <w:rFonts w:ascii="Verdana" w:hAnsi="Verdana" w:eastAsia="Verdana"/>
          <w:sz w:val="24"/>
        </w:rPr>
        <w:t xml:space="preserve">:</w:t>
      </w:r>
    </w:p>
    <w:p>
      <w:pPr>
        <w:pStyle w:val="Normal0"/>
        <w:numPr>
          <w:ilvl w:val="0"/>
          <w:numId w:val="705"/>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6" w:name="Bookmark__i_1_i"/>
      <w:bookmarkEnd w:id="236"/>
    </w:p>
    <w:p>
      <w:pPr>
        <w:pStyle w:val="Normal0"/>
        <w:numPr>
          <w:ilvl w:val="1"/>
          <w:numId w:val="705"/>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5"/>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7" w:name="Bookmark__i_2"/>
      <w:bookmarkEnd w:id="237"/>
    </w:p>
    <w:p>
      <w:pPr>
        <w:pStyle w:val="Normal0"/>
        <w:numPr>
          <w:ilvl w:val="0"/>
          <w:numId w:val="705"/>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8" w:name="Bookmark__i_3"/>
      <w:bookmarkEnd w:id="238"/>
    </w:p>
    <w:p>
      <w:pPr>
        <w:pStyle w:val="Normal0"/>
        <w:numPr>
          <w:ilvl w:val="0"/>
          <w:numId w:val="705"/>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9" w:name="Bookmark__i_4"/>
      <w:bookmarkEnd w:id="239"/>
    </w:p>
    <w:p>
      <w:pPr>
        <w:pStyle w:val="Normal0"/>
        <w:numPr>
          <w:ilvl w:val="0"/>
          <w:numId w:val="705"/>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40" w:name="Bookmark__i_5"/>
      <w:bookmarkEnd w:id="240"/>
    </w:p>
    <w:p>
      <w:pPr>
        <w:pStyle w:val="Normal0"/>
        <w:numPr>
          <w:ilvl w:val="0"/>
          <w:numId w:val="705"/>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1" w:name="Bookmark__i_6"/>
      <w:bookmarkEnd w:id="241"/>
    </w:p>
    <w:p>
      <w:pPr>
        <w:pStyle w:val="Normal0"/>
        <w:numPr>
          <w:ilvl w:val="0"/>
          <w:numId w:val="705"/>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2" w:name="Bookmark__i_7"/>
      <w:bookmarkEnd w:id="242"/>
    </w:p>
    <w:p>
      <w:pPr>
        <w:pStyle w:val="Normal0"/>
        <w:numPr>
          <w:ilvl w:val="0"/>
          <w:numId w:val="705"/>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8"/>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3" w:name="Bookmark__j"/>
      <w:bookmarkStart w:id="244" w:name="Bookmark__j_1"/>
      <w:bookmarkEnd w:id="243"/>
      <w:bookmarkEnd w:id="244"/>
    </w:p>
    <w:p>
      <w:pPr>
        <w:pStyle w:val="Normal0"/>
        <w:numPr>
          <w:ilvl w:val="2"/>
          <w:numId w:val="808"/>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5" w:name="Bookmark__j_2"/>
      <w:bookmarkEnd w:id="245"/>
    </w:p>
    <w:p>
      <w:pPr>
        <w:pStyle w:val="Normal0"/>
        <w:numPr>
          <w:ilvl w:val="2"/>
          <w:numId w:val="808"/>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8"/>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8"/>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6" w:name="Bookmark__j_4_i"/>
      <w:bookmarkEnd w:id="246"/>
    </w:p>
    <w:p>
      <w:pPr>
        <w:pStyle w:val="Normal0"/>
        <w:numPr>
          <w:ilvl w:val="1"/>
          <w:numId w:val="705"/>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7" w:name="Bookmark__j_4_ii"/>
      <w:bookmarkEnd w:id="247"/>
    </w:p>
    <w:p>
      <w:pPr>
        <w:pStyle w:val="Normal0"/>
        <w:numPr>
          <w:ilvl w:val="1"/>
          <w:numId w:val="705"/>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8" w:name="Bookmark__j_4_iii"/>
      <w:bookmarkEnd w:id="248"/>
    </w:p>
    <w:p>
      <w:pPr>
        <w:pStyle w:val="Normal0"/>
        <w:numPr>
          <w:ilvl w:val="1"/>
          <w:numId w:val="705"/>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9" w:name="Bookmark__j_4_iv"/>
      <w:bookmarkEnd w:id="249"/>
    </w:p>
    <w:p>
      <w:pPr>
        <w:pStyle w:val="Normal0"/>
        <w:numPr>
          <w:ilvl w:val="1"/>
          <w:numId w:val="705"/>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50" w:name="Bookmark__j_4_v"/>
      <w:bookmarkEnd w:id="250"/>
    </w:p>
    <w:p>
      <w:pPr>
        <w:pStyle w:val="Normal0"/>
        <w:numPr>
          <w:ilvl w:val="1"/>
          <w:numId w:val="705"/>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1" w:name="Bookmark__j_4_vi"/>
      <w:bookmarkEnd w:id="251"/>
    </w:p>
    <w:p>
      <w:pPr>
        <w:pStyle w:val="Normal0"/>
        <w:numPr>
          <w:ilvl w:val="1"/>
          <w:numId w:val="705"/>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2" w:name="Bookmark__j_4_vii"/>
      <w:bookmarkEnd w:id="252"/>
    </w:p>
    <w:p>
      <w:pPr>
        <w:pStyle w:val="Normal0"/>
        <w:numPr>
          <w:ilvl w:val="1"/>
          <w:numId w:val="705"/>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3" w:name="Bookmark__k"/>
      <w:bookmarkEnd w:id="253"/>
    </w:p>
    <w:p>
      <w:pPr>
        <w:pStyle w:val="Normal0"/>
        <w:numPr>
          <w:ilvl w:val="0"/>
          <w:numId w:val="808"/>
        </w:numPr>
        <w:spacing w:before="120" w:line="260" w:lineRule="atLeast"/>
        <w:ind w:left="720"/>
        <w:jc w:val="both"/>
        <w:rPr>
          <w:rFonts w:ascii="Verdana" w:hAnsi="Verdana" w:eastAsia="Verdana"/>
          <w:color w:val="000000"/>
          <w:sz w:val="24"/>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meets the requirements of Section I.A.a.i-ii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7"/>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4"/>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4"/>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7"/>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XI.b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7"/>
        </w:numPr>
        <w:spacing w:after="160" w:line="259" w:lineRule="auto"/>
        <w:contextualSpacing/>
        <w:jc w:val="both"/>
        <w:rPr>
          <w:rFonts w:ascii="Verdana" w:hAnsi="Verdana" w:eastAsia="Verdana"/>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policy on the use of restraint or seclusion during an emergency safety situation. Staff must file this acknowledgment in the resident’s record; and</w:t>
      </w:r>
    </w:p>
    <w:p>
      <w:pPr>
        <w:pStyle w:val="ListParagraph"/>
        <w:numPr>
          <w:ilvl w:val="1"/>
          <w:numId w:val="7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9"/>
        </w:numPr>
        <w:spacing w:after="160" w:line="259" w:lineRule="auto"/>
        <w:contextualSpacing/>
        <w:jc w:val="both"/>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4"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4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42"/>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42"/>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4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42"/>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42"/>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42"/>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42"/>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42"/>
        </w:numPr>
        <w:spacing w:after="160" w:line="256" w:lineRule="auto"/>
        <w:ind w:left="720"/>
        <w:contextualSpacing/>
        <w:jc w:val="both"/>
        <w:rPr>
          <w:rFonts w:ascii="Verdana" w:hAnsi="Verdana" w:eastAsia="Verdana"/>
          <w:color w:val="FF0000"/>
          <w:sz w:val="24"/>
          <w:szCs w:val="24"/>
        </w:rPr>
      </w:pPr>
      <w:bookmarkStart w:id="255"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5"/>
    <w:p>
      <w:pPr>
        <w:pStyle w:val="ListParagraph"/>
        <w:numPr>
          <w:ilvl w:val="0"/>
          <w:numId w:val="84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4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42"/>
        </w:numPr>
        <w:spacing w:after="160" w:line="256" w:lineRule="auto"/>
        <w:ind w:left="720"/>
        <w:contextualSpacing/>
        <w:jc w:val="both"/>
        <w:rPr>
          <w:rFonts w:ascii="Verdana" w:hAnsi="Verdana" w:eastAsia="Verdana"/>
          <w:sz w:val="24"/>
          <w:szCs w:val="24"/>
        </w:rPr>
      </w:pPr>
      <w:bookmarkStart w:id="256" w:name="_Hlk507585456"/>
      <w:r>
        <w:rPr>
          <w:rFonts w:ascii="Verdana" w:hAnsi="Verdana" w:eastAsia="Verdana"/>
          <w:sz w:val="24"/>
          <w:szCs w:val="24"/>
        </w:rPr>
        <w:t xml:space="preserve">The Facility will provide for education of staff concerning its policies and procedures on advance directives.</w:t>
      </w:r>
    </w:p>
    <w:bookmarkEnd w:id="256"/>
    <w:p>
      <w:pPr>
        <w:pStyle w:val="ListParagraph"/>
        <w:numPr>
          <w:ilvl w:val="0"/>
          <w:numId w:val="84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4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42"/>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4"/>
    <w:p>
      <w:pPr>
        <w:pStyle w:val="ListParagraph"/>
        <w:numPr>
          <w:ilvl w:val="0"/>
          <w:numId w:val="754"/>
        </w:numPr>
        <w:spacing w:after="160" w:line="259" w:lineRule="auto"/>
        <w:ind w:left="720"/>
        <w:contextualSpacing/>
        <w:jc w:val="both"/>
        <w:rPr>
          <w:rFonts w:ascii="Verdana" w:hAnsi="Verdana" w:eastAsia="Verdana"/>
          <w:color w:val="FF0000"/>
          <w:sz w:val="24"/>
          <w:szCs w:val="24"/>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18"/>
          <w:footerReference w:type="first" r:id="rId419"/>
          <w:headerReference w:type="even" r:id="rId420"/>
          <w:footerReference w:type="even" r:id="rId421"/>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used for disciplinary purposes, for the convenience of staff, or as a substitute for an active treatment program.  These procedures must</w:t>
      </w:r>
    </w:p>
    <w:p>
      <w:pPr>
        <w:pStyle w:val="ListParagraph"/>
        <w:numPr>
          <w:ilvl w:val="1"/>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5"/>
        </w:numPr>
        <w:spacing w:after="160" w:line="259" w:lineRule="auto"/>
        <w:contextualSpacing/>
        <w:jc w:val="both"/>
        <w:rPr>
          <w:rFonts w:ascii="Verdana" w:hAnsi="Verdana" w:eastAsia="Verdana"/>
          <w:sz w:val="24"/>
          <w:szCs w:val="24"/>
        </w:rPr>
        <w:sectPr>
          <w:headerReference w:type="first" r:id="rId424"/>
          <w:footerReference w:type="first" r:id="rId425"/>
          <w:headerReference w:type="even" r:id="rId426"/>
          <w:footerReference w:type="even" r:id="rId427"/>
          <w:headerReference w:type="default" r:id="rId428"/>
          <w:footerReference w:type="default" r:id="rId4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80"/>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80"/>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80"/>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4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4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resident’s health status, and requires interdisciplinary review or revision of the care plan, or both.)</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43"/>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43"/>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43"/>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43"/>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information except to the extent the facility itself is permitted to do so.</w:t>
      </w:r>
    </w:p>
    <w:p>
      <w:pPr>
        <w:pStyle w:val="ListParagraph"/>
        <w:numPr>
          <w:ilvl w:val="0"/>
          <w:numId w:val="84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4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4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4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43"/>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readmission to a nursing facility of an individual who, after being admitted to the nursing facility, was transferred for care in a hospital.</w:t>
      </w:r>
    </w:p>
    <w:p>
      <w:pPr>
        <w:pStyle w:val="ListParagraph"/>
        <w:numPr>
          <w:ilvl w:val="4"/>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1"/>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tions/ibr]locations.html.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Batterymarch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7" w:name="_Hlk20392876"/>
      <w:r>
        <w:rPr>
          <w:rFonts w:ascii="Verdana" w:hAnsi="Verdana" w:eastAsia="Verdana"/>
          <w:bCs/>
          <w:color w:val="333333"/>
          <w:sz w:val="24"/>
          <w:shd w:val="clear" w:color="auto" w:fill="FFFFFF"/>
        </w:rPr>
        <w:t xml:space="preserve">Each resident must remain under the care of a physician</w:t>
      </w:r>
      <w:bookmarkEnd w:id="257"/>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50"/>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50"/>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50"/>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50"/>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51"/>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51"/>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51"/>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50"/>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52"/>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52"/>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52"/>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52"/>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50"/>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50"/>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50"/>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53"/>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53"/>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3"/>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50"/>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4"/>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4"/>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50"/>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50"/>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50"/>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50"/>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50"/>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50"/>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5"/>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6"/>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6"/>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7"/>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7"/>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7"/>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7"/>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7"/>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7"/>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7"/>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7"/>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6"/>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6"/>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5"/>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8"/>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8"/>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8"/>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8"/>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8"/>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7"/>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9"/>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9"/>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9"/>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5"/>
        </w:numPr>
        <w:shd w:val="clear" w:color="auto" w:fill="FFFFFF"/>
        <w:tabs>
          <w:tab w:val="left" w:pos="1260"/>
        </w:tabs>
        <w:spacing w:before="150" w:after="0" w:line="240" w:lineRule="auto"/>
        <w:contextualSpacing/>
        <w:jc w:val="both"/>
        <w:rPr>
          <w:rFonts w:ascii="Verdana" w:hAnsi="Verdana" w:eastAsia="Verdana" w:cs="Calibri"/>
          <w:color w:val="212121"/>
          <w:szCs w:val="24"/>
        </w:rPr>
      </w:pPr>
      <w:r>
        <w:rPr>
          <w:rFonts w:ascii="Verdana" w:hAnsi="Verdana" w:eastAsia="Verdana" w:cs="Times New Roman"/>
          <w:bCs/>
          <w:sz w:val="24"/>
          <w:szCs w:val="24"/>
        </w:rPr>
        <w:t xml:space="preserve">Annual review. The Facility will conduct an annual review of its IPCP and update their program, as necessary.</w:t>
      </w: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7"/>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7"/>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7"/>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7"/>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7"/>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7"/>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7"/>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7"/>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7"/>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7"/>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7"/>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7"/>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7"/>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pStyle w:val="Normal0"/>
        <w:spacing w:before="120" w:line="260" w:lineRule="atLeast"/>
        <w:jc w:val="both"/>
        <w:rPr>
          <w:rFonts w:ascii="Verdana" w:hAnsi="Verdana" w:eastAsia="Verdana"/>
          <w:b/>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58"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58"/>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pPr>
    </w:p>
    <w:sectPr>
      <w:footerReference w:type="default" r:id="rId445"/>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w:charset w:val="0"/>
    <w:family w:val="swiss"/>
    <w:pitch w:val="variable"/>
    <w:sig w:usb0="E4002EFF" w:usb1="C000E47F" w:usb2="00000009" w:usb3="00000000" w:csb0="000001F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75483918"/>
      <w:docPartObj>
        <w:docPartGallery w:val="Page Numbers (Bottom of Page)"/>
        <w:docPartUnique/>
      </w:docPartObj>
    </w:sdtPr>
    <w:sdtEndPr>
      <w:rPr>
        <w:rFonts w:ascii="Verdana" w:hAnsi="Verdana" w:eastAsia="Verdana"/>
        <w:noProof/>
        <w:sz w:val="12"/>
        <w:szCs w:val="12"/>
      </w:rPr>
    </w:sdtEndPr>
    <w:sdtContent>
      <w:p>
        <w:pPr>
          <w:pStyle w:val="Footer"/>
          <w:spacing/>
          <w:ind w:firstLine="306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33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4390215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500439172"/>
      <w:docPartObj>
        <w:docPartGallery w:val="Page Numbers (Bottom of Page)"/>
        <w:docPartUnique/>
      </w:docPartObj>
    </w:sdtPr>
    <w:sdtEndPr>
      <w:rPr>
        <w:rFonts w:ascii="Verdana" w:hAnsi="Verdana" w:eastAsia="Verdana"/>
        <w:noProof/>
        <w:sz w:val="12"/>
        <w:szCs w:val="12"/>
      </w:rPr>
    </w:sdtEndPr>
    <w:sdtContent>
      <w:p>
        <w:pPr>
          <w:pStyle w:val="Footer"/>
          <w:spacing/>
          <w:ind w:firstLine="342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00531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212645513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423360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9b659c26-452a-43e6-b5c1-2932bc0adaf9" type="##_x0000_t75" o:allowincell="f" style="position:absolute;margin-left:0pt;margin-top:0pt;width:467.2pt;height:293.8pt;mso-position-horizontal-relative:margin;mso-position-vertical-relative:margin;mso-position-horizontal:center;mso-position-vertical:center;z-index:-251654118;visibility:visible">
          <v:imagedata r:id="rId446" gain="19661f" blacklevel="22938f"/>
        </v:shape>
      </w:pict>
    </w:r>
    <w:bookmarkStart w:id="259"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9"/>
    <w:r>
      <w:rPr>
        <w:rFonts w:ascii="Verdana" w:hAnsi="Verdana" w:eastAsia="Verdana" w:cs="ArialMTPro"/>
        <w:b/>
        <w:bCs/>
        <w:smallCaps/>
        <w:color w:val="000000"/>
        <w:sz w:val="20"/>
        <w:szCs w:val="20"/>
      </w:rPr>
      <w:t xml:space="preserve">s</w:t>
    </w: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b84d7c08-1dac-42de-a110-7f264addb260" type="##_x0000_t75" o:allowincell="f" style="position:absolute;margin-left:0pt;margin-top:0pt;width:467.2pt;height:293.8pt;mso-position-horizontal-relative:margin;mso-position-vertical-relative:margin;mso-position-horizontal:center;mso-position-vertical:center;z-index:-251653094;visibility:visible">
          <v:imagedata r:id="rId446" gain="19661f" blacklevel="22938f"/>
        </v:shape>
      </w:pict>
    </w: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d9fdc1c2-ee0a-49cc-9db3-a99079a617cc" type="##_x0000_t75" o:allowincell="f" style="position:absolute;margin-left:0pt;margin-top:0pt;width:467.2pt;height:293.8pt;mso-position-horizontal-relative:margin;mso-position-vertical-relative:margin;mso-position-horizontal:center;mso-position-vertical:center;z-index:-251652070;visibility:visible">
          <v:imagedata r:id="rId446" gain="19661f" blacklevel="22938f"/>
        </v:shape>
      </w:pic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5991895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276FA64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11132D8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1116722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4D5F716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41CB502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36797A2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2D4FF23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2B9F030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6A39BE60"/>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3061C9B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7B223FE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0CDAB40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0DCA296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402D018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5343A5A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51065B7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693011B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08DF2AF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5256307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66166D2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3C8F839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01119AE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0FB2851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7A99C3A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64F0CE7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641A940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23DF7"/>
    <w:lvl w:ilvl="0">
      <w:start w:val="8"/>
      <w:numFmt w:val="lowerLetter"/>
      <w:suff w:val="tab"/>
      <w:lvlText w:val="%1."/>
      <w:pPr>
        <w:spacing/>
        <w:ind w:left="144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7">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8">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9">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70">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1">
    <w:nsid w:val="69038B0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2">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3">
    <w:nsid w:val="7713548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4">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5">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6">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7">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8">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9">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0">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1">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3">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4">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5">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6">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8">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0">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2">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7">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8">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9">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0">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1">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3">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4">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5">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6">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8">
    <w:nsid w:val="273FCC9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9">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0">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1">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2">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3">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4">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6">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7">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9">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0">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1">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2">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4">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5">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6">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7">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8">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30">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2">
    <w:nsid w:val="4798837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3">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4">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5">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6">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7">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9">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40">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1">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2">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3">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4">
    <w:nsid w:val="17625C3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5">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6">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7">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8">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9">
    <w:nsid w:val="0E03008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0">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1">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2">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4">
    <w:nsid w:val="1EA49FC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5">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6">
    <w:nsid w:val="16BD0A7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7">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8">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9">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1">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2">
    <w:nsid w:val="216AAFB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3">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4">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5">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6">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9">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0">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1">
    <w:nsid w:val="78AB42B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2">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3">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4">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5">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6">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7">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8">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9">
    <w:nsid w:val="2519780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0">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1">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2">
    <w:nsid w:val="28CF3F0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7BB2E5E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4">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5">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7">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8">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9">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0">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1">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2">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4">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5">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6">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7">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8">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9">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600">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1">
    <w:nsid w:val="57AF1F1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2">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3">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4">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5">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6">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7">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8">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3">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4">
    <w:nsid w:val="5E83EE4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5">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6">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7">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1">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3">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4">
    <w:nsid w:val="63A928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5">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6">
    <w:nsid w:val="5EDB70F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7">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8">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9">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0">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31">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2">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4">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5">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6">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7">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8">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9">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40">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1">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2">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3">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5">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6">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8">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9">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50">
    <w:nsid w:val="2799614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1">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2">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3">
    <w:nsid w:val="4C6B7F0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4">
    <w:nsid w:val="05ACC1B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5">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6">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7">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8">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9">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0">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61">
    <w:nsid w:val="771BF01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2">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3">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4">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5">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6">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7">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796F8D9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9">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0">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1">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2">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3">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4">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5">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6">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8">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9">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0">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1">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3">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5">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6">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7">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8">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9">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0">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1">
    <w:nsid w:val="6FCB7BB8"/>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692">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3">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4">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5">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6">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7">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8">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9">
    <w:nsid w:val="336F88F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00">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1">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02">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3">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4">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5">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7">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9">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0">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1">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12">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3">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4">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5">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6">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7">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8">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9">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20">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1">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22">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3">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4">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5">
    <w:nsid w:val="0E7948F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6">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7">
    <w:nsid w:val="20364CB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8">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9">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0">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1">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2">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3">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4">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5">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6">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7">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8">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9">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1">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3">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6">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7">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8">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9">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077EDC0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2">
    <w:nsid w:val="77B36CBB"/>
    <w:lvl w:ilvl="0">
      <w:start w:val="1"/>
      <w:numFmt w:val="low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3">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4">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5">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6">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7">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8">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9">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0">
    <w:nsid w:val="005B827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61">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62">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4">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6">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8">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9">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1">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2">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3">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4">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5">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6">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7">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9">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0">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1">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2">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3">
    <w:nsid w:val="289A317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4">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6">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0">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1">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2">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3">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4">
    <w:nsid w:val="4638035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5">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6">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7">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8">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9">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0">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801">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2">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3">
    <w:nsid w:val="6A03FFA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4">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5">
    <w:nsid w:val="3F89724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6">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7">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8">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1">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2">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3">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4">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5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8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9">
    <w:abstractNumId w:val="7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21">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725"/>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23">
    <w:abstractNumId w:val="7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614"/>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5">
    <w:abstractNumId w:val="7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61"/>
    <w:lvlOverride w:ilvl="0">
      <w:startOverride w:val="1"/>
    </w:lvlOverride>
    <w:lvlOverride w:ilvl="1">
      <w:startOverride w:val="1"/>
    </w:lvlOverride>
    <w:lvlOverride w:ilvl="2">
      <w:startOverride w:val="1"/>
    </w:lvlOverride>
    <w:lvlOverride w:ilvl="3">
      <w:startOverride w:val="1"/>
    </w:lvlOverride>
  </w:num>
  <w:num w:numId="827">
    <w:abstractNumId w:val="2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6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5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7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7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4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6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6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5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7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7">
    <w:abstractNumId w:val="6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8">
    <w:abstractNumId w:val="7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9">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6"/>
    </w:numPr>
    <w:pPr>
      <w:keepNext/>
      <w:numPr>
        <w:ilvl w:val="0"/>
        <w:numId w:val="756"/>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6"/>
    </w:numPr>
    <w:pPr>
      <w:numPr>
        <w:ilvl w:val="1"/>
        <w:numId w:val="756"/>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6"/>
    </w:numPr>
    <w:pPr>
      <w:numPr>
        <w:ilvl w:val="2"/>
        <w:numId w:val="756"/>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6"/>
    </w:numPr>
    <w:pPr>
      <w:numPr>
        <w:ilvl w:val="3"/>
        <w:numId w:val="756"/>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6"/>
    </w:numPr>
    <w:pPr>
      <w:numPr>
        <w:ilvl w:val="4"/>
        <w:numId w:val="756"/>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3"/>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6"/>
    </w:numPr>
    <w:pPr>
      <w:numPr>
        <w:ilvl w:val="0"/>
        <w:numId w:val="666"/>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6"/>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next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47" Type="http://schemas.openxmlformats.org/officeDocument/2006/relationships/styles" Target="styles.xml" /><Relationship Id="rId448" Type="http://schemas.openxmlformats.org/officeDocument/2006/relationships/settings" Target="settings.xml" /><Relationship Id="rId449" Type="http://schemas.openxmlformats.org/officeDocument/2006/relationships/theme" Target="theme/theme1.xml" /><Relationship Id="rId450" Type="http://schemas.openxmlformats.org/officeDocument/2006/relationships/numbering" Target="numbering.xml" /><Relationship Id="rId451"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90" Type="http://schemas.openxmlformats.org/officeDocument/2006/relationships/footer" Target="footer190.xml" /><Relationship Id="rId204" Type="http://schemas.openxmlformats.org/officeDocument/2006/relationships/footer" Target="footer204.xml" /><Relationship Id="rId235" Type="http://schemas.openxmlformats.org/officeDocument/2006/relationships/footer" Target="footer235.xml" /><Relationship Id="rId257" Type="http://schemas.openxmlformats.org/officeDocument/2006/relationships/footer" Target="footer257.xml" /><Relationship Id="rId267" Type="http://schemas.openxmlformats.org/officeDocument/2006/relationships/footer" Target="footer267.xml" /><Relationship Id="rId273" Type="http://schemas.openxmlformats.org/officeDocument/2006/relationships/footer" Target="footer273.xml" /><Relationship Id="rId281" Type="http://schemas.openxmlformats.org/officeDocument/2006/relationships/footer" Target="footer281.xml" /><Relationship Id="rId301" Type="http://schemas.openxmlformats.org/officeDocument/2006/relationships/footer" Target="footer301.xml" /><Relationship Id="rId335" Type="http://schemas.openxmlformats.org/officeDocument/2006/relationships/footer" Target="footer335.xml" /><Relationship Id="rId350" Type="http://schemas.openxmlformats.org/officeDocument/2006/relationships/footer" Target="footer350.xml" /><Relationship Id="rId376" Type="http://schemas.openxmlformats.org/officeDocument/2006/relationships/footer" Target="footer376.xml" /><Relationship Id="rId386" Type="http://schemas.openxmlformats.org/officeDocument/2006/relationships/footer" Target="footer386.xml" /><Relationship Id="rId393" Type="http://schemas.openxmlformats.org/officeDocument/2006/relationships/footer" Target="footer393.xml" /><Relationship Id="rId399" Type="http://schemas.openxmlformats.org/officeDocument/2006/relationships/footer" Target="footer399.xml" /><Relationship Id="rId421" Type="http://schemas.openxmlformats.org/officeDocument/2006/relationships/footer" Target="footer421.xml" /><Relationship Id="rId427" Type="http://schemas.openxmlformats.org/officeDocument/2006/relationships/footer" Target="footer427.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77" Type="http://schemas.openxmlformats.org/officeDocument/2006/relationships/header" Target="header177.xml" /><Relationship Id="rId181" Type="http://schemas.openxmlformats.org/officeDocument/2006/relationships/header" Target="header181.xml" /><Relationship Id="rId189" Type="http://schemas.openxmlformats.org/officeDocument/2006/relationships/header" Target="header189.xml" /><Relationship Id="rId203" Type="http://schemas.openxmlformats.org/officeDocument/2006/relationships/header" Target="header203.xml" /><Relationship Id="rId234" Type="http://schemas.openxmlformats.org/officeDocument/2006/relationships/header" Target="header234.xml" /><Relationship Id="rId256" Type="http://schemas.openxmlformats.org/officeDocument/2006/relationships/header" Target="header256.xml" /><Relationship Id="rId266" Type="http://schemas.openxmlformats.org/officeDocument/2006/relationships/header" Target="header266.xml" /><Relationship Id="rId272" Type="http://schemas.openxmlformats.org/officeDocument/2006/relationships/header" Target="header272.xml" /><Relationship Id="rId280" Type="http://schemas.openxmlformats.org/officeDocument/2006/relationships/header" Target="header280.xml" /><Relationship Id="rId300" Type="http://schemas.openxmlformats.org/officeDocument/2006/relationships/header" Target="header300.xml" /><Relationship Id="rId334" Type="http://schemas.openxmlformats.org/officeDocument/2006/relationships/header" Target="header334.xml" /><Relationship Id="rId349" Type="http://schemas.openxmlformats.org/officeDocument/2006/relationships/header" Target="header349.xml" /><Relationship Id="rId375" Type="http://schemas.openxmlformats.org/officeDocument/2006/relationships/header" Target="header375.xml" /><Relationship Id="rId385" Type="http://schemas.openxmlformats.org/officeDocument/2006/relationships/header" Target="header385.xml" /><Relationship Id="rId392" Type="http://schemas.openxmlformats.org/officeDocument/2006/relationships/header" Target="header392.xml" /><Relationship Id="rId398" Type="http://schemas.openxmlformats.org/officeDocument/2006/relationships/header" Target="header398.xml" /><Relationship Id="rId420" Type="http://schemas.openxmlformats.org/officeDocument/2006/relationships/header" Target="header420.xml" /><Relationship Id="rId426" Type="http://schemas.openxmlformats.org/officeDocument/2006/relationships/header" Target="header426.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76" Type="http://schemas.openxmlformats.org/officeDocument/2006/relationships/footer" Target="footer176.xml" /><Relationship Id="rId188" Type="http://schemas.openxmlformats.org/officeDocument/2006/relationships/footer" Target="footer188.xml" /><Relationship Id="rId202" Type="http://schemas.openxmlformats.org/officeDocument/2006/relationships/footer" Target="footer202.xml" /><Relationship Id="rId233" Type="http://schemas.openxmlformats.org/officeDocument/2006/relationships/footer" Target="footer233.xml" /><Relationship Id="rId255" Type="http://schemas.openxmlformats.org/officeDocument/2006/relationships/footer" Target="footer255.xml" /><Relationship Id="rId265" Type="http://schemas.openxmlformats.org/officeDocument/2006/relationships/footer" Target="footer265.xml" /><Relationship Id="rId271" Type="http://schemas.openxmlformats.org/officeDocument/2006/relationships/footer" Target="footer271.xml" /><Relationship Id="rId279" Type="http://schemas.openxmlformats.org/officeDocument/2006/relationships/footer" Target="footer279.xml" /><Relationship Id="rId299" Type="http://schemas.openxmlformats.org/officeDocument/2006/relationships/footer" Target="footer299.xml" /><Relationship Id="rId333" Type="http://schemas.openxmlformats.org/officeDocument/2006/relationships/footer" Target="footer333.xml" /><Relationship Id="rId348" Type="http://schemas.openxmlformats.org/officeDocument/2006/relationships/footer" Target="footer348.xml" /><Relationship Id="rId374" Type="http://schemas.openxmlformats.org/officeDocument/2006/relationships/footer" Target="footer374.xml" /><Relationship Id="rId384" Type="http://schemas.openxmlformats.org/officeDocument/2006/relationships/footer" Target="footer384.xml" /><Relationship Id="rId391" Type="http://schemas.openxmlformats.org/officeDocument/2006/relationships/footer" Target="footer391.xml" /><Relationship Id="rId397" Type="http://schemas.openxmlformats.org/officeDocument/2006/relationships/footer" Target="footer397.xml" /><Relationship Id="rId419" Type="http://schemas.openxmlformats.org/officeDocument/2006/relationships/footer" Target="footer419.xml" /><Relationship Id="rId425" Type="http://schemas.openxmlformats.org/officeDocument/2006/relationships/footer" Target="footer425.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5" Type="http://schemas.openxmlformats.org/officeDocument/2006/relationships/header" Target="header175.xml" /><Relationship Id="rId180" Type="http://schemas.openxmlformats.org/officeDocument/2006/relationships/header" Target="header180.xml" /><Relationship Id="rId187" Type="http://schemas.openxmlformats.org/officeDocument/2006/relationships/header" Target="header187.xml" /><Relationship Id="rId201" Type="http://schemas.openxmlformats.org/officeDocument/2006/relationships/header" Target="header201.xml" /><Relationship Id="rId232" Type="http://schemas.openxmlformats.org/officeDocument/2006/relationships/header" Target="header232.xml" /><Relationship Id="rId254" Type="http://schemas.openxmlformats.org/officeDocument/2006/relationships/header" Target="header254.xml" /><Relationship Id="rId264" Type="http://schemas.openxmlformats.org/officeDocument/2006/relationships/header" Target="header264.xml" /><Relationship Id="rId270" Type="http://schemas.openxmlformats.org/officeDocument/2006/relationships/header" Target="header270.xml" /><Relationship Id="rId278" Type="http://schemas.openxmlformats.org/officeDocument/2006/relationships/header" Target="header278.xml" /><Relationship Id="rId298" Type="http://schemas.openxmlformats.org/officeDocument/2006/relationships/header" Target="header298.xml" /><Relationship Id="rId332" Type="http://schemas.openxmlformats.org/officeDocument/2006/relationships/header" Target="header332.xml" /><Relationship Id="rId347" Type="http://schemas.openxmlformats.org/officeDocument/2006/relationships/header" Target="header347.xml" /><Relationship Id="rId373" Type="http://schemas.openxmlformats.org/officeDocument/2006/relationships/header" Target="header373.xml" /><Relationship Id="rId383" Type="http://schemas.openxmlformats.org/officeDocument/2006/relationships/header" Target="header383.xml" /><Relationship Id="rId390" Type="http://schemas.openxmlformats.org/officeDocument/2006/relationships/header" Target="header390.xml" /><Relationship Id="rId396" Type="http://schemas.openxmlformats.org/officeDocument/2006/relationships/header" Target="header396.xml" /><Relationship Id="rId418" Type="http://schemas.openxmlformats.org/officeDocument/2006/relationships/header" Target="header418.xml" /><Relationship Id="rId424" Type="http://schemas.openxmlformats.org/officeDocument/2006/relationships/header" Target="header424.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2" Type="http://schemas.openxmlformats.org/officeDocument/2006/relationships/footer" Target="footer172.xml" /><Relationship Id="rId174" Type="http://schemas.openxmlformats.org/officeDocument/2006/relationships/footer" Target="footer174.xml" /><Relationship Id="rId179" Type="http://schemas.openxmlformats.org/officeDocument/2006/relationships/footer" Target="footer179.xml" /><Relationship Id="rId184" Type="http://schemas.openxmlformats.org/officeDocument/2006/relationships/footer" Target="footer184.xml" /><Relationship Id="rId186" Type="http://schemas.openxmlformats.org/officeDocument/2006/relationships/footer" Target="footer186.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9" Type="http://schemas.openxmlformats.org/officeDocument/2006/relationships/footer" Target="footer269.xml" /><Relationship Id="rId275" Type="http://schemas.openxmlformats.org/officeDocument/2006/relationships/footer" Target="footer275.xml" /><Relationship Id="rId277" Type="http://schemas.openxmlformats.org/officeDocument/2006/relationships/footer" Target="footer277.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7" Type="http://schemas.openxmlformats.org/officeDocument/2006/relationships/footer" Target="footer337.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8" Type="http://schemas.openxmlformats.org/officeDocument/2006/relationships/footer" Target="footer388.xml" /><Relationship Id="rId395" Type="http://schemas.openxmlformats.org/officeDocument/2006/relationships/footer" Target="footer395.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23" Type="http://schemas.openxmlformats.org/officeDocument/2006/relationships/footer" Target="footer423.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3" Type="http://schemas.openxmlformats.org/officeDocument/2006/relationships/header" Target="header173.xml" /><Relationship Id="rId178" Type="http://schemas.openxmlformats.org/officeDocument/2006/relationships/header" Target="header178.xml" /><Relationship Id="rId182" Type="http://schemas.openxmlformats.org/officeDocument/2006/relationships/header" Target="header182.xml" /><Relationship Id="rId183" Type="http://schemas.openxmlformats.org/officeDocument/2006/relationships/header" Target="header183.xml" /><Relationship Id="rId185" Type="http://schemas.openxmlformats.org/officeDocument/2006/relationships/header" Target="header185.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8" Type="http://schemas.openxmlformats.org/officeDocument/2006/relationships/header" Target="header268.xml" /><Relationship Id="rId274" Type="http://schemas.openxmlformats.org/officeDocument/2006/relationships/header" Target="header274.xml" /><Relationship Id="rId276" Type="http://schemas.openxmlformats.org/officeDocument/2006/relationships/header" Target="header276.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6" Type="http://schemas.openxmlformats.org/officeDocument/2006/relationships/header" Target="header336.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7" Type="http://schemas.openxmlformats.org/officeDocument/2006/relationships/header" Target="header387.xml" /><Relationship Id="rId394" Type="http://schemas.openxmlformats.org/officeDocument/2006/relationships/header" Target="header394.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22" Type="http://schemas.openxmlformats.org/officeDocument/2006/relationships/header" Target="header422.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52"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3" Type="http://schemas.openxmlformats.org/officeDocument/2006/relationships/image" Target="media/image4.wmf" /><Relationship Id="rId389" Type="http://schemas.openxmlformats.org/officeDocument/2006/relationships/image" Target="media/image5.gif" /><Relationship Id="rId444" Type="http://schemas.openxmlformats.org/officeDocument/2006/relationships/image" Target="media/image6.emf" /><Relationship Id="rId453" Type="http://schemas.openxmlformats.org/officeDocument/2006/relationships/customXml" Target="../customXml/item1.xml" /></Relationships>
</file>

<file path=word/_rels/header175.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7.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8.xml.rels>&#65279;<?xml version="1.0" encoding="utf-8" standalone="yes"?><Relationships xmlns="http://schemas.openxmlformats.org/package/2006/relationships"><Relationship Id="rId446"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68E4D-BEBA-42AC-B83E-AF55F4C5FC55}">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1721</TotalTime>
  <Pages>42</Pages>
  <Words>142067</Words>
  <Characters>809784</Characters>
  <Application>Microsoft Office Word</Application>
  <DocSecurity>0</DocSecurity>
  <Lines>6748</Lines>
  <Paragraphs>1899</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2019-12-08T22:24:00Z</cp:lastPrinted>
  <cp:revision>38</cp:revision>
  <dcterms:created xsi:type="dcterms:W3CDTF">2019-07-09T16:54:00Z</dcterms:created>
  <dcterms:modified xsi:type="dcterms:W3CDTF">2019-12-13T02:18:00Z</dcterms:modified>
</cp:coreProperties>
</file>