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4.xml" ContentType="application/vnd.openxmlformats-officedocument.wordprocessingml.footer+xml"/>
  <Override PartName="/word/footer32.xml" ContentType="application/vnd.openxmlformats-officedocument.wordprocessingml.footer+xml"/>
  <Override PartName="/word/footer52.xml" ContentType="application/vnd.openxmlformats-officedocument.wordprocessingml.footer+xml"/>
  <Override PartName="/word/footer109.xml" ContentType="application/vnd.openxmlformats-officedocument.wordprocessingml.footer+xml"/>
  <Override PartName="/word/footer115.xml" ContentType="application/vnd.openxmlformats-officedocument.wordprocessingml.footer+xml"/>
  <Override PartName="/word/footer140.xml" ContentType="application/vnd.openxmlformats-officedocument.wordprocessingml.footer+xml"/>
  <Override PartName="/word/footer170.xml" ContentType="application/vnd.openxmlformats-officedocument.wordprocessingml.footer+xml"/>
  <Override PartName="/word/footer195.xml" ContentType="application/vnd.openxmlformats-officedocument.wordprocessingml.footer+xml"/>
  <Override PartName="/word/footer209.xml" ContentType="application/vnd.openxmlformats-officedocument.wordprocessingml.footer+xml"/>
  <Override PartName="/word/footer240.xml" ContentType="application/vnd.openxmlformats-officedocument.wordprocessingml.footer+xml"/>
  <Override PartName="/word/footer262.xml" ContentType="application/vnd.openxmlformats-officedocument.wordprocessingml.footer+xml"/>
  <Override PartName="/word/footer272.xml" ContentType="application/vnd.openxmlformats-officedocument.wordprocessingml.footer+xml"/>
  <Override PartName="/word/footer278.xml" ContentType="application/vnd.openxmlformats-officedocument.wordprocessingml.footer+xml"/>
  <Override PartName="/word/footer286.xml" ContentType="application/vnd.openxmlformats-officedocument.wordprocessingml.footer+xml"/>
  <Override PartName="/word/footer306.xml" ContentType="application/vnd.openxmlformats-officedocument.wordprocessingml.footer+xml"/>
  <Override PartName="/word/footer340.xml" ContentType="application/vnd.openxmlformats-officedocument.wordprocessingml.footer+xml"/>
  <Override PartName="/word/footer355.xml" ContentType="application/vnd.openxmlformats-officedocument.wordprocessingml.footer+xml"/>
  <Override PartName="/word/footer381.xml" ContentType="application/vnd.openxmlformats-officedocument.wordprocessingml.footer+xml"/>
  <Override PartName="/word/footer391.xml" ContentType="application/vnd.openxmlformats-officedocument.wordprocessingml.footer+xml"/>
  <Override PartName="/word/footer398.xml" ContentType="application/vnd.openxmlformats-officedocument.wordprocessingml.footer+xml"/>
  <Override PartName="/word/footer404.xml" ContentType="application/vnd.openxmlformats-officedocument.wordprocessingml.footer+xml"/>
  <Override PartName="/word/footer426.xml" ContentType="application/vnd.openxmlformats-officedocument.wordprocessingml.footer+xml"/>
  <Override PartName="/word/footer432.xml" ContentType="application/vnd.openxmlformats-officedocument.wordprocessingml.footer+xml"/>
  <Override PartName="/word/header3.xml" ContentType="application/vnd.openxmlformats-officedocument.wordprocessingml.header+xml"/>
  <Override PartName="/word/header31.xml" ContentType="application/vnd.openxmlformats-officedocument.wordprocessingml.header+xml"/>
  <Override PartName="/word/header51.xml" ContentType="application/vnd.openxmlformats-officedocument.wordprocessingml.header+xml"/>
  <Override PartName="/word/header139.xml" ContentType="application/vnd.openxmlformats-officedocument.wordprocessingml.header+xml"/>
  <Override PartName="/word/header169.xml" ContentType="application/vnd.openxmlformats-officedocument.wordprocessingml.header+xml"/>
  <Override PartName="/word/header182.xml" ContentType="application/vnd.openxmlformats-officedocument.wordprocessingml.header+xml"/>
  <Override PartName="/word/header186.xml" ContentType="application/vnd.openxmlformats-officedocument.wordprocessingml.header+xml"/>
  <Override PartName="/word/header194.xml" ContentType="application/vnd.openxmlformats-officedocument.wordprocessingml.header+xml"/>
  <Override PartName="/word/header208.xml" ContentType="application/vnd.openxmlformats-officedocument.wordprocessingml.header+xml"/>
  <Override PartName="/word/header239.xml" ContentType="application/vnd.openxmlformats-officedocument.wordprocessingml.header+xml"/>
  <Override PartName="/word/header261.xml" ContentType="application/vnd.openxmlformats-officedocument.wordprocessingml.header+xml"/>
  <Override PartName="/word/header271.xml" ContentType="application/vnd.openxmlformats-officedocument.wordprocessingml.header+xml"/>
  <Override PartName="/word/header277.xml" ContentType="application/vnd.openxmlformats-officedocument.wordprocessingml.header+xml"/>
  <Override PartName="/word/header285.xml" ContentType="application/vnd.openxmlformats-officedocument.wordprocessingml.header+xml"/>
  <Override PartName="/word/header305.xml" ContentType="application/vnd.openxmlformats-officedocument.wordprocessingml.header+xml"/>
  <Override PartName="/word/header339.xml" ContentType="application/vnd.openxmlformats-officedocument.wordprocessingml.header+xml"/>
  <Override PartName="/word/header354.xml" ContentType="application/vnd.openxmlformats-officedocument.wordprocessingml.header+xml"/>
  <Override PartName="/word/header380.xml" ContentType="application/vnd.openxmlformats-officedocument.wordprocessingml.header+xml"/>
  <Override PartName="/word/header390.xml" ContentType="application/vnd.openxmlformats-officedocument.wordprocessingml.header+xml"/>
  <Override PartName="/word/header397.xml" ContentType="application/vnd.openxmlformats-officedocument.wordprocessingml.header+xml"/>
  <Override PartName="/word/header403.xml" ContentType="application/vnd.openxmlformats-officedocument.wordprocessingml.header+xml"/>
  <Override PartName="/word/header425.xml" ContentType="application/vnd.openxmlformats-officedocument.wordprocessingml.header+xml"/>
  <Override PartName="/word/header431.xml" ContentType="application/vnd.openxmlformats-officedocument.wordprocessingml.header+xml"/>
  <Override PartName="/word/footer2.xml" ContentType="application/vnd.openxmlformats-officedocument.wordprocessingml.footer+xml"/>
  <Override PartName="/word/footer8.xml" ContentType="application/vnd.openxmlformats-officedocument.wordprocessingml.footer+xml"/>
  <Override PartName="/word/footer30.xml" ContentType="application/vnd.openxmlformats-officedocument.wordprocessingml.footer+xml"/>
  <Override PartName="/word/footer50.xml" ContentType="application/vnd.openxmlformats-officedocument.wordprocessingml.footer+xml"/>
  <Override PartName="/word/footer108.xml" ContentType="application/vnd.openxmlformats-officedocument.wordprocessingml.footer+xml"/>
  <Override PartName="/word/footer114.xml" ContentType="application/vnd.openxmlformats-officedocument.wordprocessingml.footer+xml"/>
  <Override PartName="/word/footer138.xml" ContentType="application/vnd.openxmlformats-officedocument.wordprocessingml.footer+xml"/>
  <Override PartName="/word/footer168.xml" ContentType="application/vnd.openxmlformats-officedocument.wordprocessingml.footer+xml"/>
  <Override PartName="/word/footer181.xml" ContentType="application/vnd.openxmlformats-officedocument.wordprocessingml.footer+xml"/>
  <Override PartName="/word/footer193.xml" ContentType="application/vnd.openxmlformats-officedocument.wordprocessingml.footer+xml"/>
  <Override PartName="/word/footer207.xml" ContentType="application/vnd.openxmlformats-officedocument.wordprocessingml.footer+xml"/>
  <Override PartName="/word/footer238.xml" ContentType="application/vnd.openxmlformats-officedocument.wordprocessingml.footer+xml"/>
  <Override PartName="/word/footer260.xml" ContentType="application/vnd.openxmlformats-officedocument.wordprocessingml.footer+xml"/>
  <Override PartName="/word/footer270.xml" ContentType="application/vnd.openxmlformats-officedocument.wordprocessingml.footer+xml"/>
  <Override PartName="/word/footer276.xml" ContentType="application/vnd.openxmlformats-officedocument.wordprocessingml.footer+xml"/>
  <Override PartName="/word/footer284.xml" ContentType="application/vnd.openxmlformats-officedocument.wordprocessingml.footer+xml"/>
  <Override PartName="/word/footer304.xml" ContentType="application/vnd.openxmlformats-officedocument.wordprocessingml.footer+xml"/>
  <Override PartName="/word/footer338.xml" ContentType="application/vnd.openxmlformats-officedocument.wordprocessingml.footer+xml"/>
  <Override PartName="/word/footer353.xml" ContentType="application/vnd.openxmlformats-officedocument.wordprocessingml.footer+xml"/>
  <Override PartName="/word/footer379.xml" ContentType="application/vnd.openxmlformats-officedocument.wordprocessingml.footer+xml"/>
  <Override PartName="/word/footer389.xml" ContentType="application/vnd.openxmlformats-officedocument.wordprocessingml.footer+xml"/>
  <Override PartName="/word/footer396.xml" ContentType="application/vnd.openxmlformats-officedocument.wordprocessingml.footer+xml"/>
  <Override PartName="/word/footer402.xml" ContentType="application/vnd.openxmlformats-officedocument.wordprocessingml.footer+xml"/>
  <Override PartName="/word/footer424.xml" ContentType="application/vnd.openxmlformats-officedocument.wordprocessingml.footer+xml"/>
  <Override PartName="/word/footer430.xml" ContentType="application/vnd.openxmlformats-officedocument.wordprocessingml.footer+xml"/>
  <Override PartName="/word/header1.xml" ContentType="application/vnd.openxmlformats-officedocument.wordprocessingml.header+xml"/>
  <Override PartName="/word/header7.xml" ContentType="application/vnd.openxmlformats-officedocument.wordprocessingml.header+xml"/>
  <Override PartName="/word/header29.xml" ContentType="application/vnd.openxmlformats-officedocument.wordprocessingml.header+xml"/>
  <Override PartName="/word/header49.xml" ContentType="application/vnd.openxmlformats-officedocument.wordprocessingml.header+xml"/>
  <Override PartName="/word/header137.xml" ContentType="application/vnd.openxmlformats-officedocument.wordprocessingml.header+xml"/>
  <Override PartName="/word/header167.xml" ContentType="application/vnd.openxmlformats-officedocument.wordprocessingml.header+xml"/>
  <Override PartName="/word/header180.xml" ContentType="application/vnd.openxmlformats-officedocument.wordprocessingml.header+xml"/>
  <Override PartName="/word/header185.xml" ContentType="application/vnd.openxmlformats-officedocument.wordprocessingml.header+xml"/>
  <Override PartName="/word/header192.xml" ContentType="application/vnd.openxmlformats-officedocument.wordprocessingml.header+xml"/>
  <Override PartName="/word/header206.xml" ContentType="application/vnd.openxmlformats-officedocument.wordprocessingml.header+xml"/>
  <Override PartName="/word/header237.xml" ContentType="application/vnd.openxmlformats-officedocument.wordprocessingml.header+xml"/>
  <Override PartName="/word/header259.xml" ContentType="application/vnd.openxmlformats-officedocument.wordprocessingml.header+xml"/>
  <Override PartName="/word/header269.xml" ContentType="application/vnd.openxmlformats-officedocument.wordprocessingml.header+xml"/>
  <Override PartName="/word/header275.xml" ContentType="application/vnd.openxmlformats-officedocument.wordprocessingml.header+xml"/>
  <Override PartName="/word/header283.xml" ContentType="application/vnd.openxmlformats-officedocument.wordprocessingml.header+xml"/>
  <Override PartName="/word/header303.xml" ContentType="application/vnd.openxmlformats-officedocument.wordprocessingml.header+xml"/>
  <Override PartName="/word/header337.xml" ContentType="application/vnd.openxmlformats-officedocument.wordprocessingml.header+xml"/>
  <Override PartName="/word/header352.xml" ContentType="application/vnd.openxmlformats-officedocument.wordprocessingml.header+xml"/>
  <Override PartName="/word/header378.xml" ContentType="application/vnd.openxmlformats-officedocument.wordprocessingml.header+xml"/>
  <Override PartName="/word/header388.xml" ContentType="application/vnd.openxmlformats-officedocument.wordprocessingml.header+xml"/>
  <Override PartName="/word/header395.xml" ContentType="application/vnd.openxmlformats-officedocument.wordprocessingml.header+xml"/>
  <Override PartName="/word/header401.xml" ContentType="application/vnd.openxmlformats-officedocument.wordprocessingml.header+xml"/>
  <Override PartName="/word/header423.xml" ContentType="application/vnd.openxmlformats-officedocument.wordprocessingml.header+xml"/>
  <Override PartName="/word/header429.xml" ContentType="application/vnd.openxmlformats-officedocument.wordprocessingml.header+xml"/>
  <Override PartName="/word/footer6.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90.xml" ContentType="application/vnd.openxmlformats-officedocument.wordprocessingml.footer+xml"/>
  <Override PartName="/word/footer93.xml" ContentType="application/vnd.openxmlformats-officedocument.wordprocessingml.footer+xml"/>
  <Override PartName="/word/footer95.xml" ContentType="application/vnd.openxmlformats-officedocument.wordprocessingml.footer+xml"/>
  <Override PartName="/word/footer97.xml" ContentType="application/vnd.openxmlformats-officedocument.wordprocessingml.footer+xml"/>
  <Override PartName="/word/footer99.xml" ContentType="application/vnd.openxmlformats-officedocument.wordprocessingml.footer+xml"/>
  <Override PartName="/word/footer101.xml" ContentType="application/vnd.openxmlformats-officedocument.wordprocessingml.footer+xml"/>
  <Override PartName="/word/footer103.xml" ContentType="application/vnd.openxmlformats-officedocument.wordprocessingml.footer+xml"/>
  <Override PartName="/word/footer105.xml" ContentType="application/vnd.openxmlformats-officedocument.wordprocessingml.footer+xml"/>
  <Override PartName="/word/footer107.xml" ContentType="application/vnd.openxmlformats-officedocument.wordprocessingml.footer+xml"/>
  <Override PartName="/word/footer111.xml" ContentType="application/vnd.openxmlformats-officedocument.wordprocessingml.footer+xml"/>
  <Override PartName="/word/footer117.xml" ContentType="application/vnd.openxmlformats-officedocument.wordprocessingml.footer+xml"/>
  <Override PartName="/word/footer119.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9.xml" ContentType="application/vnd.openxmlformats-officedocument.wordprocessingml.footer+xml"/>
  <Override PartName="/word/footer191.xml" ContentType="application/vnd.openxmlformats-officedocument.wordprocessingml.footer+xml"/>
  <Override PartName="/word/footer197.xml" ContentType="application/vnd.openxmlformats-officedocument.wordprocessingml.footer+xml"/>
  <Override PartName="/word/footer199.xml" ContentType="application/vnd.openxmlformats-officedocument.wordprocessingml.footer+xml"/>
  <Override PartName="/word/footer201.xml" ContentType="application/vnd.openxmlformats-officedocument.wordprocessingml.footer+xml"/>
  <Override PartName="/word/footer203.xml" ContentType="application/vnd.openxmlformats-officedocument.wordprocessingml.footer+xml"/>
  <Override PartName="/word/footer205.xml" ContentType="application/vnd.openxmlformats-officedocument.wordprocessingml.footer+xml"/>
  <Override PartName="/word/footer211.xml" ContentType="application/vnd.openxmlformats-officedocument.wordprocessingml.footer+xml"/>
  <Override PartName="/word/footer213.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4.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42.xml" ContentType="application/vnd.openxmlformats-officedocument.wordprocessingml.footer+xml"/>
  <Override PartName="/word/footer343.xml" ContentType="application/vnd.openxmlformats-officedocument.wordprocessingml.footer+xml"/>
  <Override PartName="/word/footer345.xml" ContentType="application/vnd.openxmlformats-officedocument.wordprocessingml.footer+xml"/>
  <Override PartName="/word/footer347.xml" ContentType="application/vnd.openxmlformats-officedocument.wordprocessingml.footer+xml"/>
  <Override PartName="/word/footer349.xml" ContentType="application/vnd.openxmlformats-officedocument.wordprocessingml.footer+xml"/>
  <Override PartName="/word/footer351.xml" ContentType="application/vnd.openxmlformats-officedocument.wordprocessingml.footer+xml"/>
  <Override PartName="/word/footer357.xml" ContentType="application/vnd.openxmlformats-officedocument.wordprocessingml.footer+xml"/>
  <Override PartName="/word/footer359.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83.xml" ContentType="application/vnd.openxmlformats-officedocument.wordprocessingml.footer+xml"/>
  <Override PartName="/word/footer385.xml" ContentType="application/vnd.openxmlformats-officedocument.wordprocessingml.footer+xml"/>
  <Override PartName="/word/footer387.xml" ContentType="application/vnd.openxmlformats-officedocument.wordprocessingml.footer+xml"/>
  <Override PartName="/word/footer393.xml" ContentType="application/vnd.openxmlformats-officedocument.wordprocessingml.footer+xml"/>
  <Override PartName="/word/footer400.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8.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header5.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4.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100.xml" ContentType="application/vnd.openxmlformats-officedocument.wordprocessingml.header+xml"/>
  <Override PartName="/word/header102.xml" ContentType="application/vnd.openxmlformats-officedocument.wordprocessingml.header+xml"/>
  <Override PartName="/word/header104.xml" ContentType="application/vnd.openxmlformats-officedocument.wordprocessingml.header+xml"/>
  <Override PartName="/word/header106.xml" ContentType="application/vnd.openxmlformats-officedocument.wordprocessingml.header+xml"/>
  <Override PartName="/word/header110.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6.xml" ContentType="application/vnd.openxmlformats-officedocument.wordprocessingml.header+xml"/>
  <Override PartName="/word/header118.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4.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8.xml" ContentType="application/vnd.openxmlformats-officedocument.wordprocessingml.header+xml"/>
  <Override PartName="/word/header183.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90.xml" ContentType="application/vnd.openxmlformats-officedocument.wordprocessingml.header+xml"/>
  <Override PartName="/word/header196.xml" ContentType="application/vnd.openxmlformats-officedocument.wordprocessingml.header+xml"/>
  <Override PartName="/word/header198.xml" ContentType="application/vnd.openxmlformats-officedocument.wordprocessingml.header+xml"/>
  <Override PartName="/word/header200.xml" ContentType="application/vnd.openxmlformats-officedocument.wordprocessingml.header+xml"/>
  <Override PartName="/word/header202.xml" ContentType="application/vnd.openxmlformats-officedocument.wordprocessingml.header+xml"/>
  <Override PartName="/word/header204.xml" ContentType="application/vnd.openxmlformats-officedocument.wordprocessingml.header+xml"/>
  <Override PartName="/word/header210.xml" ContentType="application/vnd.openxmlformats-officedocument.wordprocessingml.header+xml"/>
  <Override PartName="/word/header212.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73.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41.xml" ContentType="application/vnd.openxmlformats-officedocument.wordprocessingml.header+xml"/>
  <Override PartName="/word/header344.xml" ContentType="application/vnd.openxmlformats-officedocument.wordprocessingml.header+xml"/>
  <Override PartName="/word/header346.xml" ContentType="application/vnd.openxmlformats-officedocument.wordprocessingml.header+xml"/>
  <Override PartName="/word/header348.xml" ContentType="application/vnd.openxmlformats-officedocument.wordprocessingml.header+xml"/>
  <Override PartName="/word/header350.xml" ContentType="application/vnd.openxmlformats-officedocument.wordprocessingml.header+xml"/>
  <Override PartName="/word/header356.xml" ContentType="application/vnd.openxmlformats-officedocument.wordprocessingml.header+xml"/>
  <Override PartName="/word/header358.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82.xml" ContentType="application/vnd.openxmlformats-officedocument.wordprocessingml.header+xml"/>
  <Override PartName="/word/header384.xml" ContentType="application/vnd.openxmlformats-officedocument.wordprocessingml.header+xml"/>
  <Override PartName="/word/header386.xml" ContentType="application/vnd.openxmlformats-officedocument.wordprocessingml.header+xml"/>
  <Override PartName="/word/header392.xml" ContentType="application/vnd.openxmlformats-officedocument.wordprocessingml.header+xml"/>
  <Override PartName="/word/header399.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7.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headerReference w:type="first" r:id="rId1"/>
          <w:footerReference w:type="first" r:id="rId2"/>
          <w:headerReference w:type="even" r:id="rId3"/>
          <w:footerReference w:type="even" r:id="rId4"/>
          <w:headerReference w:type="default" r:id="rId5"/>
          <w:footerReference w:type="default" r:id="rId6"/>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7"/>
        </w:numPr>
        <w:spacing w:line="480" w:lineRule="auto"/>
        <w:rPr>
          <w:sz w:val="24"/>
          <w:szCs w:val="24"/>
        </w:rPr>
      </w:pPr>
      <w:r>
        <w:rPr>
          <w:sz w:val="24"/>
          <w:szCs w:val="24"/>
        </w:rPr>
        <w:t xml:space="preserve">INTRODUCTION</w:t>
      </w:r>
    </w:p>
    <w:p>
      <w:pPr>
        <w:pStyle w:val="ABCgood"/>
        <w:numPr>
          <w:ilvl w:val="1"/>
          <w:numId w:val="457"/>
        </w:numPr>
        <w:spacing w:line="480" w:lineRule="auto"/>
        <w:rPr>
          <w:sz w:val="24"/>
          <w:szCs w:val="24"/>
        </w:rPr>
      </w:pPr>
      <w:r>
        <w:rPr>
          <w:sz w:val="24"/>
          <w:szCs w:val="24"/>
        </w:rPr>
        <w:t xml:space="preserve">OVERVIEW</w:t>
      </w:r>
    </w:p>
    <w:p>
      <w:pPr>
        <w:pStyle w:val="ABCgood"/>
        <w:numPr>
          <w:ilvl w:val="1"/>
          <w:numId w:val="457"/>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7"/>
        </w:numPr>
        <w:spacing w:line="480" w:lineRule="auto"/>
        <w:rPr>
          <w:sz w:val="24"/>
          <w:szCs w:val="24"/>
        </w:rPr>
      </w:pPr>
      <w:r>
        <w:rPr>
          <w:sz w:val="24"/>
          <w:szCs w:val="24"/>
        </w:rPr>
        <w:t xml:space="preserve">SCREENING FOR EXCLUDED INDIVIDUALS AND ENTITIES</w:t>
      </w:r>
    </w:p>
    <w:p>
      <w:pPr>
        <w:pStyle w:val="ParagraphStyle1"/>
        <w:numPr>
          <w:ilvl w:val="0"/>
          <w:numId w:val="457"/>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7"/>
        </w:numPr>
        <w:spacing w:line="480" w:lineRule="auto"/>
        <w:rPr>
          <w:sz w:val="24"/>
          <w:szCs w:val="24"/>
        </w:rPr>
      </w:pPr>
      <w:r>
        <w:rPr>
          <w:sz w:val="24"/>
          <w:szCs w:val="24"/>
        </w:rPr>
        <w:t xml:space="preserve">PROCEDURES, DIRECTIVES, POLICIES, AND GUIDANCE</w:t>
      </w:r>
    </w:p>
    <w:p>
      <w:pPr>
        <w:pStyle w:val="ABCgood"/>
        <w:numPr>
          <w:ilvl w:val="1"/>
          <w:numId w:val="457"/>
        </w:numPr>
        <w:spacing w:line="480" w:lineRule="auto"/>
        <w:rPr>
          <w:sz w:val="24"/>
          <w:szCs w:val="24"/>
        </w:rPr>
      </w:pPr>
      <w:r>
        <w:rPr>
          <w:sz w:val="24"/>
          <w:szCs w:val="24"/>
        </w:rPr>
        <w:t xml:space="preserve">IMPLEMENTING WRITTEN POLICIES, PROCEDURES, AND STANDARDS OF CONDUCT</w:t>
      </w:r>
    </w:p>
    <w:p>
      <w:pPr>
        <w:pStyle w:val="ABCgood"/>
        <w:numPr>
          <w:ilvl w:val="1"/>
          <w:numId w:val="457"/>
        </w:numPr>
        <w:spacing w:line="480" w:lineRule="auto"/>
        <w:rPr>
          <w:sz w:val="24"/>
          <w:szCs w:val="24"/>
        </w:rPr>
      </w:pPr>
      <w:r>
        <w:rPr>
          <w:sz w:val="24"/>
          <w:szCs w:val="24"/>
        </w:rPr>
        <w:t xml:space="preserve">EFFECTIVE EDUCATION AND TRAINING PROGRAMS</w:t>
      </w:r>
    </w:p>
    <w:p>
      <w:pPr>
        <w:pStyle w:val="ABCgood"/>
        <w:numPr>
          <w:ilvl w:val="1"/>
          <w:numId w:val="457"/>
        </w:numPr>
        <w:spacing w:line="480" w:lineRule="auto"/>
        <w:rPr>
          <w:sz w:val="24"/>
          <w:szCs w:val="24"/>
        </w:rPr>
      </w:pPr>
      <w:r>
        <w:rPr>
          <w:sz w:val="24"/>
          <w:szCs w:val="24"/>
        </w:rPr>
        <w:t xml:space="preserve">REPORTING SYSTEM AND DEVELOPING OPEN LINES OF COMMUNICATION</w:t>
      </w:r>
    </w:p>
    <w:p>
      <w:pPr>
        <w:pStyle w:val="ABCgood"/>
        <w:numPr>
          <w:ilvl w:val="1"/>
          <w:numId w:val="457"/>
        </w:numPr>
        <w:spacing w:line="480" w:lineRule="auto"/>
        <w:rPr>
          <w:sz w:val="24"/>
          <w:szCs w:val="24"/>
        </w:rPr>
      </w:pPr>
      <w:r>
        <w:rPr>
          <w:sz w:val="24"/>
          <w:szCs w:val="24"/>
        </w:rPr>
        <w:t xml:space="preserve">ENFORCING DISCIPLINARY STANDARDS THROUGH WELL-PUBLICIZED GUIDELINES</w:t>
      </w:r>
    </w:p>
    <w:p>
      <w:pPr>
        <w:pStyle w:val="ABCgood"/>
        <w:numPr>
          <w:ilvl w:val="1"/>
          <w:numId w:val="457"/>
        </w:numPr>
        <w:spacing w:line="480" w:lineRule="auto"/>
        <w:rPr>
          <w:sz w:val="24"/>
          <w:szCs w:val="24"/>
        </w:rPr>
      </w:pPr>
      <w:r>
        <w:rPr>
          <w:sz w:val="24"/>
          <w:szCs w:val="24"/>
        </w:rPr>
        <w:t xml:space="preserve">POLICY OF NON-INTIMIDATION AND NON-RETALIATION</w:t>
      </w:r>
    </w:p>
    <w:p>
      <w:pPr>
        <w:pStyle w:val="ABCgood"/>
        <w:numPr>
          <w:ilvl w:val="1"/>
          <w:numId w:val="457"/>
        </w:numPr>
        <w:spacing w:line="480" w:lineRule="auto"/>
        <w:rPr>
          <w:sz w:val="24"/>
          <w:szCs w:val="24"/>
        </w:rPr>
      </w:pPr>
      <w:r>
        <w:rPr>
          <w:sz w:val="24"/>
          <w:szCs w:val="24"/>
        </w:rPr>
        <w:t xml:space="preserve">CONDUCTING INTERNAL AUDITING AND MONITORING</w:t>
      </w:r>
    </w:p>
    <w:p>
      <w:pPr>
        <w:pStyle w:val="ABCgood"/>
        <w:numPr>
          <w:ilvl w:val="1"/>
          <w:numId w:val="457"/>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7"/>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7"/>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3"/>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3"/>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3"/>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3"/>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3"/>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3"/>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w:t>
      </w:r>
      <w:r>
        <w:rPr>
          <w:rFonts w:ascii="Verdana" w:hAnsi="Verdana" w:eastAsia="Verdana"/>
          <w:szCs w:val="24"/>
        </w:rPr>
        <w:t xml:space="preserve">prepared by the U.S. General Services Administration. Additionally, 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3"/>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3"/>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3"/>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w:t>
      </w:r>
      <w:r>
        <w:rPr>
          <w:rFonts w:ascii="Verdana" w:hAnsi="Verdana" w:eastAsia="Verdana"/>
          <w:szCs w:val="24"/>
        </w:rPr>
        <w:t xml:space="preserve">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3"/>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w:t>
      </w:r>
      <w:r>
        <w:rPr>
          <w:rFonts w:ascii="Verdana" w:hAnsi="Verdana" w:eastAsia="Verdana"/>
          <w:sz w:val="24"/>
          <w:szCs w:val="24"/>
        </w:rPr>
        <w:t xml:space="preserve">developing and overseeing a system for uniform handling of such violations.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3"/>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3"/>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3"/>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3"/>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3"/>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3"/>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3"/>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revised as necessary, and ensuring the relevant education and training for Associates; </w:t>
      </w:r>
    </w:p>
    <w:p>
      <w:pPr>
        <w:pStyle w:val="ListParagraph"/>
        <w:numPr>
          <w:ilvl w:val="4"/>
          <w:numId w:val="583"/>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3"/>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3"/>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4"/>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4"/>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4"/>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4"/>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w:t>
      </w:r>
      <w:r>
        <w:rPr>
          <w:rFonts w:ascii="Verdana" w:hAnsi="Verdana" w:eastAsia="Verdana"/>
          <w:sz w:val="24"/>
          <w:szCs w:val="24"/>
        </w:rPr>
        <w:t xml:space="preserve">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9"/>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9"/>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9"/>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9"/>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9"/>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9"/>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9"/>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9"/>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9"/>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w:t>
      </w:r>
      <w:r>
        <w:rPr>
          <w:rFonts w:ascii="Verdana" w:hAnsi="Verdana" w:eastAsia="Verdana"/>
          <w:sz w:val="24"/>
          <w:szCs w:val="24"/>
        </w:rPr>
        <w:t xml:space="preserve">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w:t>
      </w:r>
      <w:r>
        <w:rPr>
          <w:rFonts w:ascii="Verdana" w:hAnsi="Verdana" w:eastAsia="Verdana"/>
          <w:sz w:val="24"/>
          <w:szCs w:val="24"/>
        </w:rPr>
        <w:t xml:space="preserve">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9"/>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w:t>
      </w:r>
      <w:r>
        <w:rPr>
          <w:rFonts w:ascii="Verdana" w:hAnsi="Verdana" w:eastAsia="Verdana"/>
          <w:sz w:val="24"/>
          <w:szCs w:val="24"/>
        </w:rPr>
        <w:t xml:space="preserve">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9"/>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9"/>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9"/>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9"/>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9"/>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5"/>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5"/>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5"/>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w:t>
      </w:r>
      <w:r>
        <w:rPr>
          <w:rFonts w:ascii="Verdana" w:hAnsi="Verdana" w:eastAsia="Verdana"/>
          <w:sz w:val="24"/>
          <w:szCs w:val="24"/>
        </w:rPr>
        <w:t xml:space="preserve">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whose report contains admissions of personal wrongdoing will not be guaranteed protection from discipline or enforcement action.</w:t>
      </w:r>
    </w:p>
    <w:p>
      <w:pPr>
        <w:pStyle w:val="ListParagraph"/>
        <w:numPr>
          <w:ilvl w:val="1"/>
          <w:numId w:val="479"/>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9"/>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9"/>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9"/>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9"/>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9"/>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9"/>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90"/>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Heading3"/>
        <w:keepNext/>
        <w:keepLines/>
        <w:numPr>
          <w:ilvl w:val="1"/>
          <w:numId w:val="390"/>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90"/>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90"/>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90"/>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90"/>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90"/>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90"/>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90"/>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90"/>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90"/>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90"/>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7"/>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7"/>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90"/>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90"/>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90"/>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90"/>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90"/>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90"/>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90"/>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7"/>
          <w:footerReference w:type="first" r:id="rId8"/>
          <w:headerReference w:type="default" r:id="rId9"/>
          <w:footerReference w:type="default" r:id="rId10"/>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8"/>
        </w:numPr>
        <w:spacing w:line="480" w:lineRule="auto"/>
        <w:rPr>
          <w:sz w:val="24"/>
          <w:szCs w:val="24"/>
        </w:rPr>
      </w:pPr>
      <w:r>
        <w:rPr>
          <w:sz w:val="24"/>
          <w:szCs w:val="24"/>
        </w:rPr>
        <w:t xml:space="preserve">CODE OF CONDUCT</w:t>
      </w:r>
    </w:p>
    <w:p>
      <w:pPr>
        <w:pStyle w:val="ABCgood"/>
        <w:numPr>
          <w:ilvl w:val="1"/>
          <w:numId w:val="771"/>
        </w:numPr>
        <w:spacing w:line="480" w:lineRule="auto"/>
        <w:rPr>
          <w:sz w:val="24"/>
          <w:szCs w:val="24"/>
        </w:rPr>
      </w:pPr>
      <w:r>
        <w:rPr>
          <w:sz w:val="24"/>
          <w:szCs w:val="24"/>
        </w:rPr>
        <w:t xml:space="preserve">HONESTY AND LAWFUL CONDUCT </w:t>
      </w:r>
    </w:p>
    <w:p>
      <w:pPr>
        <w:pStyle w:val="ABCgood"/>
        <w:numPr>
          <w:ilvl w:val="1"/>
          <w:numId w:val="771"/>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1"/>
        </w:numPr>
        <w:spacing w:line="480" w:lineRule="auto"/>
        <w:rPr>
          <w:sz w:val="24"/>
          <w:szCs w:val="24"/>
        </w:rPr>
      </w:pPr>
      <w:r>
        <w:rPr>
          <w:sz w:val="24"/>
          <w:szCs w:val="24"/>
        </w:rPr>
        <w:t xml:space="preserve">QUESTIONS AND CONCERNS </w:t>
      </w:r>
    </w:p>
    <w:p>
      <w:pPr>
        <w:pStyle w:val="ABCgood"/>
        <w:numPr>
          <w:ilvl w:val="1"/>
          <w:numId w:val="771"/>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1"/>
        </w:numPr>
        <w:spacing w:before="100" w:line="480" w:lineRule="auto"/>
        <w:rPr>
          <w:sz w:val="24"/>
          <w:szCs w:val="24"/>
        </w:rPr>
      </w:pPr>
      <w:r>
        <w:rPr>
          <w:sz w:val="24"/>
          <w:szCs w:val="24"/>
        </w:rPr>
        <w:t xml:space="preserve">CODE OF CONDUCT STANDARDS </w:t>
      </w:r>
    </w:p>
    <w:p>
      <w:pPr>
        <w:pStyle w:val="ABCgood"/>
        <w:numPr>
          <w:ilvl w:val="1"/>
          <w:numId w:val="771"/>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1"/>
        </w:numPr>
        <w:spacing w:line="480" w:lineRule="auto"/>
        <w:rPr>
          <w:sz w:val="24"/>
          <w:szCs w:val="24"/>
        </w:rPr>
      </w:pPr>
      <w:r>
        <w:rPr>
          <w:sz w:val="24"/>
          <w:szCs w:val="24"/>
        </w:rPr>
        <w:t xml:space="preserve">STANDARDS RELATING TO QUALITY OF CARE AND SERVICES </w:t>
      </w:r>
    </w:p>
    <w:p>
      <w:pPr>
        <w:pStyle w:val="ABCgood"/>
        <w:numPr>
          <w:ilvl w:val="1"/>
          <w:numId w:val="771"/>
        </w:numPr>
        <w:spacing w:line="480" w:lineRule="auto"/>
        <w:rPr>
          <w:sz w:val="24"/>
          <w:szCs w:val="24"/>
        </w:rPr>
      </w:pPr>
      <w:r>
        <w:rPr>
          <w:sz w:val="24"/>
          <w:szCs w:val="24"/>
        </w:rPr>
        <w:t xml:space="preserve">STANDARDS RELATING TO BILLING AND CODING </w:t>
      </w:r>
    </w:p>
    <w:p>
      <w:pPr>
        <w:pStyle w:val="ABCgood"/>
        <w:numPr>
          <w:ilvl w:val="1"/>
          <w:numId w:val="771"/>
        </w:numPr>
        <w:spacing w:line="480" w:lineRule="auto"/>
        <w:rPr>
          <w:sz w:val="24"/>
          <w:szCs w:val="24"/>
        </w:rPr>
      </w:pPr>
      <w:r>
        <w:rPr>
          <w:sz w:val="24"/>
          <w:szCs w:val="24"/>
        </w:rPr>
        <w:t xml:space="preserve">STANDARDS RELATING TO BUSINESS PRACTICES </w:t>
      </w:r>
    </w:p>
    <w:p>
      <w:pPr>
        <w:pStyle w:val="ABCgood"/>
        <w:numPr>
          <w:ilvl w:val="1"/>
          <w:numId w:val="771"/>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1"/>
        </w:numPr>
        <w:spacing w:line="480" w:lineRule="auto"/>
        <w:rPr>
          <w:sz w:val="24"/>
          <w:szCs w:val="24"/>
        </w:rPr>
      </w:pPr>
      <w:r>
        <w:rPr>
          <w:sz w:val="24"/>
          <w:szCs w:val="24"/>
        </w:rPr>
        <w:t xml:space="preserve">STANDARDS RELATING TO CONFIDENTIALITY</w:t>
      </w:r>
    </w:p>
    <w:p>
      <w:pPr>
        <w:pStyle w:val="II"/>
        <w:numPr>
          <w:ilvl w:val="0"/>
          <w:numId w:val="771"/>
        </w:numPr>
        <w:spacing w:before="100" w:line="480" w:lineRule="auto"/>
        <w:rPr>
          <w:sz w:val="24"/>
          <w:szCs w:val="24"/>
        </w:rPr>
      </w:pPr>
      <w:r>
        <w:rPr>
          <w:sz w:val="24"/>
          <w:szCs w:val="24"/>
        </w:rPr>
        <w:t xml:space="preserve">EDUCATION </w:t>
      </w:r>
    </w:p>
    <w:p>
      <w:pPr>
        <w:pStyle w:val="IIIIII"/>
        <w:numPr>
          <w:ilvl w:val="0"/>
          <w:numId w:val="771"/>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1"/>
        </w:numPr>
        <w:spacing w:before="100" w:line="480" w:lineRule="auto"/>
        <w:rPr>
          <w:sz w:val="24"/>
          <w:szCs w:val="24"/>
        </w:rPr>
      </w:pPr>
      <w:r>
        <w:rPr>
          <w:sz w:val="24"/>
          <w:szCs w:val="24"/>
        </w:rPr>
        <w:t xml:space="preserve">REPORTING OF VIOLATIONS</w:t>
      </w:r>
    </w:p>
    <w:p>
      <w:pPr>
        <w:pStyle w:val="IIIIII"/>
        <w:numPr>
          <w:ilvl w:val="0"/>
          <w:numId w:val="771"/>
        </w:numPr>
        <w:spacing w:before="100" w:line="480" w:lineRule="auto"/>
        <w:rPr>
          <w:sz w:val="24"/>
          <w:szCs w:val="24"/>
        </w:rPr>
      </w:pPr>
      <w:r>
        <w:rPr>
          <w:sz w:val="24"/>
          <w:szCs w:val="24"/>
        </w:rPr>
        <w:t xml:space="preserve">DISCIPLINARY ACTION </w:t>
      </w:r>
    </w:p>
    <w:p>
      <w:pPr>
        <w:pStyle w:val="IIIIII"/>
        <w:numPr>
          <w:ilvl w:val="0"/>
          <w:numId w:val="771"/>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60"/>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60"/>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60"/>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60"/>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60"/>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60"/>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60"/>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5"/>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5"/>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5"/>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5"/>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5"/>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5"/>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5"/>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5"/>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5"/>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5"/>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5"/>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5"/>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5"/>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5"/>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5"/>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5"/>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5"/>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5"/>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5"/>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5"/>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5"/>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5"/>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5"/>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5"/>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5"/>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5"/>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5"/>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5"/>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5"/>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5"/>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5"/>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5"/>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5"/>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5"/>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5"/>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5"/>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5"/>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5"/>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5"/>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5"/>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5"/>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5"/>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8"/>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8"/>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8"/>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8"/>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8"/>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8"/>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8"/>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8"/>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8"/>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8"/>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8"/>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8"/>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11"/>
          <w:footerReference w:type="default" r:id="rId12"/>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13"/>
          <w:footerReference w:type="default" r:id="rId14"/>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5"/>
          <w:footerReference w:type="default" r:id="rId1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0"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0"/>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5"/>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5"/>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6"/>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6"/>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7"/>
          <w:footerReference w:type="default" r:id="rId1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7"/>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7"/>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7"/>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7"/>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7"/>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9"/>
          <w:footerReference w:type="default" r:id="rId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21"/>
          <w:footerReference w:type="default" r:id="rId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70"/>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3"/>
          <w:footerReference w:type="default" r:id="rId24"/>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1" w:name="co_anchor_a692745_1"/>
      <w:bookmarkEnd w:id="21"/>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2" w:name="co_anchor_a507117_1"/>
      <w:bookmarkEnd w:id="22"/>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3" w:name="co_anchor_a329580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5"/>
          <w:footerReference w:type="default" r:id="rId26"/>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3"/>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3"/>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3"/>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7"/>
          <w:footerReference w:type="default" r:id="rId2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2"/>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2"/>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2"/>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2"/>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2"/>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2"/>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2"/>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2"/>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2"/>
        </w:numPr>
        <w:spacing/>
        <w:jc w:val="both"/>
        <w:rPr>
          <w:rFonts w:ascii="Verdana" w:hAnsi="Verdana" w:eastAsia="Verdana"/>
        </w:rPr>
      </w:pPr>
      <w:r>
        <w:rPr>
          <w:rFonts w:ascii="Verdana" w:hAnsi="Verdana" w:eastAsia="Verdana"/>
        </w:rPr>
        <w:t xml:space="preserve">Trend analysis, and</w:t>
      </w:r>
    </w:p>
    <w:p>
      <w:pPr>
        <w:pStyle w:val="List"/>
        <w:numPr>
          <w:ilvl w:val="2"/>
          <w:numId w:val="772"/>
        </w:numPr>
        <w:spacing/>
        <w:jc w:val="both"/>
        <w:rPr>
          <w:rFonts w:ascii="Verdana" w:hAnsi="Verdana" w:eastAsia="Verdana"/>
        </w:rPr>
      </w:pPr>
      <w:r>
        <w:rPr>
          <w:rFonts w:ascii="Verdana" w:hAnsi="Verdana" w:eastAsia="Verdana"/>
        </w:rPr>
        <w:t xml:space="preserve">On-site visits.  </w:t>
      </w:r>
    </w:p>
    <w:p>
      <w:pPr>
        <w:pStyle w:val="List"/>
        <w:numPr>
          <w:ilvl w:val="0"/>
          <w:numId w:val="772"/>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2"/>
        </w:numPr>
        <w:spacing/>
        <w:jc w:val="both"/>
        <w:rPr>
          <w:rFonts w:ascii="Verdana" w:hAnsi="Verdana" w:eastAsia="Verdana"/>
        </w:rPr>
      </w:pPr>
      <w:r>
        <w:rPr>
          <w:rFonts w:ascii="Verdana" w:hAnsi="Verdana" w:eastAsia="Cambria"/>
        </w:rPr>
        <w:t xml:space="preserve">billings;</w:t>
      </w:r>
    </w:p>
    <w:p>
      <w:pPr>
        <w:pStyle w:val="List"/>
        <w:numPr>
          <w:ilvl w:val="1"/>
          <w:numId w:val="772"/>
        </w:numPr>
        <w:spacing/>
        <w:jc w:val="both"/>
        <w:rPr>
          <w:rFonts w:ascii="Verdana" w:hAnsi="Verdana" w:eastAsia="Verdana"/>
        </w:rPr>
      </w:pPr>
      <w:r>
        <w:rPr>
          <w:rFonts w:ascii="Verdana" w:hAnsi="Verdana" w:eastAsia="Cambria"/>
        </w:rPr>
        <w:t xml:space="preserve">payments;</w:t>
      </w:r>
    </w:p>
    <w:p>
      <w:pPr>
        <w:pStyle w:val="List"/>
        <w:numPr>
          <w:ilvl w:val="1"/>
          <w:numId w:val="772"/>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2"/>
        </w:numPr>
        <w:spacing/>
        <w:jc w:val="both"/>
        <w:rPr>
          <w:rFonts w:ascii="Verdana" w:hAnsi="Verdana" w:eastAsia="Verdana"/>
        </w:rPr>
      </w:pPr>
      <w:r>
        <w:rPr>
          <w:rFonts w:ascii="Verdana" w:hAnsi="Verdana" w:eastAsia="Cambria"/>
        </w:rPr>
        <w:t xml:space="preserve">governance;</w:t>
      </w:r>
    </w:p>
    <w:p>
      <w:pPr>
        <w:pStyle w:val="List"/>
        <w:numPr>
          <w:ilvl w:val="1"/>
          <w:numId w:val="772"/>
        </w:numPr>
        <w:spacing/>
        <w:jc w:val="both"/>
        <w:rPr>
          <w:rFonts w:ascii="Verdana" w:hAnsi="Verdana" w:eastAsia="Verdana"/>
        </w:rPr>
      </w:pPr>
      <w:r>
        <w:rPr>
          <w:rFonts w:ascii="Verdana" w:hAnsi="Verdana" w:eastAsia="Cambria"/>
        </w:rPr>
        <w:t xml:space="preserve">mandatory reporting;</w:t>
      </w:r>
    </w:p>
    <w:p>
      <w:pPr>
        <w:pStyle w:val="List"/>
        <w:numPr>
          <w:ilvl w:val="1"/>
          <w:numId w:val="772"/>
        </w:numPr>
        <w:spacing/>
        <w:jc w:val="both"/>
        <w:rPr>
          <w:rFonts w:ascii="Verdana" w:hAnsi="Verdana" w:eastAsia="Verdana"/>
        </w:rPr>
      </w:pPr>
      <w:r>
        <w:rPr>
          <w:rFonts w:ascii="Verdana" w:hAnsi="Verdana" w:eastAsia="Cambria"/>
        </w:rPr>
        <w:t xml:space="preserve">credentialing; and</w:t>
      </w:r>
    </w:p>
    <w:p>
      <w:pPr>
        <w:pStyle w:val="List"/>
        <w:numPr>
          <w:ilvl w:val="1"/>
          <w:numId w:val="772"/>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2"/>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2"/>
        </w:numPr>
        <w:spacing/>
        <w:jc w:val="both"/>
        <w:rPr>
          <w:rFonts w:ascii="Verdana" w:hAnsi="Verdana" w:eastAsia="Verdana"/>
        </w:rPr>
      </w:pPr>
      <w:r>
        <w:rPr>
          <w:rFonts w:ascii="Verdana" w:hAnsi="Verdana" w:eastAsia="Verdana"/>
        </w:rPr>
        <w:t xml:space="preserve">Conducting the Audit</w:t>
      </w:r>
    </w:p>
    <w:p>
      <w:pPr>
        <w:pStyle w:val="List"/>
        <w:numPr>
          <w:ilvl w:val="1"/>
          <w:numId w:val="772"/>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2"/>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2"/>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2"/>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2"/>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2"/>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2"/>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2"/>
        </w:numPr>
        <w:spacing w:before="0"/>
        <w:jc w:val="both"/>
        <w:rPr>
          <w:rFonts w:ascii="Verdana" w:hAnsi="Verdana" w:eastAsia="Verdana"/>
          <w:color w:val="auto"/>
          <w:spacing w:val="0"/>
          <w:szCs w:val="24"/>
        </w:rPr>
        <w:sectPr>
          <w:headerReference w:type="first" r:id="rId29"/>
          <w:footerReference w:type="first" r:id="rId30"/>
          <w:headerReference w:type="even" r:id="rId31"/>
          <w:footerReference w:type="even" r:id="rId32"/>
          <w:headerReference w:type="default" r:id="rId33"/>
          <w:footerReference w:type="default" r:id="rId34"/>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2"/>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2"/>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2"/>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2"/>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2"/>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2"/>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2"/>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2"/>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2"/>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2"/>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2"/>
        </w:numPr>
        <w:spacing w:after="0"/>
        <w:jc w:val="both"/>
        <w:rPr>
          <w:rFonts w:ascii="Verdana" w:hAnsi="Verdana" w:eastAsia="Verdana"/>
          <w:sz w:val="24"/>
          <w:szCs w:val="24"/>
        </w:rPr>
        <w:sectPr>
          <w:headerReference w:type="default" r:id="rId35"/>
          <w:footerReference w:type="default" r:id="rId36"/>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9"/>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9"/>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9"/>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9"/>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9"/>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9"/>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9"/>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9"/>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9"/>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9"/>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9"/>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9"/>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9"/>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9"/>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9"/>
        </w:numPr>
        <w:spacing/>
        <w:jc w:val="both"/>
        <w:rPr>
          <w:rFonts w:ascii="Verdana" w:hAnsi="Verdana" w:eastAsia="Verdana"/>
          <w:bCs/>
        </w:rPr>
      </w:pPr>
      <w:r>
        <w:rPr>
          <w:rFonts w:ascii="Verdana" w:hAnsi="Verdana" w:eastAsia="Verdana"/>
          <w:bCs/>
        </w:rPr>
        <w:t xml:space="preserve">“Make-up” Trainings</w:t>
      </w:r>
    </w:p>
    <w:p>
      <w:pPr>
        <w:pStyle w:val="List"/>
        <w:numPr>
          <w:ilvl w:val="1"/>
          <w:numId w:val="469"/>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9"/>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9"/>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9"/>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9"/>
        </w:numPr>
        <w:spacing w:after="0" w:line="240" w:lineRule="auto"/>
        <w:contextualSpacing/>
        <w:rPr>
          <w:rFonts w:ascii="Verdana" w:hAnsi="Verdana" w:eastAsia="Verdana"/>
          <w:bCs/>
          <w:sz w:val="24"/>
          <w:szCs w:val="24"/>
        </w:rPr>
        <w:sectPr>
          <w:headerReference w:type="default" r:id="rId37"/>
          <w:footerReference w:type="default" r:id="rId38"/>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40"/>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40"/>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40"/>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40"/>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40"/>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40"/>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40"/>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40"/>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40"/>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9"/>
          <w:footerReference w:type="default" r:id="rId40"/>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5"/>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5"/>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5"/>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5"/>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41"/>
          <w:footerReference w:type="default" r:id="rId42"/>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43"/>
          <w:footerReference w:type="default" r:id="rId44"/>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5"/>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5"/>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5"/>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5"/>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5"/>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5"/>
          <w:footerReference w:type="default" r:id="rId4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8"/>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8"/>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8"/>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8"/>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8"/>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8"/>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8"/>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8"/>
        </w:numPr>
        <w:spacing/>
        <w:contextualSpacing/>
        <w:jc w:val="both"/>
        <w:rPr>
          <w:rFonts w:ascii="Verdana" w:hAnsi="Verdana" w:eastAsia="Verdana"/>
          <w:sz w:val="24"/>
          <w:szCs w:val="24"/>
        </w:rPr>
        <w:sectPr>
          <w:headerReference w:type="default" r:id="rId47"/>
          <w:footerReference w:type="default" r:id="rId4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9"/>
          <w:footerReference w:type="first" r:id="rId50"/>
          <w:headerReference w:type="even" r:id="rId51"/>
          <w:footerReference w:type="even" r:id="rId52"/>
          <w:headerReference w:type="default" r:id="rId53"/>
          <w:footerReference w:type="default" r:id="rId5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0"/>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60"/>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60"/>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60"/>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60"/>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60"/>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60"/>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60"/>
        </w:numPr>
        <w:spacing w:after="0"/>
        <w:jc w:val="both"/>
        <w:rPr>
          <w:rFonts w:ascii="Verdana" w:hAnsi="Verdana" w:eastAsia="Verdana"/>
          <w:sz w:val="24"/>
          <w:szCs w:val="24"/>
        </w:rPr>
        <w:sectPr>
          <w:headerReference w:type="default" r:id="rId55"/>
          <w:footerReference w:type="default" r:id="rId5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5"/>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w:t>
      </w:r>
      <w:r>
        <w:rPr>
          <w:rFonts w:ascii="Verdana" w:hAnsi="Verdana" w:eastAsia="Verdana" w:cs="Times New Roman"/>
          <w:szCs w:val="24"/>
        </w:rPr>
        <w:t xml:space="preserve"> </w:t>
      </w:r>
    </w:p>
    <w:p>
      <w:pPr>
        <w:numPr>
          <w:ilvl w:val="2"/>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5"/>
        </w:numPr>
        <w:spacing w:after="0" w:line="240" w:lineRule="auto"/>
        <w:rPr>
          <w:rFonts w:ascii="Verdana" w:hAnsi="Verdana" w:eastAsia="Verdana" w:cs="Times New Roman"/>
          <w:szCs w:val="24"/>
        </w:rPr>
        <w:sectPr>
          <w:headerReference w:type="default" r:id="rId57"/>
          <w:footerReference w:type="default" r:id="rId5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8"/>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8"/>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9"/>
          <w:footerReference w:type="default" r:id="rId6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5"/>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5"/>
        </w:numPr>
        <w:autoSpaceDE w:val="false"/>
        <w:autoSpaceDN w:val="false"/>
        <w:adjustRightInd w:val="false"/>
        <w:spacing w:after="0" w:line="240" w:lineRule="auto"/>
        <w:jc w:val="both"/>
        <w:rPr>
          <w:rFonts w:ascii="Verdana" w:hAnsi="Verdana" w:eastAsia="Verdana"/>
          <w:sz w:val="24"/>
          <w:szCs w:val="24"/>
        </w:rPr>
        <w:sectPr>
          <w:headerReference w:type="default" r:id="rId61"/>
          <w:footerReference w:type="default" r:id="rId6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9"/>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9"/>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63"/>
          <w:footerReference w:type="default" r:id="rId6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3"/>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3"/>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3"/>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3"/>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3"/>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5"/>
          <w:footerReference w:type="default" r:id="rId6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7"/>
        </w:numPr>
        <w:spacing w:after="0"/>
        <w:rPr>
          <w:rFonts w:ascii="Verdana" w:hAnsi="Verdana" w:eastAsia="Verdana"/>
          <w:szCs w:val="24"/>
        </w:rPr>
        <w:sectPr>
          <w:headerReference w:type="default" r:id="rId67"/>
          <w:footerReference w:type="default" r:id="rId68"/>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ascii="Verdana" w:hAnsi="Verdana" w:eastAsia="Verdana"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4" w:lineRule="auto"/>
        <w:ind w:left="10"/>
        <w:rPr>
          <w:rFonts w:ascii="Verdana" w:hAnsi="Verdana" w:eastAsia="Verdana" w:cs="Times New Roman"/>
          <w:szCs w:val="24"/>
        </w:rPr>
      </w:pPr>
      <w:r>
        <w:rPr>
          <w:rFonts w:ascii="Verdana" w:hAnsi="Verdana" w:eastAsia="Verdana" w:cs="Verdana"/>
          <w:szCs w:val="24"/>
        </w:rPr>
        <w:t xml:space="preserve">To ensure compliance with all fraud, waste, and abuse compliance and ethics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9"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compliance and ethics program and strives to educate its work force on fraud and abuse laws, including the importance of submitting accurate claims and reports to the federal and state governments. The Facility has instituted various procedures to ensure compliance 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809"/>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810"/>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810"/>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810"/>
        </w:numPr>
        <w:tabs>
          <w:tab w:val="num" w:pos="1830"/>
        </w:tabs>
        <w:overflowPunct w:val="false"/>
        <w:autoSpaceDE w:val="false"/>
        <w:autoSpaceDN w:val="false"/>
        <w:adjustRightInd w:val="false"/>
        <w:spacing w:after="0" w:line="249"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810"/>
        </w:numPr>
        <w:tabs>
          <w:tab w:val="num" w:pos="1830"/>
        </w:tabs>
        <w:overflowPunct w:val="false"/>
        <w:autoSpaceDE w:val="false"/>
        <w:autoSpaceDN w:val="false"/>
        <w:adjustRightInd w:val="false"/>
        <w:spacing w:after="0" w:line="261"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810"/>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810"/>
        </w:numPr>
        <w:tabs>
          <w:tab w:val="num" w:pos="1830"/>
        </w:tabs>
        <w:overflowPunct w:val="false"/>
        <w:autoSpaceDE w:val="false"/>
        <w:autoSpaceDN w:val="false"/>
        <w:adjustRightInd w:val="false"/>
        <w:spacing w:after="0" w:line="264"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810"/>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The Facility’s Compliance and Ethics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8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Compliance and Ethics Officer. All Associates can make a report either openly or anonymously by calling our Compliance and Ethics Hotline at (800) 610-2544.</w:t>
      </w:r>
    </w:p>
    <w:p>
      <w:pPr>
        <w:widowControl w:val="false"/>
        <w:numPr>
          <w:ilvl w:val="1"/>
          <w:numId w:val="811"/>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compliance and ethics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811"/>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811"/>
        </w:numPr>
        <w:overflowPunct w:val="false"/>
        <w:autoSpaceDE w:val="false"/>
        <w:autoSpaceDN w:val="false"/>
        <w:adjustRightInd w:val="false"/>
        <w:spacing w:after="0" w:line="264"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81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812"/>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812"/>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812"/>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81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812"/>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812"/>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812"/>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812"/>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812"/>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Penalties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1"/>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Whistleblower Protection (31 U.S.C. §3730(h)) </w:t>
      </w:r>
    </w:p>
    <w:p>
      <w:pPr>
        <w:widowControl w:val="false"/>
        <w:numPr>
          <w:ilvl w:val="2"/>
          <w:numId w:val="813"/>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pStyle w:val="ListParagraph"/>
        <w:widowControl w:val="false"/>
        <w:numPr>
          <w:ilvl w:val="0"/>
          <w:numId w:val="814"/>
        </w:numPr>
        <w:autoSpaceDE w:val="false"/>
        <w:autoSpaceDN w:val="false"/>
        <w:adjustRightInd w:val="false"/>
        <w:spacing w:after="0" w:line="240" w:lineRule="auto"/>
        <w:rPr>
          <w:rFonts w:ascii="Verdana" w:hAnsi="Verdana" w:eastAsia="Verdana" w:cs="Times New Roman"/>
          <w:sz w:val="24"/>
          <w:szCs w:val="24"/>
        </w:rPr>
      </w:pPr>
      <w:r>
        <w:rPr>
          <w:rFonts w:ascii="Verdana" w:hAnsi="Verdana" w:eastAsia="Verdana" w:cs="Verdana"/>
          <w:sz w:val="24"/>
          <w:szCs w:val="24"/>
        </w:rPr>
        <w:t xml:space="preserve">Federal False Statements Statute – 42 U.S.C. § 1320a-7b(a)</w:t>
      </w:r>
    </w:p>
    <w:p>
      <w:pPr>
        <w:widowControl w:val="false"/>
        <w:numPr>
          <w:ilvl w:val="1"/>
          <w:numId w:val="814"/>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any “person” that “knowingly” and </w:t>
      </w:r>
      <w:r>
        <w:rPr>
          <w:rFonts w:ascii="Verdana" w:hAnsi="Verdana" w:eastAsia="Verdana" w:cs="Verdana"/>
          <w:szCs w:val="24"/>
        </w:rPr>
        <w:t xml:space="preserve">“willfully” makes false statements in connection with the delivery or payment of health care benefits, items, or services payable in United States government funds is subject to significant fines and imprisonment.</w:t>
      </w:r>
    </w:p>
    <w:p>
      <w:pPr>
        <w:widowControl w:val="false"/>
        <w:numPr>
          <w:ilvl w:val="2"/>
          <w:numId w:val="814"/>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4"/>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814"/>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815"/>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815"/>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815"/>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816"/>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816"/>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816"/>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816"/>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817"/>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817"/>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w:t>
      </w:r>
      <w:r>
        <w:rPr>
          <w:rFonts w:ascii="Verdana" w:hAnsi="Verdana" w:eastAsia="Verdana" w:cs="Verdana"/>
          <w:szCs w:val="24"/>
        </w:rPr>
        <w:t xml:space="preserve">services are misdemeanors and are subject to fines up to $10,000 and/or imprisonment for up to one (1) year. </w:t>
      </w:r>
    </w:p>
    <w:p>
      <w:pPr>
        <w:pStyle w:val="ListParagraph"/>
        <w:widowControl w:val="false"/>
        <w:numPr>
          <w:ilvl w:val="0"/>
          <w:numId w:val="814"/>
        </w:numPr>
        <w:overflowPunct w:val="false"/>
        <w:autoSpaceDE w:val="false"/>
        <w:autoSpaceDN w:val="false"/>
        <w:adjustRightInd w:val="false"/>
        <w:spacing w:after="0" w:line="261" w:lineRule="auto"/>
        <w:jc w:val="both"/>
        <w:rPr>
          <w:rFonts w:ascii="Verdana" w:hAnsi="Verdana" w:eastAsia="Verdana"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814"/>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814"/>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14"/>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814"/>
        </w:numPr>
        <w:overflowPunct w:val="false"/>
        <w:autoSpaceDE w:val="false"/>
        <w:autoSpaceDN w:val="false"/>
        <w:adjustRightInd w:val="false"/>
        <w:spacing w:after="0" w:line="261" w:lineRule="auto"/>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818"/>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818"/>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818"/>
        </w:numPr>
        <w:overflowPunct w:val="false"/>
        <w:autoSpaceDE w:val="false"/>
        <w:autoSpaceDN w:val="false"/>
        <w:adjustRightInd w:val="false"/>
        <w:spacing w:after="0" w:line="249"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814"/>
        </w:numPr>
        <w:autoSpaceDE w:val="false"/>
        <w:autoSpaceDN w:val="false"/>
        <w:adjustRightInd w:val="false"/>
        <w:spacing w:after="0" w:line="240" w:lineRule="auto"/>
        <w:jc w:val="both"/>
        <w:rPr>
          <w:rFonts w:ascii="Verdana" w:hAnsi="Verdana" w:eastAsia="Verdana" w:cs="Times New Roman"/>
          <w:sz w:val="24"/>
          <w:szCs w:val="24"/>
        </w:rPr>
      </w:pPr>
      <w:r>
        <w:rPr>
          <w:rFonts w:ascii="Verdana" w:hAnsi="Verdana" w:eastAsia="Verdana" w:cs="Verdana"/>
          <w:sz w:val="24"/>
          <w:szCs w:val="24"/>
        </w:rPr>
        <w:t xml:space="preserve">Federal Criminal False Claims Act – 18 U.S.C.A. §§ 286-287</w:t>
      </w:r>
    </w:p>
    <w:p>
      <w:pPr>
        <w:widowControl w:val="false"/>
        <w:numPr>
          <w:ilvl w:val="1"/>
          <w:numId w:val="814"/>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814"/>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814"/>
        </w:numPr>
        <w:overflowPunct w:val="false"/>
        <w:autoSpaceDE w:val="false"/>
        <w:autoSpaceDN w:val="false"/>
        <w:adjustRightInd w:val="false"/>
        <w:spacing w:after="0" w:line="261" w:lineRule="auto"/>
        <w:rPr>
          <w:rFonts w:ascii="Verdana" w:hAnsi="Verdana" w:eastAsia="Verdana"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814"/>
        </w:numPr>
        <w:overflowPunct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1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1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81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819"/>
        </w:numPr>
        <w:overflowPunct w:val="false"/>
        <w:autoSpaceDE w:val="false"/>
        <w:autoSpaceDN w:val="false"/>
        <w:adjustRightInd w:val="false"/>
        <w:spacing w:after="0" w:line="261" w:lineRule="auto"/>
        <w:ind w:left="1980"/>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819"/>
        </w:numPr>
        <w:overflowPunct w:val="false"/>
        <w:autoSpaceDE w:val="false"/>
        <w:autoSpaceDN w:val="false"/>
        <w:adjustRightInd w:val="false"/>
        <w:spacing w:after="0" w:line="244" w:lineRule="auto"/>
        <w:ind w:left="1980"/>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819"/>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819"/>
        </w:numPr>
        <w:overflowPunct w:val="false"/>
        <w:autoSpaceDE w:val="false"/>
        <w:autoSpaceDN w:val="false"/>
        <w:adjustRightInd w:val="false"/>
        <w:spacing w:after="0" w:line="249" w:lineRule="auto"/>
        <w:ind w:left="198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819"/>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82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Medicare item or service that the person knows </w:t>
      </w:r>
      <w:r>
        <w:rPr>
          <w:rFonts w:ascii="Verdana" w:hAnsi="Verdana" w:eastAsia="Verdana" w:cs="Verdana"/>
          <w:szCs w:val="24"/>
        </w:rPr>
        <w:t xml:space="preserve">or should know is false or fraudulent. </w:t>
      </w:r>
    </w:p>
    <w:p>
      <w:pPr>
        <w:widowControl w:val="false"/>
        <w:numPr>
          <w:ilvl w:val="2"/>
          <w:numId w:val="82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820"/>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820"/>
        </w:numPr>
        <w:overflowPunct w:val="false"/>
        <w:autoSpaceDE w:val="false"/>
        <w:autoSpaceDN w:val="false"/>
        <w:adjustRightInd w:val="false"/>
        <w:spacing w:after="0" w:line="283"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821"/>
        </w:numPr>
        <w:overflowPunct w:val="false"/>
        <w:autoSpaceDE w:val="false"/>
        <w:autoSpaceDN w:val="false"/>
        <w:adjustRightInd w:val="false"/>
        <w:spacing w:after="0" w:line="261"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821"/>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821"/>
        </w:numPr>
        <w:overflowPunct w:val="false"/>
        <w:autoSpaceDE w:val="false"/>
        <w:autoSpaceDN w:val="false"/>
        <w:adjustRightInd w:val="false"/>
        <w:spacing w:after="0" w:line="244"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821"/>
        </w:numPr>
        <w:overflowPunct w:val="false"/>
        <w:autoSpaceDE w:val="false"/>
        <w:autoSpaceDN w:val="false"/>
        <w:adjustRightInd w:val="false"/>
        <w:spacing w:after="0" w:line="259"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82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821"/>
        </w:numPr>
        <w:overflowPunct w:val="false"/>
        <w:autoSpaceDE w:val="false"/>
        <w:autoSpaceDN w:val="false"/>
        <w:adjustRightInd w:val="false"/>
        <w:spacing w:after="0" w:line="249"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821"/>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821"/>
        </w:numPr>
        <w:overflowPunct w:val="false"/>
        <w:autoSpaceDE w:val="false"/>
        <w:autoSpaceDN w:val="false"/>
        <w:adjustRightInd w:val="false"/>
        <w:spacing w:after="0" w:line="249" w:lineRule="auto"/>
        <w:ind w:left="126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Rhode Island False Claims Act (R.I. Gen. Laws § 9-1.1-1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False Claims Act (“RI FCA”) provides that a person who: </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ind w:hanging="666"/>
        <w:jc w:val="both"/>
        <w:rPr>
          <w:rFonts w:ascii="Verdana" w:hAnsi="Verdana" w:eastAsia="Verdana" w:cs="Verdana"/>
          <w:sz w:val="24"/>
          <w:szCs w:val="24"/>
        </w:rPr>
      </w:pPr>
      <w:r>
        <w:rPr>
          <w:rFonts w:ascii="Verdana" w:hAnsi="Verdana" w:eastAsia="Verdana" w:cs="Verdana"/>
          <w:sz w:val="24"/>
          <w:szCs w:val="24"/>
        </w:rPr>
        <w:t xml:space="preserve">Knowingly presents, conspires to commit, or causes to be presented, a violation a false or fraudulent claim for payment or approval;</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makes, uses, causes to be made or used, or conspires to make or use a false record or statement material to a false or fraudulent claim;</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Has possession, custody, or control of property or money used, or to be used, by the state and knowingly delivers, conspires to deliver, or causes to be delivered, less property than all of that money or property;</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Is authorized to make or deliver a document certifying receipt of property used, or to be used, by the state and, intending to defraud the state, makes or delivers, or conspires to make or deliver the receipt without completely knowing that the information on the receipt is true;</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buys, or receives as a pledge of an obligation or debt, or conspires to buy or receive, public property from an officer or employee of the state, or a member of the guard, who lawfully may not sell or pledge the property; or</w:t>
      </w:r>
    </w:p>
    <w:p>
      <w:pPr>
        <w:pStyle w:val="ListParagraph"/>
        <w:widowControl w:val="false"/>
        <w:numPr>
          <w:ilvl w:val="0"/>
          <w:numId w:val="822"/>
        </w:numPr>
        <w:tabs>
          <w:tab w:val="left" w:pos="1350"/>
        </w:tabs>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Knowingly makes, uses, or causes to be made or used, or conspires to make, use, or cause to be used, a false record or statement material to an obligation to pay or transmit money or property to the state, or knowingly conceals or knowingly and improperly avoids or decreases an obligation to pay or transmit money or property to the state;</w:t>
      </w:r>
    </w:p>
    <w:p>
      <w:pPr>
        <w:pStyle w:val="ListParagraph"/>
        <w:widowControl w:val="false"/>
        <w:overflowPunct w:val="false"/>
        <w:autoSpaceDE w:val="false"/>
        <w:autoSpaceDN w:val="false"/>
        <w:adjustRightInd w:val="false"/>
        <w:spacing w:after="0" w:line="249" w:lineRule="auto"/>
        <w:ind w:left="1296"/>
        <w:jc w:val="both"/>
        <w:rPr>
          <w:rFonts w:ascii="Verdana" w:hAnsi="Verdana" w:eastAsia="Verdana" w:cs="Verdana"/>
          <w:sz w:val="24"/>
          <w:szCs w:val="24"/>
        </w:rPr>
      </w:pPr>
      <w:r>
        <w:rPr>
          <w:rFonts w:ascii="Verdana" w:hAnsi="Verdana" w:eastAsia="Verdana" w:cs="Verdana"/>
          <w:sz w:val="24"/>
          <w:szCs w:val="24"/>
        </w:rPr>
        <w:t xml:space="preserve">is liable to the state for a civil penalty in an amount equal to the civil penalty set forth in the Federal False Claims Act, following the Federal Civil Penalties Inflation Agreement Act of 1990 (31 U.S.C. § 3729(a)), Pub. L. No. 101-410 section 5, 104 Stat. 891, note </w:t>
      </w:r>
      <w:r>
        <w:rPr>
          <w:rFonts w:ascii="Verdana" w:hAnsi="Verdana" w:eastAsia="Verdana" w:cs="Verdana"/>
          <w:sz w:val="24"/>
          <w:szCs w:val="24"/>
        </w:rPr>
        <w:t xml:space="preserve">following 28 U.S.C. § 2461, as amended and annually adjusted by the Federal Civil Penalties Inflation Adjustment Improvements Act of 2015, plus three (3) times the amount of damages the state sustains because of the act of that person. A person violating RI Act shall also be liable to the state for the costs of a civil action brought to recover any penalty or damages.</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i/>
          <w:iCs/>
          <w:sz w:val="24"/>
          <w:szCs w:val="24"/>
        </w:rPr>
        <w:t xml:space="preserve">Qui Tam</w:t>
      </w:r>
      <w:r>
        <w:rPr>
          <w:rFonts w:ascii="Verdana" w:hAnsi="Verdana" w:eastAsia="Verdana" w:cs="Verdana"/>
          <w:sz w:val="24"/>
          <w:szCs w:val="24"/>
        </w:rPr>
        <w:t xml:space="preserve"> Provision</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RI FCA allows individuals (“</w:t>
      </w:r>
      <w:r>
        <w:rPr>
          <w:rFonts w:ascii="Verdana" w:hAnsi="Verdana" w:eastAsia="Verdana" w:cs="Verdana"/>
          <w:i/>
          <w:iCs/>
          <w:sz w:val="24"/>
          <w:szCs w:val="24"/>
        </w:rPr>
        <w:t xml:space="preserve">qui tam</w:t>
      </w:r>
      <w:r>
        <w:rPr>
          <w:rFonts w:ascii="Verdana" w:hAnsi="Verdana" w:eastAsia="Verdana" w:cs="Verdana"/>
          <w:sz w:val="24"/>
          <w:szCs w:val="24"/>
        </w:rPr>
        <w:t xml:space="preserve"> plaintiffs” or “plaintiffs”) to bring a civil suit against a provider, called a </w:t>
      </w:r>
      <w:r>
        <w:rPr>
          <w:rFonts w:ascii="Verdana" w:hAnsi="Verdana" w:eastAsia="Verdana" w:cs="Verdana"/>
          <w:i/>
          <w:iCs/>
          <w:sz w:val="24"/>
          <w:szCs w:val="24"/>
        </w:rPr>
        <w:t xml:space="preserve">qui tam</w:t>
      </w:r>
      <w:r>
        <w:rPr>
          <w:rFonts w:ascii="Verdana" w:hAnsi="Verdana" w:eastAsia="Verdana" w:cs="Verdana"/>
          <w:sz w:val="24"/>
          <w:szCs w:val="24"/>
        </w:rPr>
        <w:t xml:space="preserve"> action, in the name of the Rhode Island government for a violation of the RI FCA.  If the State chooses to join in the lawsuit, it will have primary responsibility for the action. If the State chooses not to join,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has the right to conduct the action independent of the State.</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In the event the State proceeds with the lawsuit, the </w:t>
      </w:r>
      <w:r>
        <w:rPr>
          <w:rFonts w:ascii="Verdana" w:hAnsi="Verdana" w:eastAsia="Verdana" w:cs="Verdana"/>
          <w:i/>
          <w:iCs/>
          <w:sz w:val="24"/>
          <w:szCs w:val="24"/>
        </w:rPr>
        <w:t xml:space="preserve">qui</w:t>
      </w:r>
      <w:r>
        <w:rPr>
          <w:rFonts w:ascii="Verdana" w:hAnsi="Verdana" w:eastAsia="Verdana" w:cs="Verdana"/>
          <w:sz w:val="24"/>
          <w:szCs w:val="24"/>
        </w:rPr>
        <w:t xml:space="preserve"> </w:t>
      </w:r>
      <w:r>
        <w:rPr>
          <w:rFonts w:ascii="Verdana" w:hAnsi="Verdana" w:eastAsia="Verdana" w:cs="Verdana"/>
          <w:i/>
          <w:iCs/>
          <w:sz w:val="24"/>
          <w:szCs w:val="24"/>
        </w:rPr>
        <w:t xml:space="preserve">tam</w:t>
      </w:r>
      <w:r>
        <w:rPr>
          <w:rFonts w:ascii="Verdana" w:hAnsi="Verdana" w:eastAsia="Verdana" w:cs="Verdana"/>
          <w:sz w:val="24"/>
          <w:szCs w:val="24"/>
        </w:rPr>
        <w:t xml:space="preserve"> plaintiff may receive 15%-25% percent of the proceeds of the action or settlement. If the case is based primarily on information other than the disclosures of the qui tam plaintiff, the court cannot award him more than 10% of the recovery. If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proceeds with the action without the Rhode Island government, the </w:t>
      </w:r>
      <w:r>
        <w:rPr>
          <w:rFonts w:ascii="Verdana" w:hAnsi="Verdana" w:eastAsia="Verdana" w:cs="Verdana"/>
          <w:i/>
          <w:iCs/>
          <w:sz w:val="24"/>
          <w:szCs w:val="24"/>
        </w:rPr>
        <w:t xml:space="preserve">qui</w:t>
      </w:r>
      <w:r>
        <w:rPr>
          <w:rFonts w:ascii="Verdana" w:hAnsi="Verdana" w:eastAsia="Verdana" w:cs="Verdana"/>
          <w:sz w:val="24"/>
          <w:szCs w:val="24"/>
        </w:rPr>
        <w:t xml:space="preserve"> </w:t>
      </w:r>
      <w:r>
        <w:rPr>
          <w:rFonts w:ascii="Verdana" w:hAnsi="Verdana" w:eastAsia="Verdana" w:cs="Verdana"/>
          <w:i/>
          <w:iCs/>
          <w:sz w:val="24"/>
          <w:szCs w:val="24"/>
        </w:rPr>
        <w:t xml:space="preserve">tam</w:t>
      </w:r>
      <w:r>
        <w:rPr>
          <w:rFonts w:ascii="Verdana" w:hAnsi="Verdana" w:eastAsia="Verdana" w:cs="Verdana"/>
          <w:sz w:val="24"/>
          <w:szCs w:val="24"/>
        </w:rPr>
        <w:t xml:space="preserve"> plaintiff may receive 25%-30% of the recovery.  In either case,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may also receive reasonable expenses, plus reasonable attorneys’ fees and costs.</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If the civil action is frivolous, clearly vexatious, or brought primarily for harassment, the </w:t>
      </w:r>
      <w:r>
        <w:rPr>
          <w:rFonts w:ascii="Verdana" w:hAnsi="Verdana" w:eastAsia="Verdana" w:cs="Verdana"/>
          <w:i/>
          <w:iCs/>
          <w:sz w:val="24"/>
          <w:szCs w:val="24"/>
        </w:rPr>
        <w:t xml:space="preserve">qui tam</w:t>
      </w:r>
      <w:r>
        <w:rPr>
          <w:rFonts w:ascii="Verdana" w:hAnsi="Verdana" w:eastAsia="Verdana" w:cs="Verdana"/>
          <w:sz w:val="24"/>
          <w:szCs w:val="24"/>
        </w:rPr>
        <w:t xml:space="preserve"> plaintiff may have to pay the defendant its fees and costs.</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Whistleblower Provision</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RI FCA prohibits employers from retaliating against employees. Any employee, contractor, agent, or associated others discharged, demoted, suspended, threatened, harassed, or in any other manner discriminated against in the terms and conditions of employment because of lawful acts done by the employee, contractor, agent, or associated others in furtherance of an action under the RI FCA, or other efforts to stop one or more violations of RI FCA, including investigation for, initiation of, testimony for, or assistance in an action filed or to be filed under the RI FCA, shall be entitled to all relief necessary to make the employee, contractor, agent, or associated others whole. The relief shall include reinstatement with the same seniority status the employee, contractor, agent, or associated others would </w:t>
      </w:r>
      <w:r>
        <w:rPr>
          <w:rFonts w:ascii="Verdana" w:hAnsi="Verdana" w:eastAsia="Verdana" w:cs="Verdana"/>
          <w:sz w:val="24"/>
          <w:szCs w:val="24"/>
        </w:rPr>
        <w:t xml:space="preserve">have had but for the discrimination; two (2) times the amount of back pay; interest on the back pay; and compensation for any special damages sustained as a result of the discrimination, including litigation costs and reasonable attorneys' fees. </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 employee, contractor, agent, or associated others may bring an action in the appropriate superior court for this relief.</w:t>
      </w:r>
    </w:p>
    <w:p>
      <w:pPr>
        <w:pStyle w:val="ListParagraph"/>
        <w:widowControl w:val="false"/>
        <w:numPr>
          <w:ilvl w:val="0"/>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Rhode Island Medical Assistance Fraud Law (R.I. Gen. Laws § 40-8.2-1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Medical Assistance Fraud Law (“RI MAFL”), prohibits, among other things, any person from intentionally: </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Presenting or causing to be presented for preauthorization or payment to the Rhode Island Medicaid program (</w:t>
      </w:r>
      <w:r>
        <w:rPr>
          <w:rFonts w:ascii="Verdana" w:hAnsi="Verdana" w:eastAsia="Verdana" w:cs="Verdana"/>
          <w:sz w:val="24"/>
          <w:szCs w:val="24"/>
        </w:rPr>
        <w:t xml:space="preserve">i</w:t>
      </w:r>
      <w:r>
        <w:rPr>
          <w:rFonts w:ascii="Verdana" w:hAnsi="Verdana" w:eastAsia="Verdana" w:cs="Verdana"/>
          <w:sz w:val="24"/>
          <w:szCs w:val="24"/>
        </w:rPr>
        <w:t xml:space="preserve">)  Any materially false or fraudulent claim or cost report for the furnishing of services or merchandise; or (ii)  Presenting or causing to be presented for preauthorization or payment, any claim or cost report for medically unnecessary services or merchandise; or (iii)  submitting or causing to be submitted materially false or fraudulent information, for the intentional purpose(s) of obtaining greater compensation than that to which the provider is legally entitled for the furnishing of services or merchandise; or (iv)  submitting or causing to be submitted materially false information for the purpose of obtaining authorization for furnishing services or merchandise; or (v)  submitting or causing to be submitted any claim or cost report or other document which fails to make full disclosure of material information; </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Soliciting, receiving, offering, or paying any remuneration, including any kickback, bribe, or rebate, directly or indirectly, in cash or in kind, to induce referrals from or to any person in return for furnishing of services or merchandise or in return for referring an individual to a person for the furnishing of any services or merchandise for which payment may be made, in whole or in part, under the Rhode Island Medicaid program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be submitted a duplicate claim for services, supplies, or merchandise to the Rhode Island Medicaid program for which the provider has already received or claimed reimbursement from any source, unless the duplicate claim is filed</w:t>
      </w:r>
    </w:p>
    <w:p>
      <w:pPr>
        <w:pStyle w:val="ListParagraph"/>
        <w:widowControl w:val="false"/>
        <w:numPr>
          <w:ilvl w:val="0"/>
          <w:numId w:val="824"/>
        </w:numPr>
        <w:overflowPunct w:val="false"/>
        <w:autoSpaceDE w:val="false"/>
        <w:autoSpaceDN w:val="false"/>
        <w:adjustRightInd w:val="false"/>
        <w:spacing w:after="0" w:line="249" w:lineRule="auto"/>
        <w:ind w:left="2520" w:hanging="90"/>
        <w:jc w:val="both"/>
        <w:rPr>
          <w:rFonts w:ascii="Verdana" w:hAnsi="Verdana" w:eastAsia="Verdana" w:cs="Verdana"/>
          <w:sz w:val="24"/>
          <w:szCs w:val="24"/>
        </w:rPr>
      </w:pPr>
      <w:r>
        <w:rPr>
          <w:rFonts w:ascii="Verdana" w:hAnsi="Verdana" w:eastAsia="Verdana" w:cs="Verdana"/>
          <w:sz w:val="24"/>
          <w:szCs w:val="24"/>
        </w:rPr>
        <w:t xml:space="preserve">For payment of more than one type of service or </w:t>
      </w:r>
      <w:r>
        <w:rPr>
          <w:rFonts w:ascii="Verdana" w:hAnsi="Verdana" w:eastAsia="Verdana" w:cs="Verdana"/>
          <w:sz w:val="24"/>
          <w:szCs w:val="24"/>
        </w:rPr>
        <w:t xml:space="preserve">merchandise furnished or rendered to a recipient for which the use of more than one type of claim is necessary; or</w:t>
      </w:r>
    </w:p>
    <w:p>
      <w:pPr>
        <w:pStyle w:val="ListParagraph"/>
        <w:widowControl w:val="false"/>
        <w:numPr>
          <w:ilvl w:val="0"/>
          <w:numId w:val="824"/>
        </w:numPr>
        <w:overflowPunct w:val="false"/>
        <w:autoSpaceDE w:val="false"/>
        <w:autoSpaceDN w:val="false"/>
        <w:adjustRightInd w:val="false"/>
        <w:spacing w:after="0" w:line="249" w:lineRule="auto"/>
        <w:ind w:left="2520" w:hanging="90"/>
        <w:jc w:val="both"/>
        <w:rPr>
          <w:rFonts w:ascii="Verdana" w:hAnsi="Verdana" w:eastAsia="Verdana" w:cs="Verdana"/>
          <w:sz w:val="24"/>
          <w:szCs w:val="24"/>
        </w:rPr>
      </w:pPr>
      <w:r>
        <w:rPr>
          <w:rFonts w:ascii="Verdana" w:hAnsi="Verdana" w:eastAsia="Verdana" w:cs="Verdana"/>
          <w:sz w:val="24"/>
          <w:szCs w:val="24"/>
        </w:rPr>
        <w:t xml:space="preserve">Because of a lack of a response from or a request by the Rhode Island Medicaid program; provided, however, in such instance a duplicate claim will clearly be identified as such, in writing, by the provider; or</w:t>
      </w:r>
    </w:p>
    <w:p>
      <w:pPr>
        <w:pStyle w:val="ListParagraph"/>
        <w:widowControl w:val="false"/>
        <w:numPr>
          <w:ilvl w:val="0"/>
          <w:numId w:val="824"/>
        </w:numPr>
        <w:overflowPunct w:val="false"/>
        <w:autoSpaceDE w:val="false"/>
        <w:autoSpaceDN w:val="false"/>
        <w:adjustRightInd w:val="false"/>
        <w:spacing w:after="0" w:line="249" w:lineRule="auto"/>
        <w:ind w:left="2520" w:hanging="90"/>
        <w:jc w:val="both"/>
        <w:rPr>
          <w:rFonts w:ascii="Verdana" w:hAnsi="Verdana" w:eastAsia="Verdana" w:cs="Verdana"/>
          <w:sz w:val="24"/>
          <w:szCs w:val="24"/>
        </w:rPr>
      </w:pPr>
      <w:r>
        <w:rPr>
          <w:rFonts w:ascii="Verdana" w:hAnsi="Verdana" w:eastAsia="Verdana" w:cs="Verdana"/>
          <w:sz w:val="24"/>
          <w:szCs w:val="24"/>
        </w:rPr>
        <w:t xml:space="preserve">Simultaneous with a claim submission to another source of payment when the provider has knowledge that the other payor will not pay the claim.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the Rhode Island Medicaid program a claim for service or merchandise which was not rendered to a recipient.</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be submitted to the Rhode Island Medicaid program a claim for services or merchandise which includes costs or charges not related to the provision or rendering of services or merchandise to the recipient.</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be submitted a claim or refer a recipient to a person for services or merchandise under the Rhode Island Medicaid program which are intentionally not documented in the provider's record and/or are medically unnecessary.</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the Rhode Island Medicaid program a claim which materially misrepresents:</w:t>
      </w:r>
    </w:p>
    <w:p>
      <w:pPr>
        <w:pStyle w:val="ListParagraph"/>
        <w:widowControl w:val="false"/>
        <w:numPr>
          <w:ilvl w:val="0"/>
          <w:numId w:val="825"/>
        </w:numPr>
        <w:overflowPunct w:val="false"/>
        <w:autoSpaceDE w:val="false"/>
        <w:autoSpaceDN w:val="false"/>
        <w:adjustRightInd w:val="false"/>
        <w:spacing w:after="0" w:line="249" w:lineRule="auto"/>
        <w:ind w:left="2520" w:hanging="360"/>
        <w:jc w:val="both"/>
        <w:rPr>
          <w:rFonts w:ascii="Verdana" w:hAnsi="Verdana" w:eastAsia="Verdana" w:cs="Verdana"/>
          <w:sz w:val="24"/>
          <w:szCs w:val="24"/>
        </w:rPr>
      </w:pPr>
      <w:r>
        <w:rPr>
          <w:rFonts w:ascii="Verdana" w:hAnsi="Verdana" w:eastAsia="Verdana" w:cs="Verdana"/>
          <w:sz w:val="24"/>
          <w:szCs w:val="24"/>
        </w:rPr>
        <w:t xml:space="preserve">The description of services or merchandise rendered or provided to a recipient;</w:t>
      </w:r>
    </w:p>
    <w:p>
      <w:pPr>
        <w:pStyle w:val="ListParagraph"/>
        <w:widowControl w:val="false"/>
        <w:numPr>
          <w:ilvl w:val="0"/>
          <w:numId w:val="825"/>
        </w:numPr>
        <w:overflowPunct w:val="false"/>
        <w:autoSpaceDE w:val="false"/>
        <w:autoSpaceDN w:val="false"/>
        <w:adjustRightInd w:val="false"/>
        <w:spacing w:after="0" w:line="249" w:lineRule="auto"/>
        <w:ind w:left="2520" w:hanging="360"/>
        <w:jc w:val="both"/>
        <w:rPr>
          <w:rFonts w:ascii="Verdana" w:hAnsi="Verdana" w:eastAsia="Verdana" w:cs="Verdana"/>
          <w:sz w:val="24"/>
          <w:szCs w:val="24"/>
        </w:rPr>
      </w:pPr>
      <w:r>
        <w:rPr>
          <w:rFonts w:ascii="Verdana" w:hAnsi="Verdana" w:eastAsia="Verdana" w:cs="Verdana"/>
          <w:sz w:val="24"/>
          <w:szCs w:val="24"/>
        </w:rPr>
        <w:t xml:space="preserve">The cost of the services or merchandise rendered or provided to a recipient;</w:t>
      </w:r>
    </w:p>
    <w:p>
      <w:pPr>
        <w:pStyle w:val="ListParagraph"/>
        <w:widowControl w:val="false"/>
        <w:numPr>
          <w:ilvl w:val="0"/>
          <w:numId w:val="825"/>
        </w:numPr>
        <w:overflowPunct w:val="false"/>
        <w:autoSpaceDE w:val="false"/>
        <w:autoSpaceDN w:val="false"/>
        <w:adjustRightInd w:val="false"/>
        <w:spacing w:after="0" w:line="249" w:lineRule="auto"/>
        <w:ind w:left="2520" w:hanging="360"/>
        <w:jc w:val="both"/>
        <w:rPr>
          <w:rFonts w:ascii="Verdana" w:hAnsi="Verdana" w:eastAsia="Verdana" w:cs="Verdana"/>
          <w:sz w:val="24"/>
          <w:szCs w:val="24"/>
        </w:rPr>
      </w:pPr>
      <w:r>
        <w:rPr>
          <w:rFonts w:ascii="Verdana" w:hAnsi="Verdana" w:eastAsia="Verdana" w:cs="Verdana"/>
          <w:sz w:val="24"/>
          <w:szCs w:val="24"/>
        </w:rPr>
        <w:t xml:space="preserve">The dates that the services or merchandise were rendered or provided to a recipient;</w:t>
      </w:r>
    </w:p>
    <w:p>
      <w:pPr>
        <w:pStyle w:val="ListParagraph"/>
        <w:widowControl w:val="false"/>
        <w:numPr>
          <w:ilvl w:val="0"/>
          <w:numId w:val="825"/>
        </w:numPr>
        <w:overflowPunct w:val="false"/>
        <w:autoSpaceDE w:val="false"/>
        <w:autoSpaceDN w:val="false"/>
        <w:adjustRightInd w:val="false"/>
        <w:spacing w:after="0" w:line="249" w:lineRule="auto"/>
        <w:ind w:left="2520" w:hanging="360"/>
        <w:jc w:val="both"/>
        <w:rPr>
          <w:rFonts w:ascii="Verdana" w:hAnsi="Verdana" w:eastAsia="Verdana" w:cs="Verdana"/>
          <w:sz w:val="24"/>
          <w:szCs w:val="24"/>
        </w:rPr>
      </w:pPr>
      <w:r>
        <w:rPr>
          <w:rFonts w:ascii="Verdana" w:hAnsi="Verdana" w:eastAsia="Verdana" w:cs="Verdana"/>
          <w:sz w:val="24"/>
          <w:szCs w:val="24"/>
        </w:rPr>
        <w:t xml:space="preserve">The identity of the recipient(s) of the services or merchandise; or</w:t>
      </w:r>
    </w:p>
    <w:p>
      <w:pPr>
        <w:pStyle w:val="ListParagraph"/>
        <w:widowControl w:val="false"/>
        <w:numPr>
          <w:ilvl w:val="0"/>
          <w:numId w:val="825"/>
        </w:numPr>
        <w:overflowPunct w:val="false"/>
        <w:autoSpaceDE w:val="false"/>
        <w:autoSpaceDN w:val="false"/>
        <w:adjustRightInd w:val="false"/>
        <w:spacing w:after="0" w:line="249" w:lineRule="auto"/>
        <w:ind w:left="2520" w:hanging="360"/>
        <w:jc w:val="both"/>
        <w:rPr>
          <w:rFonts w:ascii="Verdana" w:hAnsi="Verdana" w:eastAsia="Verdana" w:cs="Verdana"/>
          <w:sz w:val="24"/>
          <w:szCs w:val="24"/>
        </w:rPr>
      </w:pPr>
      <w:r>
        <w:rPr>
          <w:rFonts w:ascii="Verdana" w:hAnsi="Verdana" w:eastAsia="Verdana" w:cs="Verdana"/>
          <w:sz w:val="24"/>
          <w:szCs w:val="24"/>
        </w:rPr>
        <w:t xml:space="preserve">The identity of the attending, prescribing, or referring practitioner or the identity of the actual provider.</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a claim for reimbursement to the Rhode Island Medicaid program for service(s) or merchandise at a fee or charge, which exceeds the provider's lowest fee or charge for the provision of the service or merchandise to the general public.</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Submitting or causing to be submitted to the Rhode Island Medicaid program a claim for a service or merchandise which was not rendered by the provider, unless the claim is </w:t>
      </w:r>
      <w:r>
        <w:rPr>
          <w:rFonts w:ascii="Verdana" w:hAnsi="Verdana" w:eastAsia="Verdana" w:cs="Verdana"/>
          <w:sz w:val="24"/>
          <w:szCs w:val="24"/>
        </w:rPr>
        <w:t xml:space="preserve">submitted on behalf of:</w:t>
      </w:r>
    </w:p>
    <w:p>
      <w:pPr>
        <w:pStyle w:val="ListParagraph"/>
        <w:widowControl w:val="false"/>
        <w:numPr>
          <w:ilvl w:val="0"/>
          <w:numId w:val="826"/>
        </w:numPr>
        <w:overflowPunct w:val="false"/>
        <w:autoSpaceDE w:val="false"/>
        <w:autoSpaceDN w:val="false"/>
        <w:adjustRightInd w:val="false"/>
        <w:spacing w:after="0" w:line="249" w:lineRule="auto"/>
        <w:ind w:left="2430" w:hanging="270"/>
        <w:jc w:val="both"/>
        <w:rPr>
          <w:rFonts w:ascii="Verdana" w:hAnsi="Verdana" w:eastAsia="Verdana" w:cs="Verdana"/>
          <w:sz w:val="24"/>
          <w:szCs w:val="24"/>
        </w:rPr>
      </w:pPr>
      <w:r>
        <w:rPr>
          <w:rFonts w:ascii="Verdana" w:hAnsi="Verdana" w:eastAsia="Verdana" w:cs="Verdana"/>
          <w:sz w:val="24"/>
          <w:szCs w:val="24"/>
        </w:rPr>
        <w:t xml:space="preserve">A bona fide provider employee of such provider; or</w:t>
      </w:r>
    </w:p>
    <w:p>
      <w:pPr>
        <w:pStyle w:val="ListParagraph"/>
        <w:widowControl w:val="false"/>
        <w:numPr>
          <w:ilvl w:val="0"/>
          <w:numId w:val="826"/>
        </w:numPr>
        <w:overflowPunct w:val="false"/>
        <w:autoSpaceDE w:val="false"/>
        <w:autoSpaceDN w:val="false"/>
        <w:adjustRightInd w:val="false"/>
        <w:spacing w:after="0" w:line="249" w:lineRule="auto"/>
        <w:ind w:left="2430" w:hanging="270"/>
        <w:jc w:val="both"/>
        <w:rPr>
          <w:rFonts w:ascii="Verdana" w:hAnsi="Verdana" w:eastAsia="Verdana" w:cs="Verdana"/>
          <w:sz w:val="24"/>
          <w:szCs w:val="24"/>
        </w:rPr>
      </w:pPr>
      <w:r>
        <w:rPr>
          <w:rFonts w:ascii="Verdana" w:hAnsi="Verdana" w:eastAsia="Verdana" w:cs="Verdana"/>
          <w:sz w:val="24"/>
          <w:szCs w:val="24"/>
        </w:rPr>
        <w:t xml:space="preserve">An affiliated provider entity owned or controlled by the provider; or</w:t>
      </w:r>
    </w:p>
    <w:p>
      <w:pPr>
        <w:pStyle w:val="ListParagraph"/>
        <w:widowControl w:val="false"/>
        <w:numPr>
          <w:ilvl w:val="0"/>
          <w:numId w:val="826"/>
        </w:numPr>
        <w:overflowPunct w:val="false"/>
        <w:autoSpaceDE w:val="false"/>
        <w:autoSpaceDN w:val="false"/>
        <w:adjustRightInd w:val="false"/>
        <w:spacing w:after="0" w:line="249" w:lineRule="auto"/>
        <w:ind w:left="2430" w:hanging="270"/>
        <w:jc w:val="both"/>
        <w:rPr>
          <w:rFonts w:ascii="Verdana" w:hAnsi="Verdana" w:eastAsia="Verdana" w:cs="Verdana"/>
          <w:sz w:val="24"/>
          <w:szCs w:val="24"/>
        </w:rPr>
      </w:pPr>
      <w:r>
        <w:rPr>
          <w:rFonts w:ascii="Verdana" w:hAnsi="Verdana" w:eastAsia="Verdana" w:cs="Verdana"/>
          <w:sz w:val="24"/>
          <w:szCs w:val="24"/>
        </w:rPr>
        <w:t xml:space="preserve">Is submitted on behalf of a provider by a third-party billing service under a written agreement with the provider, and the claims are submitted in a manner which does not otherwise violate the provisions of this law.</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Rendering or providing services or merchandise under the Rhode Island Medicaid program unless otherwise authorized by the regulations of the Rhode Island Medicaid program without a provider's written order and the recipient's consent, or submitting or causing to be submitted a claim for services or merchandise, except in emergency situations or when the recipient is a minor or is incompetent to give consent. The type of consent to be required hereunder can include verbal acquiescence of the recipient and need not require a signed consent form or the recipient's signature, except where otherwise required by the regulations of the Rhode Island Medicaid program.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Charging any recipient or person acting on behalf of a recipient, money or other consideration in addition to, or in excess of the rates of remuneration established under the Rhode Island Medicaid program.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Entering into an agreement, combination or conspiracy with any party other than the Rhode Island Medicaid program to obtain or aid another to obtain reimbursement or payments from the Rhode Island Medicaid program to which the person, recipient, or provider seeking reimbursement or payment is not entitled.</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Making a material false statement in the application for enrollment as a provider under the Rhode Island Medicaid program.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Refusing to provide representatives of the Medicaid fraud control unit upon reasonable request, access to information and data pertaining to services or merchandise rendered to eligible recipients, and/or former recipients while recipients under the Rhode Island Medicaid program.</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Obtaining any monies by false pretenses through the use of any artifice, scheme, or design prohibited by this section.</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Seeking or obtaining employment with or as a provider after having actual or constructive knowledge of a then existing </w:t>
      </w:r>
      <w:r>
        <w:rPr>
          <w:rFonts w:ascii="Verdana" w:hAnsi="Verdana" w:eastAsia="Verdana" w:cs="Verdana"/>
          <w:sz w:val="24"/>
          <w:szCs w:val="24"/>
        </w:rPr>
        <w:t xml:space="preserve">exclusion issued under the authority of 42 U.S.C. § 1320a-7.</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Granting or offering to grant employment in violation of a then existing exclusion issued under the authority of 42 U.S.C. § 1320a-7, having actual or constructive knowledge of the existence of such exclusion.</w:t>
      </w:r>
    </w:p>
    <w:p>
      <w:pPr>
        <w:pStyle w:val="ListParagraph"/>
        <w:widowControl w:val="false"/>
        <w:numPr>
          <w:ilvl w:val="0"/>
          <w:numId w:val="823"/>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Filing a false document to gain employment in a Medicaid funded facility or with a provider.</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Extent of Liability</w:t>
      </w:r>
      <w:r>
        <w:rPr>
          <w:rFonts w:ascii="Verdana" w:hAnsi="Verdana" w:eastAsia="Verdana" w:cs="Verdana"/>
          <w:sz w:val="24"/>
          <w:szCs w:val="24"/>
        </w:rPr>
        <w:tab/>
        <w:t xml:space="preserve"/>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Whenever a provider is sentenced or placed on probation for an offense under the RI MAFL, the trial judge may at his/her discretion order that the provider be permanently barred from further participation in the program, the participation be suspended for not longer than two years, or that the provider conform to applicable federal regulations.</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Penalty for Unlawful Conduct</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 provider or person in violation of RI MAFL, depending on the severity of the violation, is guilty of a felony and liable for up to $10,000 in civil fines and upon conviction therefor, shall be sentenced to a term of imprisonment not exceeding ten (10) years, or is guilty of a misdemeanor and liable of up to $500 in civil fines. </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When the cost of the services provided to the patient is being paid under the Rhode Island Medicaid program, any person who knowingly and willfully:</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Charges a patient or anyone acting on behalf of a patient money or other consideration at a rate in excess of the rates established by the state of Rhode Island;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Charges, solicits, accepts, or receives, in addition to any amount otherwise required to be paid under the Rhode Island Medicaid program, any gift, money, or donation as a precondition of the admission of a patient to a hospital, skilled nursing facility or intermediate care facility, or of the continued stay in a facility,</w:t>
      </w:r>
    </w:p>
    <w:p>
      <w:pPr>
        <w:widowControl w:val="false"/>
        <w:overflowPunct w:val="false"/>
        <w:autoSpaceDE w:val="false"/>
        <w:autoSpaceDN w:val="false"/>
        <w:adjustRightInd w:val="false"/>
        <w:spacing w:after="0" w:line="249" w:lineRule="auto"/>
        <w:ind w:left="2232"/>
        <w:rPr>
          <w:rFonts w:ascii="Verdana" w:hAnsi="Verdana" w:eastAsia="Verdana" w:cs="Verdana"/>
          <w:szCs w:val="24"/>
        </w:rPr>
      </w:pPr>
      <w:r>
        <w:rPr>
          <w:rFonts w:ascii="Verdana" w:hAnsi="Verdana" w:eastAsia="Verdana" w:cs="Verdana"/>
          <w:szCs w:val="24"/>
        </w:rPr>
        <w:t xml:space="preserve">shall be liable in a civil action to the patient or person acting on his or her behalf for an amount equal to three (3) times the amount of the charge.</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Any person, including the Rhode Island Medicaid program, injured by any violation of RI MAFL may recover from the person inflicting injury, through a civil action three times the amount of the injury.</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Medicaid program may suspend payments if:</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provider does not meet certification requirements of the Rhode Island Medicaid program;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Medicaid program has been unable to collect (or make satisfactory arrangements for the collection of) amounts due on account of overpayments to any provider;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office of program integrity and/or the Medicaid fraud control unit of the attorney general’s office has been unable to obtain, from a provider, the data and information necessary to enable it to determine the existence or amount (if any) of the overpayments made to a provider;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office of program integrity or the Medicaid fund control unit of the attorney general’s office has been denied reasonable access to information by a provider which pertains to a patient or resident of a long term residential care facility or to a former patient or resident of a long term residential care facility;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office of program integrity and/or the Medicaid fraud control unit of the attorney general’s office has been denied reasonable access to data and information by the provider for the purpose of conducting activities as described in § 1903(g) of the Social Security Act, 42 U.S.C. § 1396b(g); or</w:t>
      </w:r>
    </w:p>
    <w:p>
      <w:pPr>
        <w:pStyle w:val="ListParagraph"/>
        <w:widowControl w:val="false"/>
        <w:numPr>
          <w:ilvl w:val="3"/>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office of program integrity has been presented with reliable evidence that the provider has engaged in fraud or willful misrepresentation under the Medicaid program.</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False Statements Made to Gain Certification</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RI MAFL prohibits knowingly and willfully making or causing to be made, inducing or seeking to induce the making of any false statement or representation of a material fact with respect to the conditions or operation of any institution or facility in order that the institution or facility may qualify as a home health agency, intermediate care facility, hospital or skilled nursing facility.</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Such violations are a misdemeanor, and punishable by a fine up to $500 and/or up to 6 months in jail.</w:t>
      </w:r>
    </w:p>
    <w:p>
      <w:pPr>
        <w:pStyle w:val="ListParagraph"/>
        <w:widowControl w:val="false"/>
        <w:numPr>
          <w:ilvl w:val="0"/>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Whistleblowers’ Protection Act (R.I. Gen. Laws § 28-50-1 </w:t>
      </w:r>
      <w:r>
        <w:rPr>
          <w:rFonts w:ascii="Verdana" w:hAnsi="Verdana" w:eastAsia="Verdana" w:cs="Verdana"/>
          <w:i/>
          <w:iCs/>
          <w:sz w:val="24"/>
          <w:szCs w:val="24"/>
        </w:rPr>
        <w:t xml:space="preserve">et seq</w:t>
      </w:r>
      <w:r>
        <w:rPr>
          <w:rFonts w:ascii="Verdana" w:hAnsi="Verdana" w:eastAsia="Verdana" w:cs="Verdana"/>
          <w:sz w:val="24"/>
          <w:szCs w:val="24"/>
        </w:rPr>
        <w:t xml:space="preserve">.)</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Rhode Island Whistleblowers’ Protection Act (“RIWPA”) prohibits, an employer from discharging, threatening, or otherwise </w:t>
      </w:r>
      <w:r>
        <w:rPr>
          <w:rFonts w:ascii="Verdana" w:hAnsi="Verdana" w:eastAsia="Verdana" w:cs="Verdana"/>
          <w:sz w:val="24"/>
          <w:szCs w:val="24"/>
        </w:rPr>
        <w:t xml:space="preserve">discriminating against an employee regarding the employee's compensation, terms, conditions, location, or privileges of employment:(1)  Because the employee, or a person acting on behalf of the employee, reports or is about to report to a public body, verbally or in writing, a violation which the employee knows or reasonably believes has occurred or is about to occur, of a law or regulation or rule promulgated under the law of Rhode Island, a political subdivision of Rhode Island, or the United States, unless the employee knows or has reason to know that the report is false, or (2)  Because an employee is requested by a public body to participate in an investigation, hearing, or inquiry held by that public body, or a court action, or (3)  Because an employee refuses to violate or assist in violating federal, state or local law, rule or regulation, or (4) Because the employee reports verbally or in writing to the employer or to the employee’s supervisor a violation, which the employee knows or reasonably believes has occurred or is about to occur, of a law or regulation or rule promulgated under the laws of Rhode Island, a political subdivision of Rhode Island, or the United States, unless the employee knows or has reason to know that the report is false. Provided, that if the report is verbally made, the employee must establish by clear and convincing evidence that the report was made.</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Relief and damages. A person who alleges a violation of the RIWPA may bring a civil action for appropriate injunctive relief, or actual damages, or both within three (3) years after the occurrence of the alleged violation of the RIWPA in the superior court for the county where the alleged violation occurred, the county where the complainant resides, or the county where the person against whom the civil complaint is filed resides or has their principal place of business.</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Reinstatement. A court, in rendering a judgment in an action brought under the RIWPA, shall order, as the court considers appropriate, reinstatement of the employee, the payment of back wages, full reinstatement of fringe benefits and seniority rights, actual damages, or any combination of these remedies. A court may also award the complainant all or a portion of the costs of litigation, including attorneys' fees if the court determines that the award is appropriate.</w:t>
      </w:r>
    </w:p>
    <w:p>
      <w:pPr>
        <w:pStyle w:val="ListParagraph"/>
        <w:widowControl w:val="false"/>
        <w:numPr>
          <w:ilvl w:val="0"/>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Financial Interest Disclosure (R.I. Gen. Laws § 23-17-46).</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Requires any licensed health care facility which refers clients to another licensed health care facility, or to a licensed residential care/assisted living facility, or to a certified adult day care program </w:t>
      </w:r>
      <w:r>
        <w:rPr>
          <w:rFonts w:ascii="Verdana" w:hAnsi="Verdana" w:eastAsia="Verdana" w:cs="Verdana"/>
          <w:sz w:val="24"/>
          <w:szCs w:val="24"/>
        </w:rPr>
        <w:t xml:space="preserve">in which the referring entity has a financial interest to, at the time a referral is made, disclose, in writing, the following information to the patient: </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that the referring entity has a financial interest in the facility or provider to which the referral is being made; </w:t>
      </w:r>
    </w:p>
    <w:p>
      <w:pPr>
        <w:pStyle w:val="ListParagraph"/>
        <w:widowControl w:val="false"/>
        <w:numPr>
          <w:ilvl w:val="2"/>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that the patient has the option of seeking care from a different facility or provider which is also licensed and/or certified by the state to provide similar services to the client.   </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The referring entity shall also offer the client a written list prepared by the department of all alternative licensed and/or certified facilities or providers.   </w:t>
      </w:r>
    </w:p>
    <w:p>
      <w:pPr>
        <w:pStyle w:val="ListParagraph"/>
        <w:widowControl w:val="false"/>
        <w:numPr>
          <w:ilvl w:val="1"/>
          <w:numId w:val="814"/>
        </w:numPr>
        <w:overflowPunct w:val="false"/>
        <w:autoSpaceDE w:val="false"/>
        <w:autoSpaceDN w:val="false"/>
        <w:adjustRightInd w:val="false"/>
        <w:spacing w:after="0" w:line="249" w:lineRule="auto"/>
        <w:jc w:val="both"/>
        <w:rPr>
          <w:rFonts w:ascii="Verdana" w:hAnsi="Verdana" w:eastAsia="Verdana" w:cs="Verdana"/>
          <w:sz w:val="24"/>
          <w:szCs w:val="24"/>
        </w:rPr>
      </w:pPr>
      <w:r>
        <w:rPr>
          <w:rFonts w:ascii="Verdana" w:hAnsi="Verdana" w:eastAsia="Verdana" w:cs="Verdana"/>
          <w:sz w:val="24"/>
          <w:szCs w:val="24"/>
        </w:rPr>
        <w:t xml:space="preserve">Noncompliance with this section shall constitute grounds to revoke, suspend or otherwise discipline the licensee or to deny an application for licensure by the director, or may result in imposition of an administrative penalty. </w:t>
      </w:r>
    </w:p>
    <w:p>
      <w:pPr>
        <w:widowControl w:val="false"/>
        <w:autoSpaceDE w:val="false"/>
        <w:autoSpaceDN w:val="false"/>
        <w:adjustRightInd w:val="false"/>
        <w:spacing w:after="0" w:line="243" w:lineRule="exact"/>
        <w:rPr>
          <w:rFonts w:ascii="Verdana" w:hAnsi="Verdana" w:eastAsia="Verdana" w:cs="Times New Roman"/>
          <w:szCs w:val="24"/>
        </w:rPr>
      </w:pPr>
    </w:p>
    <w:p>
      <w:pPr>
        <w:pStyle w:val="ListParagraph"/>
        <w:widowControl w:val="false"/>
        <w:overflowPunct w:val="false"/>
        <w:autoSpaceDE w:val="false"/>
        <w:autoSpaceDN w:val="false"/>
        <w:adjustRightInd w:val="false"/>
        <w:spacing w:after="0" w:line="250" w:lineRule="auto"/>
        <w:ind w:left="1296"/>
        <w:jc w:val="both"/>
        <w:rPr>
          <w:rFonts w:ascii="Verdana" w:hAnsi="Verdana" w:eastAsia="Verdana" w:cs="Verdana"/>
          <w:color w:val="FF0000"/>
          <w:sz w:val="24"/>
          <w:szCs w:val="24"/>
        </w:rPr>
        <w:sectPr>
          <w:headerReference w:type="default" r:id="rId69"/>
          <w:footerReference w:type="default" r:id="rId70"/>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1"/>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71"/>
          <w:footerReference w:type="default" r:id="rId7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4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4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4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4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9"/>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8"/>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3"/>
          <w:footerReference w:type="default" r:id="rId74"/>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5"/>
          <w:footerReference w:type="default" r:id="rId76"/>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1"/>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8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8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8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8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8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1"/>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1"/>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2"/>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2"/>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2"/>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2"/>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7"/>
          <w:footerReference w:type="default" r:id="rId7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4"/>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4"/>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5"/>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9"/>
          <w:footerReference w:type="default" r:id="rId8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6"/>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81"/>
          <w:footerReference w:type="default" r:id="rId8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2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2"/>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2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2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2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2"/>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70"/>
        </w:numPr>
        <w:overflowPunct w:val="false"/>
        <w:autoSpaceDE w:val="false"/>
        <w:autoSpaceDN w:val="false"/>
        <w:adjustRightInd w:val="false"/>
        <w:spacing w:after="0" w:line="263" w:lineRule="auto"/>
        <w:rPr>
          <w:rFonts w:ascii="Verdana" w:hAnsi="Verdana" w:eastAsia="Verdana" w:cs="Verdana"/>
          <w:szCs w:val="24"/>
        </w:rPr>
        <w:sectPr>
          <w:headerReference w:type="default" r:id="rId83"/>
          <w:footerReference w:type="default" r:id="rId8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7"/>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7"/>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7"/>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7"/>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 </w:t>
      </w:r>
      <w:r>
        <w:rPr>
          <w:rFonts w:ascii="Verdana" w:hAnsi="Verdana" w:eastAsia="Verdana" w:cs="Verdana"/>
          <w:szCs w:val="24"/>
        </w:rPr>
        <w:t xml:space="preserve">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5"/>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4"/>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color w:val="FF0000"/>
          <w:szCs w:val="24"/>
        </w:rPr>
        <w:t xml:space="preserve">or OMIG</w:t>
      </w:r>
      <w:r>
        <w:rPr>
          <w:rFonts w:ascii="Verdana" w:hAnsi="Verdana" w:eastAsia="Verdana" w:cs="Verdana"/>
          <w:szCs w:val="24"/>
        </w:rPr>
        <w:t xml:space="preserve"> staff can </w:t>
      </w:r>
      <w:r>
        <w:rPr>
          <w:rFonts w:ascii="Verdana" w:hAnsi="Verdana" w:eastAsia="Verdana" w:cs="Verdana"/>
          <w:szCs w:val="24"/>
        </w:rPr>
        <w:t xml:space="preserve">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8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8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2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2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5"/>
          <w:footerReference w:type="default" r:id="rId86"/>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9"/>
          <w:footerReference w:type="default" r:id="rId90"/>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91"/>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92"/>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93"/>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4"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5"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5"/>
    <w:p>
      <w:pPr>
        <w:numPr>
          <w:ilvl w:val="0"/>
          <w:numId w:val="267"/>
        </w:numPr>
        <w:spacing/>
        <w:ind w:left="540" w:hanging="180"/>
        <w:contextualSpacing/>
        <w:rPr>
          <w:rFonts w:ascii="Verdana" w:hAnsi="Verdana" w:eastAsia="Verdana"/>
          <w:sz w:val="20"/>
          <w:szCs w:val="20"/>
        </w:rPr>
      </w:pPr>
      <w:bookmarkStart w:id="26"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7"/>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6"/>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6"/>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6"/>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6"/>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6"/>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6"/>
        </w:numPr>
        <w:spacing/>
        <w:ind w:left="540" w:hanging="180"/>
        <w:contextualSpacing/>
        <w:rPr>
          <w:rFonts w:ascii="Verdana" w:hAnsi="Verdana" w:eastAsia="Verdana"/>
          <w:sz w:val="20"/>
          <w:szCs w:val="20"/>
        </w:rPr>
        <w:sectPr>
          <w:headerReference w:type="default" r:id="rId94"/>
          <w:footerReference w:type="default" r:id="rId95"/>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4"/>
      <w:bookmarkEnd w:id="26"/>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6"/>
          <w:footerReference w:type="default" r:id="rId97"/>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8"/>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8"/>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8"/>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8"/>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8"/>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The Human Resources Department shall notify the Compliance and Ethics Officer and the Facility’s legal counsel of any matches found during any of the above screening processes. If a potential employee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7"/>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7"/>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w:t>
      </w:r>
      <w:r>
        <w:rPr>
          <w:rFonts w:ascii="Verdana" w:hAnsi="Verdana" w:eastAsia="Verdana" w:cs="Times New Roman"/>
          <w:lang w:bidi="ar-SA"/>
        </w:rPr>
        <w:t xml:space="preserve">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7"/>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7"/>
        </w:numPr>
        <w:spacing w:after="200"/>
        <w:rPr>
          <w:rFonts w:ascii="Verdana" w:hAnsi="Verdana" w:eastAsia="Verdana" w:cs="Times New Roman"/>
          <w:szCs w:val="24"/>
          <w:lang w:bidi="ar-SA"/>
        </w:rPr>
        <w:sectPr>
          <w:headerReference w:type="default" r:id="rId98"/>
          <w:footerReference w:type="default" r:id="rId99"/>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90"/>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9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90"/>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9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90"/>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100"/>
          <w:footerReference w:type="default" r:id="rId101"/>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3"/>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102"/>
          <w:footerReference w:type="default" r:id="rId10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9"/>
        </w:numPr>
        <w:overflowPunct w:val="false"/>
        <w:autoSpaceDE w:val="false"/>
        <w:autoSpaceDN w:val="false"/>
        <w:adjustRightInd w:val="false"/>
        <w:spacing w:after="0" w:line="256" w:lineRule="auto"/>
        <w:rPr>
          <w:rFonts w:ascii="Verdana" w:hAnsi="Verdana" w:eastAsia="Verdana" w:cs="Verdana"/>
          <w:szCs w:val="24"/>
        </w:rPr>
        <w:sectPr>
          <w:headerReference w:type="default" r:id="rId104"/>
          <w:footerReference w:type="default" r:id="rId105"/>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4"/>
        </w:numPr>
        <w:overflowPunct w:val="false"/>
        <w:autoSpaceDE w:val="false"/>
        <w:autoSpaceDN w:val="false"/>
        <w:adjustRightInd w:val="false"/>
        <w:spacing w:after="0" w:line="256" w:lineRule="auto"/>
        <w:rPr>
          <w:rFonts w:ascii="Verdana" w:hAnsi="Verdana" w:eastAsia="Verdana" w:cs="Verdana"/>
          <w:szCs w:val="24"/>
        </w:rPr>
        <w:sectPr>
          <w:headerReference w:type="default" r:id="rId106"/>
          <w:footerReference w:type="default" r:id="rId10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6"/>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6"/>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6"/>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6"/>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6"/>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6"/>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8"/>
          <w:footerReference w:type="even" r:id="rId109"/>
          <w:headerReference w:type="default" r:id="rId110"/>
          <w:footerReference w:type="default" r:id="rId111"/>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12"/>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7"/>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3"/>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3"/>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3"/>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3"/>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3"/>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3"/>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3"/>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13"/>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14"/>
          <w:footerReference w:type="even" r:id="rId115"/>
          <w:headerReference w:type="default" r:id="rId116"/>
          <w:footerReference w:type="default" r:id="rId117"/>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8"/>
          <w:footerReference w:type="default" r:id="rId119"/>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5"/>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5"/>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7"/>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7"/>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7"/>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7"/>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7"/>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1"/>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1"/>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1"/>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4"/>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4"/>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4"/>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4"/>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4"/>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9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3"/>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20"/>
          <w:footerReference w:type="default" r:id="rId121"/>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22"/>
          <w:footerReference w:type="default" r:id="rId12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7"/>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9"/>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9"/>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9"/>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9"/>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7"/>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7"/>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7"/>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7"/>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7"/>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7"/>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7"/>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7"/>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7"/>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7"/>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7"/>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7"/>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7"/>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7"/>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7"/>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6"/>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24"/>
          <w:footerReference w:type="default" r:id="rId125"/>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4"/>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6"/>
          <w:footerReference w:type="default" r:id="rId127"/>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8"/>
          <w:footerReference w:type="default" r:id="rId129"/>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7"/>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7"/>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7"/>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7"/>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7"/>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7"/>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7"/>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30"/>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7"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6"/>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6"/>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7"/>
    <w:p>
      <w:pPr>
        <w:pStyle w:val="MemoTitle"/>
        <w:numPr>
          <w:ilvl w:val="0"/>
          <w:numId w:val="696"/>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6"/>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6"/>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6"/>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6"/>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6"/>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6"/>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6"/>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1"/>
          <w:footerReference w:type="default" r:id="rId132"/>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9"/>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9"/>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9"/>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9"/>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9"/>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9"/>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7"/>
        </w:numPr>
        <w:spacing w:line="240" w:lineRule="auto"/>
        <w:jc w:val="both"/>
        <w:rPr>
          <w:rFonts w:ascii="Verdana" w:hAnsi="Verdana" w:eastAsia="Verdana"/>
          <w:b w:val="0"/>
          <w:bCs/>
          <w:u w:val="none"/>
          <w:lang w:bidi="he-IL"/>
        </w:rPr>
        <w:sectPr>
          <w:headerReference w:type="default" r:id="rId133"/>
          <w:footerReference w:type="default" r:id="rId134"/>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9"/>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9"/>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8"/>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8"/>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5"/>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5"/>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8"/>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7"/>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8"/>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8"/>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8"/>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8"/>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8" w:name="_Hlk497767653"/>
      <w:r>
        <w:rPr>
          <w:rFonts w:ascii="Verdana" w:hAnsi="Verdana" w:eastAsia="Verdana"/>
          <w:sz w:val="24"/>
          <w:szCs w:val="24"/>
        </w:rPr>
        <w:t xml:space="preserve">the State Survey Agency and at least one local law enforcement entity.</w:t>
      </w:r>
      <w:bookmarkEnd w:id="28"/>
      <w:r>
        <w:rPr>
          <w:rFonts w:ascii="Verdana" w:hAnsi="Verdana" w:eastAsia="Verdana"/>
          <w:sz w:val="24"/>
          <w:szCs w:val="24"/>
        </w:rPr>
        <w:t xml:space="preserve">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8"/>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8"/>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8"/>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8"/>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2"/>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2"/>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2"/>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2"/>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3"/>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3"/>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3"/>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50"/>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8"/>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6"/>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6"/>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6"/>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6"/>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2"/>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8"/>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29" w:name="_Hlk487631989"/>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8"/>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29"/>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9"/>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5"/>
          <w:footerReference w:type="default" r:id="rId136"/>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7"/>
          <w:footerReference w:type="first" r:id="rId138"/>
          <w:headerReference w:type="even" r:id="rId139"/>
          <w:footerReference w:type="even" r:id="rId140"/>
          <w:headerReference w:type="default" r:id="rId141"/>
          <w:footerReference w:type="default" r:id="rId14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3"/>
          <w:footerReference w:type="default" r:id="rId14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7"/>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7"/>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7"/>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7"/>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7"/>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7"/>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7"/>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7"/>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7"/>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7"/>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7"/>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7"/>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7"/>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7"/>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7"/>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7"/>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7"/>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7"/>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7"/>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7"/>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7"/>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7"/>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7"/>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7"/>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7"/>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7"/>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7"/>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5"/>
          <w:footerReference w:type="default" r:id="rId1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7"/>
          <w:footerReference w:type="default" r:id="rId14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5"/>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5"/>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5"/>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5"/>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5"/>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5"/>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5"/>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5"/>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5"/>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5"/>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5"/>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5"/>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5"/>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5"/>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5"/>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5"/>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5"/>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5"/>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5"/>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9"/>
          <w:footerReference w:type="default" r:id="rId1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7"/>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7"/>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7"/>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7"/>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7"/>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7"/>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7"/>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7"/>
        </w:numPr>
        <w:spacing w:after="0" w:line="300" w:lineRule="atLeast"/>
        <w:rPr>
          <w:rFonts w:ascii="Verdana" w:hAnsi="Verdana" w:eastAsia="Verdana"/>
          <w:szCs w:val="24"/>
        </w:rPr>
        <w:sectPr>
          <w:headerReference w:type="default" r:id="rId151"/>
          <w:footerReference w:type="default" r:id="rId152"/>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3"/>
          <w:footerReference w:type="default" r:id="rId154"/>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5"/>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5"/>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5"/>
        </w:numPr>
        <w:spacing w:after="0" w:line="300" w:lineRule="atLeast"/>
        <w:rPr>
          <w:rFonts w:ascii="Verdana" w:hAnsi="Verdana" w:eastAsia="Verdana"/>
          <w:szCs w:val="24"/>
        </w:rPr>
        <w:sectPr>
          <w:headerReference w:type="default" r:id="rId155"/>
          <w:footerReference w:type="default" r:id="rId156"/>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7"/>
          <w:footerReference w:type="default" r:id="rId15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3"/>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3"/>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3"/>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3"/>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3"/>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3"/>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3"/>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3"/>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3"/>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3"/>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3"/>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3"/>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3"/>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3"/>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9"/>
          <w:footerReference w:type="default" r:id="rId160"/>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3"/>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8"/>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1"/>
          <w:footerReference w:type="default" r:id="rId162"/>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1"/>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1"/>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80"/>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80"/>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3"/>
          <w:footerReference w:type="default" r:id="rId164"/>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8"/>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8"/>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8"/>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8"/>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8"/>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8"/>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8"/>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8"/>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8"/>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0" w:name="co_anchor_a983454_29"/>
      <w:bookmarkEnd w:id="30"/>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8"/>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8"/>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8"/>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8"/>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8"/>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8"/>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1" w:name="co_anchor_a335490_29"/>
      <w:bookmarkEnd w:id="31"/>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8"/>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8"/>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2" w:name="co_anchor_a638045_29"/>
      <w:bookmarkEnd w:id="32"/>
    </w:p>
    <w:p>
      <w:pPr>
        <w:pStyle w:val="ListParagraph"/>
        <w:numPr>
          <w:ilvl w:val="0"/>
          <w:numId w:val="538"/>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8"/>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3" w:name="co_anchor_a397720_29"/>
      <w:bookmarkEnd w:id="33"/>
    </w:p>
    <w:p>
      <w:pPr>
        <w:pStyle w:val="ListParagraph"/>
        <w:numPr>
          <w:ilvl w:val="0"/>
          <w:numId w:val="538"/>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8"/>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5"/>
          <w:footerReference w:type="default" r:id="rId166"/>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7"/>
          <w:footerReference w:type="first" r:id="rId168"/>
          <w:headerReference w:type="even" r:id="rId169"/>
          <w:footerReference w:type="even" r:id="rId170"/>
          <w:headerReference w:type="default" r:id="rId171"/>
          <w:footerReference w:type="default" r:id="rId17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3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3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3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3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3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3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3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3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3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3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3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3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3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3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3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3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bookmarkStart w:id="34" w:name="_bookmark3"/>
      <w:bookmarkEnd w:id="34"/>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5"/>
          <w:footerReference w:type="default" r:id="rId176"/>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9"/>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7"/>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8"/>
          <w:footerReference w:type="default" r:id="rId17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3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3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3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3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36"/>
        </w:numPr>
        <w:tabs>
          <w:tab w:val="num" w:pos="270"/>
          <w:tab w:val="num" w:pos="36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36"/>
        </w:numPr>
        <w:tabs>
          <w:tab w:val="num" w:pos="270"/>
          <w:tab w:val="num" w:pos="36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3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3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3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3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3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3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3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3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3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3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3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3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3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3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3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3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3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3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3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36"/>
        </w:numPr>
        <w:tabs>
          <w:tab w:val="num" w:pos="270"/>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3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3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3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3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3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3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3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3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3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0"/>
          <w:footerReference w:type="first" r:id="rId181"/>
          <w:headerReference w:type="even" r:id="rId182"/>
          <w:headerReference w:type="default" r:id="rId183"/>
          <w:footerReference w:type="default" r:id="rId184"/>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3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5"/>
          <w:headerReference w:type="even" r:id="rId186"/>
          <w:headerReference w:type="default" r:id="rId187"/>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8"/>
          <w:footerReference w:type="default" r:id="rId189"/>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3"/>
        </w:numPr>
        <w:spacing w:after="0"/>
        <w:rPr>
          <w:rFonts w:ascii="Verdana" w:hAnsi="Verdana" w:eastAsia="Verdana"/>
          <w:szCs w:val="24"/>
        </w:rPr>
      </w:pPr>
      <w:r>
        <w:rPr>
          <w:rFonts w:ascii="Verdana" w:hAnsi="Verdana" w:eastAsia="Verdana"/>
          <w:szCs w:val="24"/>
        </w:rPr>
        <w:t xml:space="preserve">Definition of PHI </w:t>
      </w:r>
    </w:p>
    <w:p>
      <w:pPr>
        <w:numPr>
          <w:ilvl w:val="1"/>
          <w:numId w:val="573"/>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3"/>
        </w:numPr>
        <w:spacing w:after="0"/>
        <w:rPr>
          <w:rFonts w:ascii="Verdana" w:hAnsi="Verdana" w:eastAsia="Verdana"/>
          <w:szCs w:val="24"/>
        </w:rPr>
      </w:pPr>
      <w:r>
        <w:rPr>
          <w:rFonts w:ascii="Verdana" w:hAnsi="Verdana" w:eastAsia="Verdana"/>
          <w:szCs w:val="24"/>
        </w:rPr>
        <w:t xml:space="preserve">Definition of Breach </w:t>
      </w:r>
    </w:p>
    <w:p>
      <w:pPr>
        <w:numPr>
          <w:ilvl w:val="1"/>
          <w:numId w:val="573"/>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3"/>
        </w:numPr>
        <w:spacing w:after="0"/>
        <w:rPr>
          <w:rFonts w:ascii="Verdana" w:hAnsi="Verdana" w:eastAsia="Verdana"/>
          <w:szCs w:val="24"/>
        </w:rPr>
      </w:pPr>
      <w:r>
        <w:rPr>
          <w:rFonts w:ascii="Verdana" w:hAnsi="Verdana" w:eastAsia="Verdana"/>
          <w:szCs w:val="24"/>
        </w:rPr>
        <w:t xml:space="preserve">Exceptions to Breach</w:t>
      </w:r>
    </w:p>
    <w:p>
      <w:pPr>
        <w:numPr>
          <w:ilvl w:val="1"/>
          <w:numId w:val="573"/>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3"/>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3"/>
        </w:numPr>
        <w:spacing w:after="0"/>
        <w:rPr>
          <w:rFonts w:ascii="Verdana" w:hAnsi="Verdana" w:eastAsia="Verdana"/>
          <w:szCs w:val="24"/>
        </w:rPr>
      </w:pPr>
      <w:r>
        <w:rPr>
          <w:rFonts w:ascii="Verdana" w:hAnsi="Verdana" w:eastAsia="Verdana"/>
          <w:szCs w:val="24"/>
        </w:rPr>
        <w:t xml:space="preserve">Notification </w:t>
      </w:r>
    </w:p>
    <w:p>
      <w:pPr>
        <w:numPr>
          <w:ilvl w:val="1"/>
          <w:numId w:val="573"/>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3"/>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3"/>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3"/>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3"/>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3"/>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3"/>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3"/>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3"/>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3"/>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3"/>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3"/>
        </w:numPr>
        <w:spacing w:after="0"/>
        <w:rPr>
          <w:rFonts w:ascii="Verdana" w:hAnsi="Verdana" w:eastAsia="Verdana"/>
          <w:szCs w:val="24"/>
        </w:rPr>
      </w:pPr>
      <w:r>
        <w:rPr>
          <w:rFonts w:ascii="Verdana" w:hAnsi="Verdana" w:eastAsia="Verdana"/>
          <w:szCs w:val="24"/>
        </w:rPr>
        <w:t xml:space="preserve">Documentation</w:t>
      </w:r>
    </w:p>
    <w:p>
      <w:pPr>
        <w:numPr>
          <w:ilvl w:val="1"/>
          <w:numId w:val="57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3"/>
        </w:numPr>
        <w:spacing w:after="0"/>
        <w:rPr>
          <w:rFonts w:ascii="Verdana" w:hAnsi="Verdana" w:eastAsia="Verdana"/>
          <w:szCs w:val="24"/>
        </w:rPr>
      </w:pPr>
      <w:r>
        <w:rPr>
          <w:rFonts w:ascii="Verdana" w:hAnsi="Verdana" w:eastAsia="Verdana"/>
          <w:szCs w:val="24"/>
        </w:rPr>
        <w:t xml:space="preserve">Staff Training</w:t>
      </w:r>
    </w:p>
    <w:p>
      <w:pPr>
        <w:numPr>
          <w:ilvl w:val="1"/>
          <w:numId w:val="573"/>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0"/>
          <w:footerReference w:type="default" r:id="rId191"/>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10"/>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10"/>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10"/>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10"/>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10"/>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10"/>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10"/>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92"/>
          <w:footerReference w:type="first" r:id="rId193"/>
          <w:headerReference w:type="even" r:id="rId194"/>
          <w:footerReference w:type="even" r:id="rId195"/>
          <w:headerReference w:type="default" r:id="rId196"/>
          <w:footerReference w:type="default" r:id="rId1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5"/>
        </w:numPr>
        <w:spacing/>
        <w:contextualSpacing/>
        <w:jc w:val="both"/>
        <w:rPr>
          <w:rFonts w:ascii="Verdana" w:hAnsi="Verdana" w:eastAsia="Verdana"/>
          <w:sz w:val="24"/>
          <w:szCs w:val="24"/>
        </w:rPr>
        <w:sectPr>
          <w:headerReference w:type="default" r:id="rId198"/>
          <w:footerReference w:type="default" r:id="rId19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6"/>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0"/>
          <w:footerReference w:type="default" r:id="rId20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8"/>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8"/>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8"/>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8"/>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8"/>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02"/>
          <w:footerReference w:type="default" r:id="rId20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3"/>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3"/>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3"/>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04"/>
          <w:footerReference w:type="default" r:id="rId205"/>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6"/>
          <w:footerReference w:type="first" r:id="rId207"/>
          <w:headerReference w:type="even" r:id="rId208"/>
          <w:footerReference w:type="even" r:id="rId209"/>
          <w:headerReference w:type="default" r:id="rId210"/>
          <w:footerReference w:type="default" r:id="rId21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1"/>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1"/>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1"/>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1"/>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1"/>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1"/>
        </w:numPr>
        <w:snapToGrid w:val="off"/>
        <w:spacing w:before="120" w:after="60" w:line="240" w:lineRule="auto"/>
        <w:jc w:val="both"/>
        <w:rPr>
          <w:rFonts w:ascii="Verdana" w:hAnsi="Verdana" w:eastAsia="Verdana"/>
        </w:rPr>
        <w:sectPr>
          <w:headerReference w:type="default" r:id="rId212"/>
          <w:footerReference w:type="default" r:id="rId21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1"/>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1"/>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1"/>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1"/>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1"/>
        </w:numPr>
        <w:spacing w:after="200"/>
        <w:rPr>
          <w:rFonts w:ascii="Verdana" w:hAnsi="Verdana" w:eastAsia="Verdana"/>
          <w:szCs w:val="24"/>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2"/>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3"/>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3"/>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9"/>
          <w:footerReference w:type="default" r:id="rId2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4"/>
        </w:numPr>
        <w:spacing/>
        <w:contextualSpacing/>
        <w:jc w:val="both"/>
        <w:rPr>
          <w:rFonts w:ascii="Verdana" w:hAnsi="Verdana" w:eastAsia="Verdana"/>
          <w:sz w:val="24"/>
          <w:szCs w:val="24"/>
        </w:rPr>
        <w:sectPr>
          <w:headerReference w:type="default" r:id="rId221"/>
          <w:footerReference w:type="default" r:id="rId22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21"/>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2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2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21"/>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21"/>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21"/>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21"/>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21"/>
        </w:numPr>
        <w:spacing/>
        <w:contextualSpacing/>
        <w:jc w:val="both"/>
        <w:rPr>
          <w:rFonts w:ascii="Verdana" w:hAnsi="Verdana" w:eastAsia="Verdana"/>
          <w:sz w:val="24"/>
          <w:szCs w:val="24"/>
        </w:rPr>
        <w:sectPr>
          <w:headerReference w:type="default" r:id="rId223"/>
          <w:footerReference w:type="default" r:id="rId22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1"/>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5"/>
          <w:footerReference w:type="default" r:id="rId22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2"/>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1"/>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1"/>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1"/>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7"/>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1"/>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1"/>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1"/>
          <w:footerReference w:type="default" r:id="rId23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3"/>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3"/>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3"/>
        </w:numPr>
        <w:spacing/>
        <w:contextualSpacing/>
        <w:jc w:val="both"/>
        <w:rPr>
          <w:rFonts w:ascii="Verdana" w:hAnsi="Verdana" w:eastAsia="Verdana"/>
          <w:sz w:val="24"/>
          <w:szCs w:val="24"/>
        </w:rPr>
        <w:sectPr>
          <w:headerReference w:type="default" r:id="rId233"/>
          <w:footerReference w:type="default" r:id="rId23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8"/>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8"/>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8"/>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8"/>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8"/>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8"/>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8"/>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8"/>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8"/>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8"/>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8"/>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8"/>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8"/>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9"/>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2"/>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2"/>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2"/>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2"/>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2"/>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2"/>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2"/>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5"/>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5"/>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7"/>
          <w:footerReference w:type="first" r:id="rId238"/>
          <w:headerReference w:type="even" r:id="rId239"/>
          <w:footerReference w:type="even" r:id="rId240"/>
          <w:headerReference w:type="default" r:id="rId241"/>
          <w:footerReference w:type="default" r:id="rId2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9"/>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43"/>
          <w:footerReference w:type="default" r:id="rId244"/>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6"/>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6"/>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5"/>
          <w:footerReference w:type="default" r:id="rId2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3"/>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7"/>
          <w:footerReference w:type="default" r:id="rId24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3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3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3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3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3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3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3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ArialMTPro"/>
          <w:sz w:val="24"/>
          <w:szCs w:val="24"/>
        </w:rPr>
        <w:t xml:space="preserve">of receipt of the request </w:t>
      </w:r>
      <w:r>
        <w:rPr>
          <w:rFonts w:ascii="Verdana" w:hAnsi="Verdana" w:eastAsia="Verdana" w:cs="ArialMTPro"/>
          <w:sz w:val="24"/>
          <w:szCs w:val="24"/>
        </w:rPr>
        <w:t xml:space="preserve">for the PHI </w:t>
      </w:r>
      <w:r>
        <w:rPr>
          <w:rFonts w:ascii="Verdana" w:hAnsi="Verdana" w:eastAsia="Verdana" w:cs="ArialMTPro"/>
          <w:sz w:val="24"/>
          <w:szCs w:val="24"/>
        </w:rPr>
        <w:t xml:space="preserve">or within 30 days of completion of the record, whichever is later</w:t>
      </w:r>
      <w:r>
        <w:rPr>
          <w:rFonts w:ascii="Verdana" w:hAnsi="Verdana" w:eastAsia="Verdana" w:cs="Times"/>
          <w:sz w:val="24"/>
          <w:szCs w:val="24"/>
        </w:rPr>
        <w:t xml:space="preserve">.</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3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3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w:t>
      </w:r>
      <w:r>
        <w:rPr>
          <w:rFonts w:ascii="Verdana" w:hAnsi="Verdana" w:eastAsia="Verdana" w:cs="ArialMTPro"/>
          <w:color w:val="000000"/>
          <w:sz w:val="24"/>
          <w:szCs w:val="24"/>
        </w:rPr>
        <w:t xml:space="preserve">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3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3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Fees for copying medical records may be charged as follows:</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For requests of records in an electronic format, the Facility may charge a fee for clerical services, research, and handling of up to $25, inclusive of shipping costs and the costs of data retrieval and/or the data storage device used to transport the medical records.  Provided, however, that fifty cents per page for the first one hundred pages and twenty five cents per page for all pages thereafter may be charged. The total charge for pages may not exceed $100.</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Facility does not utilize an electronic health records system or database, the charges for responding to requests for copies of medical records shall not exceed a fee for clerical services, research, and handling of $25, inclusive of retrieval costs, plus actual shipping costs; provided, however, that fifty cents per page for the first 100 pages and twenty five cents per page for all pages thereafter may be charged.  In addition, the requestor shall pay for the actual shipping costs incurred.</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Copies of x-rays or other documents not reproducible by photocopy shall be provided at the Facility’s actual cost for materials and supplies. In addition, the requestor shall pay reasonable fees for clerical services, research, and handling, not to exceed $25, plus actual shipping costs incurred.</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 special handling fee of $10 may be charged if the records must be delivered within 48 hours of the request.</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Facility may not charge a resident who requests his/her own record a retrieval or certifying fee for duplicating medical records. The facility may not charge a fee when a medical record is being sent from one provider to the next in the context of a </w:t>
      </w:r>
      <w:r>
        <w:rPr>
          <w:rFonts w:ascii="Verdana" w:hAnsi="Verdana" w:eastAsia="Verdana" w:cs="ArialMTPro"/>
          <w:iCs/>
          <w:sz w:val="24"/>
          <w:szCs w:val="24"/>
        </w:rPr>
        <w:t xml:space="preserve">consultation.The</w:t>
      </w:r>
      <w:r>
        <w:rPr>
          <w:rFonts w:ascii="Verdana" w:hAnsi="Verdana" w:eastAsia="Verdana" w:cs="ArialMTPro"/>
          <w:iCs/>
          <w:sz w:val="24"/>
          <w:szCs w:val="24"/>
        </w:rPr>
        <w:t xml:space="preserve"> Facility may not charge a fee for copying records for use in supporting a claim or appeal under the Social Security Act or any federal or state needs-based benefit program. The Facility may not charge a fee to an applicant or beneficiary or individual representing an applicant or beneficiary for the purposes of supporting a claim or appeal under the provision of the Social Security Act or any federal or state needs-based program such as Medical Assistance, </w:t>
      </w:r>
      <w:r>
        <w:rPr>
          <w:rFonts w:ascii="Verdana" w:hAnsi="Verdana" w:eastAsia="Verdana" w:cs="ArialMTPro"/>
          <w:iCs/>
          <w:sz w:val="24"/>
          <w:szCs w:val="24"/>
        </w:rPr>
        <w:t xml:space="preserve">RIte</w:t>
      </w:r>
      <w:r>
        <w:rPr>
          <w:rFonts w:ascii="Verdana" w:hAnsi="Verdana" w:eastAsia="Verdana" w:cs="ArialMTPro"/>
          <w:iCs/>
          <w:sz w:val="24"/>
          <w:szCs w:val="24"/>
        </w:rPr>
        <w:t xml:space="preserve"> Care, Temporary Disability Insurance and Unemployment compensation. No fees shall be charged to an applicant for benefits in connection with a Civil Court Certification Proceeding or a claim under the Worker's Compensation Act.</w:t>
      </w:r>
    </w:p>
    <w:p>
      <w:pPr>
        <w:pStyle w:val="ListParagraph"/>
        <w:widowControl w:val="false"/>
        <w:numPr>
          <w:ilvl w:val="3"/>
          <w:numId w:val="321"/>
        </w:numPr>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Requests for medical records made by authorized third parties (e.g., attorneys representing the patient, attorneys not representing the patient, a patient's estate on behalf of the patient, or insurance companies) submitting a properly executed Authorization for Release of Information shall be billed at two dollars and fifty cents ($ 2.50) per page for the first ten (10) pages, then seventy-five cents ($ 0.75) per page for the next fifty (50) pages, then fifty cents ($ 0.50) per page. An additional charge to reflect actual cost of postage is permissible.</w:t>
      </w:r>
    </w:p>
    <w:p>
      <w:pPr>
        <w:widowControl w:val="false"/>
        <w:numPr>
          <w:ilvl w:val="0"/>
          <w:numId w:val="32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w:t>
      </w:r>
      <w:r>
        <w:rPr>
          <w:rFonts w:ascii="Verdana" w:hAnsi="Verdana" w:eastAsia="Verdana" w:cs="ArialMTPro"/>
          <w:color w:val="000000"/>
          <w:sz w:val="24"/>
          <w:szCs w:val="24"/>
        </w:rPr>
        <w:t xml:space="preserve">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5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2"/>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 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w:t>
      </w:r>
      <w:r>
        <w:rPr>
          <w:rFonts w:ascii="Verdana" w:hAnsi="Verdana" w:eastAsia="Verdana" w:cs="ArialMTPro"/>
          <w:iCs/>
          <w:color w:val="000000"/>
          <w:sz w:val="24"/>
          <w:szCs w:val="24"/>
        </w:rPr>
        <w:t xml:space="preserve">Human Services. The description shall include the name, or title, and telephone number of the Compliance and Ethics Officer.</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1"/>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1"/>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1"/>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1"/>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5"/>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9"/>
          <w:footerReference w:type="default" r:id="rId25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3"/>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3"/>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3"/>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3"/>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3"/>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3"/>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1"/>
          <w:footerReference w:type="default" r:id="rId25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3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3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9"/>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3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9"/>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9"/>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4"/>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4"/>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4"/>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4"/>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4"/>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4"/>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4"/>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4"/>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4"/>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4"/>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4"/>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4"/>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4"/>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4"/>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4"/>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5"/>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5"/>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3"/>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3"/>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3"/>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3"/>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3"/>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3"/>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9"/>
          <w:footerReference w:type="first" r:id="rId260"/>
          <w:headerReference w:type="even" r:id="rId261"/>
          <w:footerReference w:type="even" r:id="rId262"/>
          <w:headerReference w:type="default" r:id="rId263"/>
          <w:footerReference w:type="default" r:id="rId264"/>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5"/>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5"/>
          <w:footerReference w:type="default" r:id="rId266"/>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7"/>
          <w:footerReference w:type="default" r:id="rId26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5"/>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5"/>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9"/>
          <w:footerReference w:type="first" r:id="rId270"/>
          <w:headerReference w:type="even" r:id="rId271"/>
          <w:footerReference w:type="even" r:id="rId272"/>
          <w:headerReference w:type="default" r:id="rId273"/>
          <w:footerReference w:type="default" r:id="rId27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6"/>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9"/>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9"/>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7"/>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8"/>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2"/>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5"/>
          <w:footerReference w:type="first" r:id="rId276"/>
          <w:headerReference w:type="even" r:id="rId277"/>
          <w:footerReference w:type="even" r:id="rId278"/>
          <w:headerReference w:type="default" r:id="rId279"/>
          <w:footerReference w:type="default" r:id="rId28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4"/>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4"/>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1"/>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1"/>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1"/>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4"/>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4"/>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4"/>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4"/>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4"/>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w:t>
      </w:r>
      <w:r>
        <w:rPr>
          <w:rFonts w:ascii="Verdana" w:hAnsi="Verdana" w:eastAsia="Verdana"/>
          <w:sz w:val="20"/>
          <w:szCs w:val="20"/>
        </w:rPr>
        <w:t xml:space="preserve">Facility Address_______________________________________________</w:t>
      </w:r>
    </w:p>
    <w:p>
      <w:pPr>
        <w:numPr>
          <w:ilvl w:val="0"/>
          <w:numId w:val="464"/>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4"/>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1"/>
          <w:footerReference w:type="default" r:id="rId282"/>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6"/>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6"/>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6"/>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6"/>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6"/>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6"/>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6"/>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6"/>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6"/>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6"/>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6"/>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6"/>
        </w:numPr>
        <w:spacing/>
        <w:contextualSpacing/>
        <w:jc w:val="both"/>
        <w:rPr>
          <w:rFonts w:ascii="Verdana" w:hAnsi="Verdana" w:eastAsia="Verdana"/>
          <w:sz w:val="24"/>
          <w:szCs w:val="24"/>
        </w:rPr>
        <w:sectPr>
          <w:headerReference w:type="first" r:id="rId283"/>
          <w:footerReference w:type="first" r:id="rId284"/>
          <w:headerReference w:type="even" r:id="rId285"/>
          <w:footerReference w:type="even" r:id="rId286"/>
          <w:headerReference w:type="default" r:id="rId287"/>
          <w:footerReference w:type="default" r:id="rId28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4"/>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9"/>
          <w:footerReference w:type="default" r:id="rId29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7"/>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7"/>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7"/>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1"/>
          <w:footerReference w:type="default" r:id="rId2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3"/>
          <w:footerReference w:type="default" r:id="rId29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4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4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4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10"/>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10"/>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10"/>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10"/>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10"/>
        </w:numPr>
        <w:spacing w:after="0" w:line="240" w:lineRule="auto"/>
        <w:contextualSpacing/>
        <w:jc w:val="both"/>
        <w:rPr>
          <w:rFonts w:ascii="Verdana" w:hAnsi="Verdana" w:eastAsia="Verdana"/>
          <w:color w:val="252525"/>
          <w:sz w:val="24"/>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1"/>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1"/>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1"/>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3"/>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3"/>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03"/>
          <w:footerReference w:type="first" r:id="rId304"/>
          <w:headerReference w:type="even" r:id="rId305"/>
          <w:footerReference w:type="even" r:id="rId306"/>
          <w:headerReference w:type="default" r:id="rId307"/>
          <w:footerReference w:type="default" r:id="rId308"/>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4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8"/>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8"/>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4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4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4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4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4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4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4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9"/>
          <w:footerReference w:type="default" r:id="rId310"/>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1"/>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1"/>
          <w:footerReference w:type="default" r:id="rId31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3"/>
          <w:footerReference w:type="default" r:id="rId31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1"/>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5"/>
          <w:footerReference w:type="default" r:id="rId31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4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4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4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4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4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4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4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4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7"/>
          <w:footerReference w:type="default" r:id="rId31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3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3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3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3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4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7"/>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7"/>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7"/>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7"/>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7"/>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7"/>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7"/>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7"/>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8"/>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8"/>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8"/>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8"/>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8"/>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9"/>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6"/>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9"/>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9"/>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4"/>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4"/>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4"/>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4"/>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4"/>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5"/>
          <w:footerReference w:type="default" r:id="rId336"/>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Residents Councils Policy and Procedure</w:t>
      </w:r>
    </w:p>
    <w:p>
      <w:pPr>
        <w:pStyle w:val="toc"/>
        <w:spacing w:line="276" w:lineRule="auto"/>
        <w:ind w:left="0" w:firstLine="0"/>
        <w:rPr>
          <w:color w:val="auto"/>
          <w:sz w:val="24"/>
          <w:szCs w:val="24"/>
        </w:rPr>
      </w:pPr>
      <w:r>
        <w:rPr>
          <w:color w:val="auto"/>
          <w:sz w:val="24"/>
          <w:szCs w:val="24"/>
        </w:rPr>
        <w:t xml:space="preserve">CCG 005RIRR Posting of Resident Rights</w:t>
      </w:r>
    </w:p>
    <w:p>
      <w:pPr>
        <w:kinsoku w:val="false"/>
        <w:overflowPunct w:val="false"/>
        <w:spacing w:before="6"/>
        <w:jc w:val="center"/>
        <w:rPr>
          <w:rFonts w:ascii="Verdana" w:hAnsi="Verdana" w:eastAsia="Verdana" w:cs="Verdana"/>
          <w:b/>
          <w:bCs/>
          <w:smallCaps/>
          <w:sz w:val="28"/>
          <w:szCs w:val="28"/>
        </w:rPr>
        <w:sectPr>
          <w:headerReference w:type="first" r:id="rId337"/>
          <w:footerReference w:type="first" r:id="rId338"/>
          <w:headerReference w:type="even" r:id="rId339"/>
          <w:footerReference w:type="even" r:id="rId340"/>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6"/>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6"/>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6"/>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6"/>
        </w:numPr>
        <w:tabs>
          <w:tab w:val="left" w:pos="820"/>
        </w:tabs>
        <w:kinsoku w:val="false"/>
        <w:spacing w:before="11" w:line="248" w:lineRule="exact"/>
        <w:rPr>
          <w:rFonts w:ascii="Verdana" w:hAnsi="Verdana" w:eastAsia="Verdana"/>
          <w:sz w:val="24"/>
          <w:szCs w:val="24"/>
        </w:rPr>
        <w:sectPr>
          <w:footerReference w:type="default" r:id="rId3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5"/>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2"/>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4"/>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7"/>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7"/>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4"/>
          <w:footerReference w:type="default" r:id="rId34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2"/>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2"/>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2"/>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2"/>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2"/>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2"/>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2"/>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2"/>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2"/>
        </w:numPr>
        <w:spacing/>
        <w:ind w:left="720"/>
        <w:contextualSpacing/>
        <w:jc w:val="both"/>
        <w:rPr>
          <w:rFonts w:ascii="Verdana" w:hAnsi="Verdana" w:eastAsia="Verdana"/>
        </w:rPr>
        <w:sectPr>
          <w:headerReference w:type="default" r:id="rId346"/>
          <w:footerReference w:type="default" r:id="rId34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3"/>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8"/>
          <w:footerReference w:type="default" r:id="rId34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70"/>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70"/>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70"/>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70"/>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70"/>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70"/>
        </w:numPr>
        <w:spacing/>
        <w:ind w:left="720"/>
        <w:jc w:val="both"/>
        <w:rPr>
          <w:rFonts w:ascii="Verdana" w:hAnsi="Verdana" w:eastAsia="Verdana"/>
        </w:rPr>
        <w:sectPr>
          <w:headerReference w:type="default" r:id="rId350"/>
          <w:footerReference w:type="default" r:id="rId3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52"/>
          <w:footerReference w:type="first" r:id="rId353"/>
          <w:headerReference w:type="even" r:id="rId354"/>
          <w:footerReference w:type="even" r:id="rId355"/>
          <w:headerReference w:type="default" r:id="rId356"/>
          <w:footerReference w:type="default" r:id="rId35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81"/>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81"/>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81"/>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81"/>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81"/>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81"/>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81"/>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81"/>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81"/>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81"/>
        </w:numPr>
        <w:spacing/>
        <w:contextualSpacing/>
        <w:jc w:val="both"/>
        <w:rPr>
          <w:rFonts w:ascii="Verdana" w:hAnsi="Verdana" w:eastAsia="Verdana"/>
          <w:color w:val="FF0000"/>
          <w:sz w:val="24"/>
          <w:szCs w:val="24"/>
        </w:rPr>
        <w:sectPr>
          <w:headerReference w:type="default" r:id="rId358"/>
          <w:footerReference w:type="default" r:id="rId359"/>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8"/>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9"/>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9"/>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0"/>
          <w:footerReference w:type="default" r:id="rId36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2"/>
          <w:footerReference w:type="default" r:id="rId363"/>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8"/>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8"/>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8"/>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8"/>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70"/>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70"/>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70"/>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4"/>
          <w:footerReference w:type="default" r:id="rId365"/>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4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4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4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4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$50</w:t>
      </w:r>
      <w:r>
        <w:rPr>
          <w:rFonts w:ascii="Verdana" w:hAnsi="Verdana" w:eastAsia="Verdana"/>
        </w:rPr>
        <w:t xml:space="preserve"> </w:t>
      </w:r>
      <w:r>
        <w:rPr>
          <w:rFonts w:ascii="Verdana" w:hAnsi="Verdana" w:eastAsia="Verdana"/>
        </w:rPr>
        <w:t xml:space="preserve">in a non-interest bearing account, interest-bearing account, or petty cash fund.</w:t>
      </w:r>
    </w:p>
    <w:p>
      <w:pPr>
        <w:pStyle w:val="psection-3"/>
        <w:numPr>
          <w:ilvl w:val="0"/>
          <w:numId w:val="84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4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1"/>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1"/>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1"/>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4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4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4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4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4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4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4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4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4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4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5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5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5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5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5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5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5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5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50"/>
        </w:numPr>
        <w:shd w:val="clear" w:color="auto" w:fill="FFFFFF"/>
        <w:spacing w:before="0" w:beforeAutospacing="0" w:after="150" w:afterAutospacing="0"/>
        <w:jc w:val="both"/>
        <w:rPr>
          <w:rFonts w:ascii="Verdana" w:hAnsi="Verdana" w:eastAsia="Verdana"/>
        </w:rPr>
        <w:sectPr>
          <w:headerReference w:type="default" r:id="rId366"/>
          <w:footerReference w:type="default" r:id="rId367"/>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5"/>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7"/>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7"/>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7"/>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7"/>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7"/>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7"/>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7"/>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7"/>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2"/>
        </w:numPr>
        <w:spacing w:after="160" w:line="259" w:lineRule="auto"/>
        <w:ind w:left="720"/>
        <w:contextualSpacing/>
        <w:jc w:val="both"/>
        <w:rPr>
          <w:rFonts w:ascii="Verdana" w:hAnsi="Verdana" w:eastAsia="Verdana"/>
          <w:sz w:val="24"/>
          <w:szCs w:val="24"/>
        </w:rPr>
        <w:sectPr>
          <w:headerReference w:type="default" r:id="rId368"/>
          <w:footerReference w:type="default" r:id="rId369"/>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379"/>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379"/>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379"/>
        </w:numPr>
        <w:spacing/>
        <w:contextualSpacing/>
        <w:rPr>
          <w:rFonts w:ascii="Verdana" w:hAnsi="Verdana" w:eastAsia="Verdana"/>
          <w:sz w:val="24"/>
          <w:szCs w:val="28"/>
        </w:rPr>
      </w:pPr>
      <w:r>
        <w:rPr>
          <w:rFonts w:ascii="Verdana" w:hAnsi="Verdana" w:eastAsia="Verdana"/>
          <w:sz w:val="24"/>
          <w:szCs w:val="28"/>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0"/>
          <w:footerReference w:type="default" r:id="rId371"/>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51"/>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51"/>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51"/>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51"/>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51"/>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51"/>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51"/>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72"/>
          <w:footerReference w:type="default" r:id="rId37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4"/>
          <w:footerReference w:type="default" r:id="rId3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8"/>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8"/>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8"/>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52"/>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52"/>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52"/>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52"/>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8"/>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8"/>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8"/>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8"/>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8"/>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8"/>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 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53"/>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8"/>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8"/>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8"/>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54"/>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8"/>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8"/>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8"/>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8"/>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6"/>
          <w:footerReference w:type="default" r:id="rId37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8"/>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8"/>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8"/>
          <w:footerReference w:type="first" r:id="rId379"/>
          <w:headerReference w:type="even" r:id="rId380"/>
          <w:footerReference w:type="even" r:id="rId381"/>
          <w:headerReference w:type="default" r:id="rId382"/>
          <w:footerReference w:type="default" r:id="rId38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7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500"/>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4"/>
          <w:footerReference w:type="default" r:id="rId38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6"/>
          <w:footerReference w:type="default" r:id="rId38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8"/>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8"/>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8"/>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8"/>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8"/>
          <w:footerReference w:type="first" r:id="rId389"/>
          <w:headerReference w:type="even" r:id="rId390"/>
          <w:footerReference w:type="even" r:id="rId391"/>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8"/>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8"/>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8"/>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5"/>
          <w:footerReference w:type="first" r:id="rId396"/>
          <w:headerReference w:type="even" r:id="rId397"/>
          <w:footerReference w:type="even" r:id="rId398"/>
          <w:headerReference w:type="default" r:id="rId399"/>
          <w:footerReference w:type="default" r:id="rId40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55"/>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56"/>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56"/>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56"/>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56"/>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56"/>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56"/>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56"/>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56"/>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56"/>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56"/>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56"/>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56"/>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56"/>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5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5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5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56"/>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56"/>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56"/>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56"/>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2"/>
        </w:numPr>
        <w:spacing w:after="160" w:line="259" w:lineRule="auto"/>
        <w:ind w:left="1800"/>
        <w:contextualSpacing/>
        <w:jc w:val="both"/>
        <w:rPr>
          <w:rFonts w:ascii="Verdana" w:hAnsi="Verdana" w:eastAsia="Verdana"/>
          <w:sz w:val="24"/>
          <w:szCs w:val="24"/>
        </w:rPr>
        <w:sectPr>
          <w:headerReference w:type="first" r:id="rId401"/>
          <w:footerReference w:type="first" r:id="rId402"/>
          <w:headerReference w:type="even" r:id="rId403"/>
          <w:footerReference w:type="even" r:id="rId404"/>
          <w:headerReference w:type="default" r:id="rId405"/>
          <w:footerReference w:type="default" r:id="rId40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8"/>
        </w:numPr>
        <w:spacing w:after="160" w:line="259" w:lineRule="auto"/>
        <w:ind w:left="1440"/>
        <w:contextualSpacing/>
        <w:jc w:val="both"/>
        <w:rPr>
          <w:rFonts w:ascii="Verdana" w:hAnsi="Verdana" w:eastAsia="Verdana"/>
          <w:sz w:val="24"/>
          <w:szCs w:val="24"/>
        </w:rPr>
        <w:sectPr>
          <w:headerReference w:type="default" r:id="rId407"/>
          <w:footerReference w:type="default" r:id="rId4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6"/>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1"/>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1"/>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1"/>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1"/>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1"/>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6"/>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3"/>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3"/>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5"/>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5"/>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5"/>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41"/>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41"/>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41"/>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41"/>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2" w:name="Bookmark__f_4_vi_c"/>
      <w:bookmarkEnd w:id="112"/>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6"/>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6"/>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6"/>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6"/>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6"/>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6"/>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6"/>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6"/>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20"/>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20"/>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20"/>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2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20"/>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6"/>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4"/>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4"/>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4"/>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6"/>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4"/>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6"/>
        </w:numPr>
        <w:spacing w:before="120" w:line="260" w:lineRule="atLeast"/>
        <w:ind w:left="720"/>
        <w:jc w:val="both"/>
        <w:rPr>
          <w:rFonts w:ascii="Verdana" w:hAnsi="Verdana" w:eastAsia="Verdana"/>
          <w:color w:val="000000"/>
          <w:sz w:val="24"/>
        </w:rPr>
        <w:sectPr>
          <w:headerReference w:type="default" r:id="rId409"/>
          <w:footerReference w:type="default" r:id="rId4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1"/>
          <w:footerReference w:type="default" r:id="rId41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8"/>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3"/>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3"/>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8"/>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4"/>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4"/>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8"/>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8"/>
        </w:numPr>
        <w:spacing w:after="160" w:line="259" w:lineRule="auto"/>
        <w:contextualSpacing/>
        <w:jc w:val="both"/>
        <w:rPr>
          <w:rFonts w:ascii="Verdana" w:hAnsi="Verdana" w:eastAsia="Verdana"/>
        </w:rPr>
        <w:sectPr>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5"/>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4"/>
        </w:numPr>
        <w:spacing w:after="160" w:line="259" w:lineRule="auto"/>
        <w:contextualSpacing/>
        <w:jc w:val="both"/>
        <w:rPr>
          <w:rFonts w:ascii="Verdana" w:hAnsi="Verdana" w:eastAsia="Verdana"/>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7"/>
          <w:footerReference w:type="default" r:id="rId41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600"/>
        </w:numPr>
        <w:spacing w:after="160" w:line="259" w:lineRule="auto"/>
        <w:contextualSpacing/>
        <w:jc w:val="both"/>
        <w:rPr>
          <w:rFonts w:ascii="Verdana" w:hAnsi="Verdana" w:eastAsia="Verdana"/>
        </w:rPr>
        <w:sectPr>
          <w:headerReference w:type="default" r:id="rId419"/>
          <w:footerReference w:type="default" r:id="rId42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57"/>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57"/>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57"/>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57"/>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57"/>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57"/>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57"/>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57"/>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5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5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2"/>
        </w:numPr>
        <w:spacing w:after="160" w:line="259" w:lineRule="auto"/>
        <w:ind w:left="720"/>
        <w:contextualSpacing/>
        <w:jc w:val="both"/>
        <w:rPr>
          <w:rFonts w:ascii="Verdana" w:hAnsi="Verdana" w:eastAsia="Verdana"/>
          <w:color w:val="FF0000"/>
          <w:sz w:val="24"/>
          <w:szCs w:val="24"/>
        </w:rPr>
        <w:sectPr>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1"/>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1"/>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1"/>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1"/>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1"/>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1"/>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3"/>
          <w:footerReference w:type="first" r:id="rId424"/>
          <w:headerReference w:type="even" r:id="rId425"/>
          <w:footerReference w:type="even" r:id="rId426"/>
          <w:headerReference w:type="default" r:id="rId427"/>
          <w:footerReference w:type="default" r:id="rId42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3"/>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3"/>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3"/>
        </w:numPr>
        <w:spacing w:after="160" w:line="259" w:lineRule="auto"/>
        <w:contextualSpacing/>
        <w:jc w:val="both"/>
        <w:rPr>
          <w:rFonts w:ascii="Verdana" w:hAnsi="Verdana" w:eastAsia="Verdana"/>
          <w:sz w:val="24"/>
          <w:szCs w:val="24"/>
        </w:rPr>
        <w:sectPr>
          <w:headerReference w:type="first" r:id="rId429"/>
          <w:footerReference w:type="first" r:id="rId430"/>
          <w:headerReference w:type="even" r:id="rId431"/>
          <w:footerReference w:type="even" r:id="rId432"/>
          <w:headerReference w:type="default" r:id="rId433"/>
          <w:footerReference w:type="default" r:id="rId43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5"/>
          <w:footerReference w:type="default" r:id="rId43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7"/>
          <w:footerReference w:type="default" r:id="rId43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3"/>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80"/>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3"/>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8"/>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3"/>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2"/>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2"/>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5"/>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5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6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58"/>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61"/>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6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6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6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58"/>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6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65"/>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65"/>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65"/>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65"/>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66"/>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66"/>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66"/>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65"/>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67"/>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67"/>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67"/>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67"/>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65"/>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65"/>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65"/>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68"/>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68"/>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68"/>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5"/>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69"/>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69"/>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5"/>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65"/>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65"/>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65"/>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65"/>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65"/>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70"/>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7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7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72"/>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72"/>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72"/>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72"/>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72"/>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72"/>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7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72"/>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7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7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70"/>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73"/>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7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70"/>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72"/>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70"/>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74"/>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74"/>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74"/>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74"/>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4"/>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4"/>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74"/>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70"/>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70"/>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70"/>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70"/>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70"/>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70"/>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70"/>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70"/>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70"/>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pPr>
    </w:p>
    <w:p>
      <w:pPr>
        <w:shd w:val="clear" w:color="auto" w:fill="FFFFFF"/>
        <w:spacing w:before="150" w:after="150" w:line="240" w:lineRule="auto"/>
        <w:contextualSpacing/>
        <w:rPr>
          <w:rFonts w:ascii="Verdana" w:hAnsi="Verdana" w:eastAsia="Verdana" w:cs="Times New Roman"/>
          <w:bCs/>
          <w:szCs w:val="24"/>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5"/>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5"/>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5"/>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5"/>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5"/>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spacing w:before="150" w:after="150" w:line="240" w:lineRule="auto"/>
        <w:contextualSpacing/>
        <w:rPr>
          <w:rFonts w:ascii="Verdana" w:hAnsi="Verdana" w:eastAsia="Verdana" w:cs="Times New Roman"/>
          <w:bCs/>
          <w:szCs w:val="24"/>
        </w:rPr>
        <w:sectPr>
          <w:footerReference w:type="default" r:id="rId4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Posting of Resident Rights</w:t>
      </w:r>
    </w:p>
    <w:p>
      <w:pPr>
        <w:spacing w:after="0"/>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posting of resident rights in Compliance and Ethics with state requirements. </w:t>
      </w:r>
    </w:p>
    <w:p>
      <w:pPr>
        <w:spacing w:after="0"/>
        <w:rPr>
          <w:rFonts w:ascii="Verdana" w:hAnsi="Verdana" w:eastAsia="Verdana"/>
          <w:b/>
          <w:szCs w:val="24"/>
        </w:rPr>
      </w:pPr>
      <w:r>
        <w:rPr>
          <w:rFonts w:ascii="Verdana" w:hAnsi="Verdana" w:eastAsia="Verdana"/>
          <w:b/>
          <w:szCs w:val="24"/>
        </w:rPr>
        <w:t xml:space="preserve">PROCEDURE</w:t>
      </w:r>
    </w:p>
    <w:p>
      <w:pPr>
        <w:pStyle w:val="ListParagraph"/>
        <w:spacing/>
        <w:ind w:left="0"/>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 will post resident right information as specified by state requirements.</w:t>
      </w:r>
    </w:p>
    <w:p>
      <w:pPr>
        <w:spacing w:after="0"/>
        <w:ind w:left="540" w:hanging="270"/>
        <w:rPr>
          <w:rFonts w:ascii="Verdana" w:hAnsi="Verdana" w:eastAsia="Verdana"/>
          <w:szCs w:val="24"/>
        </w:rPr>
      </w:pPr>
      <w:r>
        <w:rPr>
          <w:rFonts w:ascii="Verdana" w:hAnsi="Verdana" w:eastAsia="Verdana"/>
          <w:szCs w:val="24"/>
        </w:rPr>
        <w:t xml:space="preserve">I. The Facility shall display a copy of the rights of nursing home patients and related information in a conspicuous place in each nursing home</w:t>
      </w:r>
      <w:r>
        <w:rPr>
          <w:rStyle w:val="FootnoteReference"/>
          <w:rFonts w:ascii="Verdana" w:hAnsi="Verdana" w:eastAsia="Verdana"/>
          <w:szCs w:val="24"/>
        </w:rPr>
        <w:footnoteReference w:customMarkFollows="0" w:id="9"/>
      </w:r>
      <w:r>
        <w:rPr>
          <w:rFonts w:ascii="Verdana" w:hAnsi="Verdana" w:eastAsia="Verdana"/>
          <w:szCs w:val="24"/>
        </w:rPr>
        <w:t xml:space="preserve">. At a minimum the display must include the following:</w:t>
      </w:r>
    </w:p>
    <w:p>
      <w:pPr>
        <w:pStyle w:val="ListParagraph"/>
        <w:numPr>
          <w:ilvl w:val="0"/>
          <w:numId w:val="493"/>
        </w:numPr>
        <w:spacing w:after="0" w:line="259" w:lineRule="auto"/>
        <w:ind w:left="900"/>
        <w:jc w:val="both"/>
        <w:rPr>
          <w:rFonts w:ascii="Verdana" w:hAnsi="Verdana" w:eastAsia="Verdana"/>
          <w:sz w:val="24"/>
          <w:szCs w:val="24"/>
        </w:rPr>
      </w:pPr>
      <w:r>
        <w:rPr>
          <w:rFonts w:ascii="Verdana" w:hAnsi="Verdana" w:eastAsia="Verdana"/>
          <w:sz w:val="24"/>
          <w:szCs w:val="24"/>
        </w:rPr>
        <w:t xml:space="preserve">A summary of the major provisions of the resident rights</w:t>
      </w:r>
      <w:r>
        <w:rPr>
          <w:rStyle w:val="FootnoteReference"/>
          <w:rFonts w:ascii="Verdana" w:hAnsi="Verdana" w:eastAsia="Verdana"/>
          <w:sz w:val="24"/>
          <w:szCs w:val="24"/>
        </w:rPr>
        <w:footnoteReference w:customMarkFollows="0" w:id="10"/>
      </w:r>
      <w:r>
        <w:rPr>
          <w:rFonts w:ascii="Verdana" w:hAnsi="Verdana" w:eastAsia="Verdana"/>
          <w:sz w:val="24"/>
          <w:szCs w:val="24"/>
        </w:rPr>
        <w:t xml:space="preserve">. </w:t>
      </w:r>
      <w:r>
        <w:rPr>
          <w:rFonts w:ascii="Verdana" w:hAnsi="Verdana" w:eastAsia="Verdana"/>
          <w:sz w:val="24"/>
          <w:szCs w:val="24"/>
          <w:highlight w:val="yellow"/>
        </w:rPr>
        <w:t xml:space="preserve">(See Attachment A for a full listing of rights mandated by the state.)</w:t>
      </w:r>
    </w:p>
    <w:p>
      <w:pPr>
        <w:pStyle w:val="ListParagraph"/>
        <w:numPr>
          <w:ilvl w:val="0"/>
          <w:numId w:val="493"/>
        </w:numPr>
        <w:spacing w:after="0" w:line="259" w:lineRule="auto"/>
        <w:ind w:left="900"/>
        <w:contextualSpacing/>
        <w:jc w:val="both"/>
        <w:rPr>
          <w:rFonts w:ascii="Verdana" w:hAnsi="Verdana" w:eastAsia="Verdana"/>
          <w:sz w:val="24"/>
          <w:szCs w:val="24"/>
        </w:rPr>
      </w:pPr>
      <w:r>
        <w:rPr>
          <w:rFonts w:ascii="Verdana" w:hAnsi="Verdana" w:eastAsia="Verdana"/>
          <w:sz w:val="24"/>
          <w:szCs w:val="24"/>
        </w:rPr>
        <w:t xml:space="preserve">The address and telephone number of the division within the health department that will accept complaints or notice of violations of the sections in this chapter, the state ombudsman, and Medicaid fraud unit.</w:t>
      </w:r>
    </w:p>
    <w:p>
      <w:pPr>
        <w:pStyle w:val="ListParagraph"/>
        <w:numPr>
          <w:ilvl w:val="0"/>
          <w:numId w:val="493"/>
        </w:numPr>
        <w:spacing w:after="0" w:line="259" w:lineRule="auto"/>
        <w:ind w:left="900"/>
        <w:contextualSpacing/>
        <w:jc w:val="both"/>
        <w:rPr>
          <w:rFonts w:ascii="Verdana" w:hAnsi="Verdana" w:eastAsia="Verdana"/>
          <w:sz w:val="24"/>
          <w:szCs w:val="24"/>
        </w:rPr>
      </w:pPr>
      <w:r>
        <w:rPr>
          <w:rFonts w:ascii="Verdana" w:hAnsi="Verdana" w:eastAsia="Verdana"/>
          <w:sz w:val="24"/>
          <w:szCs w:val="24"/>
        </w:rPr>
        <w:t xml:space="preserve">Notice of availability and location of public records regarding the results of state and federal licensing and certification surveys of nursing homes.</w:t>
      </w:r>
    </w:p>
    <w:p>
      <w:pPr>
        <w:spacing w:after="0" w:line="306" w:lineRule="atLeast"/>
        <w:ind w:left="540" w:hanging="360"/>
        <w:rPr>
          <w:rFonts w:ascii="Verdana" w:hAnsi="Verdana" w:eastAsia="Verdana"/>
          <w:szCs w:val="24"/>
        </w:rPr>
      </w:pPr>
      <w:r>
        <w:rPr>
          <w:rFonts w:ascii="Verdana" w:hAnsi="Verdana" w:eastAsia="Verdana"/>
          <w:szCs w:val="24"/>
        </w:rPr>
        <w:t xml:space="preserve">II. Posting a Copy of Rights of Residents: Each nursing facility shall provide each resident or his/her representative upon admission, a copy of the provisions of R.I. Gen. Laws Chapter 23-17.5, entitled "Rights of Nursing Home Patients", and shall display in a conspicuous place, in the nursing facility a copy of the "Rights of Residents" and related information. At a minimum the display must include the following</w:t>
      </w:r>
      <w:r>
        <w:rPr>
          <w:rStyle w:val="FootnoteReference"/>
          <w:rFonts w:ascii="Verdana" w:hAnsi="Verdana" w:eastAsia="Verdana"/>
          <w:szCs w:val="24"/>
        </w:rPr>
        <w:footnoteReference w:customMarkFollows="0" w:id="11"/>
      </w:r>
      <w:r>
        <w:rPr>
          <w:rFonts w:ascii="Verdana" w:hAnsi="Verdana" w:eastAsia="Verdana"/>
          <w:szCs w:val="24"/>
        </w:rPr>
        <w:t xml:space="preserve">:</w:t>
      </w:r>
    </w:p>
    <w:p>
      <w:pPr>
        <w:pStyle w:val="ListParagraph"/>
        <w:numPr>
          <w:ilvl w:val="0"/>
          <w:numId w:val="229"/>
        </w:numPr>
        <w:spacing w:after="160" w:line="306" w:lineRule="atLeast"/>
        <w:ind w:left="900"/>
        <w:contextualSpacing/>
        <w:jc w:val="both"/>
        <w:textAlignment w:val="baseline"/>
        <w:rPr>
          <w:rFonts w:ascii="Verdana" w:hAnsi="Verdana" w:eastAsia="Verdana"/>
          <w:sz w:val="24"/>
          <w:szCs w:val="24"/>
        </w:rPr>
      </w:pPr>
      <w:r>
        <w:rPr>
          <w:rFonts w:ascii="Verdana" w:hAnsi="Verdana" w:eastAsia="Verdana"/>
          <w:sz w:val="24"/>
          <w:szCs w:val="24"/>
        </w:rPr>
        <w:t xml:space="preserve">A summary of the major provisions of the Rights of Residents as set forth in this Part;</w:t>
      </w:r>
    </w:p>
    <w:p>
      <w:pPr>
        <w:pStyle w:val="ListParagraph"/>
        <w:numPr>
          <w:ilvl w:val="0"/>
          <w:numId w:val="229"/>
        </w:numPr>
        <w:spacing w:after="160" w:line="306" w:lineRule="atLeast"/>
        <w:ind w:left="900"/>
        <w:contextualSpacing/>
        <w:jc w:val="both"/>
        <w:textAlignment w:val="baseline"/>
        <w:rPr>
          <w:rFonts w:ascii="Verdana" w:hAnsi="Verdana" w:eastAsia="Verdana"/>
          <w:sz w:val="24"/>
          <w:szCs w:val="24"/>
        </w:rPr>
      </w:pPr>
      <w:r>
        <w:rPr>
          <w:rFonts w:ascii="Verdana" w:hAnsi="Verdana" w:eastAsia="Verdana"/>
          <w:sz w:val="24"/>
          <w:szCs w:val="24"/>
        </w:rPr>
        <w:t xml:space="preserve">The address and telephone number of: Health Facilities Regulation, Rhode Island Department of Health, Three Capitol Hill, Providence, R.I. 02908 (Telephone Number: 401-222-2566), the agency which will accept complaints or notice of violations of the provisions of this Part;</w:t>
      </w:r>
    </w:p>
    <w:p>
      <w:pPr>
        <w:pStyle w:val="ListParagraph"/>
        <w:numPr>
          <w:ilvl w:val="0"/>
          <w:numId w:val="229"/>
        </w:numPr>
        <w:spacing w:after="160" w:line="306" w:lineRule="atLeast"/>
        <w:ind w:left="900"/>
        <w:contextualSpacing/>
        <w:jc w:val="both"/>
        <w:textAlignment w:val="baseline"/>
        <w:rPr>
          <w:rFonts w:ascii="Verdana" w:hAnsi="Verdana" w:eastAsia="Verdana"/>
          <w:sz w:val="24"/>
          <w:szCs w:val="24"/>
        </w:rPr>
      </w:pPr>
      <w:r>
        <w:rPr>
          <w:rFonts w:ascii="Verdana" w:hAnsi="Verdana" w:eastAsia="Verdana"/>
          <w:sz w:val="24"/>
          <w:szCs w:val="24"/>
        </w:rPr>
        <w:t xml:space="preserve">The results of the most recent state and federal licensing and certification surveys of nursing facilities must be posted.</w:t>
      </w:r>
    </w:p>
    <w:p>
      <w:pPr>
        <w:pStyle w:val="ListParagraph"/>
        <w:numPr>
          <w:ilvl w:val="0"/>
          <w:numId w:val="229"/>
        </w:numPr>
        <w:spacing w:after="160" w:line="306" w:lineRule="atLeast"/>
        <w:ind w:left="900"/>
        <w:contextualSpacing/>
        <w:jc w:val="both"/>
        <w:textAlignment w:val="baseline"/>
        <w:rPr>
          <w:rFonts w:ascii="Verdana" w:hAnsi="Verdana" w:eastAsia="Verdana"/>
          <w:sz w:val="24"/>
          <w:szCs w:val="24"/>
        </w:rPr>
      </w:pPr>
      <w:r>
        <w:rPr>
          <w:rFonts w:ascii="Verdana" w:hAnsi="Verdana" w:eastAsia="Verdana"/>
          <w:sz w:val="24"/>
          <w:szCs w:val="24"/>
        </w:rPr>
        <w:t xml:space="preserve">The telephone number of the state long-term care ombudsman: 401-785- 3340.</w:t>
      </w:r>
    </w:p>
    <w:p>
      <w:pPr>
        <w:pStyle w:val="ListParagraph"/>
        <w:numPr>
          <w:ilvl w:val="0"/>
          <w:numId w:val="229"/>
        </w:numPr>
        <w:spacing w:after="160" w:line="306" w:lineRule="atLeast"/>
        <w:ind w:left="900"/>
        <w:contextualSpacing/>
        <w:jc w:val="both"/>
        <w:textAlignment w:val="baseline"/>
        <w:rPr>
          <w:rFonts w:ascii="Verdana" w:hAnsi="Verdana" w:eastAsia="Verdana"/>
          <w:sz w:val="24"/>
          <w:szCs w:val="24"/>
        </w:rPr>
      </w:pPr>
      <w:r>
        <w:rPr>
          <w:rFonts w:ascii="Verdana" w:hAnsi="Verdana" w:eastAsia="Verdana"/>
          <w:sz w:val="24"/>
          <w:szCs w:val="24"/>
        </w:rPr>
        <w:t xml:space="preserve">The telephone number of the state Medicaid Fraud Unit: 401-274-4400 x2269</w:t>
      </w:r>
    </w:p>
    <w:p>
      <w:pPr>
        <w:spacing w:line="306" w:lineRule="atLeast"/>
        <w:textAlignment w:val="baseline"/>
        <w:rPr>
          <w:rFonts w:ascii="Verdana" w:hAnsi="Verdana" w:eastAsia="Verdana"/>
          <w:szCs w:val="24"/>
        </w:rPr>
        <w:sectPr>
          <w:headerReference w:type="default" r:id="rId451"/>
          <w:footerReference w:type="default" r:id="rId452"/>
          <w:type w:val="nextPage"/>
          <w:pgSz w:w="12240" w:h="15840"/>
          <w:pgMar w:top="1296" w:right="1296" w:bottom="1296" w:left="1296" w:header="720" w:footer="720" w:gutter="0"/>
          <w:pgBorders/>
          <w:pgNumType w:fmt="decimal" w:start="1"/>
          <w:cols w:num="1" w:equalWidth="1" w:space="720"/>
          <w:docGrid w:linePitch="360"/>
        </w:sectPr>
      </w:pPr>
    </w:p>
    <w:p>
      <w:pPr>
        <w:pStyle w:val="ListParagraph"/>
        <w:spacing w:line="306" w:lineRule="atLeast"/>
        <w:ind w:left="900"/>
        <w:jc w:val="center"/>
        <w:textAlignment w:val="baseline"/>
        <w:rPr>
          <w:rFonts w:ascii="Verdana" w:hAnsi="Verdana" w:eastAsia="Verdana"/>
          <w:b/>
          <w:bCs/>
          <w:sz w:val="28"/>
          <w:szCs w:val="28"/>
          <w:u w:val="single"/>
        </w:rPr>
      </w:pPr>
      <w:r>
        <w:rPr>
          <w:rFonts w:ascii="Verdana" w:hAnsi="Verdana" w:eastAsia="Verdana"/>
          <w:b/>
          <w:bCs/>
          <w:sz w:val="28"/>
          <w:szCs w:val="28"/>
          <w:u w:val="single"/>
        </w:rPr>
        <w:t xml:space="preserve">Attachment A</w:t>
      </w:r>
    </w:p>
    <w:p>
      <w:pPr>
        <w:pStyle w:val="ListParagraph"/>
        <w:spacing w:line="306" w:lineRule="atLeast"/>
        <w:ind w:left="900"/>
        <w:jc w:val="center"/>
        <w:textAlignment w:val="baseline"/>
        <w:rPr>
          <w:rFonts w:ascii="Verdana" w:hAnsi="Verdana" w:eastAsia="Verdana"/>
          <w:b/>
          <w:bCs/>
          <w:sz w:val="28"/>
          <w:szCs w:val="28"/>
          <w:u w:val="single"/>
        </w:rPr>
      </w:pPr>
      <w:r>
        <w:rPr>
          <w:rFonts w:ascii="Verdana" w:hAnsi="Verdana" w:eastAsia="Verdana"/>
          <w:b/>
          <w:bCs/>
          <w:sz w:val="28"/>
          <w:szCs w:val="28"/>
          <w:u w:val="single"/>
        </w:rPr>
        <w:t xml:space="preserve">Rights of Nursing Home Patients in Rhode Island</w:t>
      </w:r>
      <w:r>
        <w:rPr>
          <w:rStyle w:val="FootnoteReference"/>
          <w:rFonts w:ascii="Verdana" w:hAnsi="Verdana" w:eastAsia="Verdana"/>
          <w:b/>
          <w:bCs/>
          <w:sz w:val="28"/>
          <w:szCs w:val="28"/>
          <w:u w:val="single"/>
        </w:rPr>
        <w:footnoteReference w:customMarkFollows="0" w:id="12"/>
      </w:r>
    </w:p>
    <w:p>
      <w:pPr>
        <w:pStyle w:val="ListParagraph"/>
        <w:spacing w:line="306" w:lineRule="atLeast"/>
        <w:ind w:left="900"/>
        <w:jc w:val="both"/>
        <w:textAlignment w:val="baseline"/>
        <w:rPr>
          <w:rFonts w:ascii="Verdana" w:hAnsi="Verdana" w:eastAsia="Verdana"/>
          <w:sz w:val="24"/>
          <w:szCs w:val="24"/>
        </w:rPr>
      </w:pPr>
    </w:p>
    <w:p>
      <w:pPr>
        <w:keepNext/>
        <w:spacing w:after="0" w:line="340" w:lineRule="atLeast"/>
        <w:rPr>
          <w:rFonts w:ascii="Verdana" w:hAnsi="Verdana" w:eastAsia="Verdana"/>
          <w:szCs w:val="24"/>
        </w:rPr>
      </w:pPr>
      <w:bookmarkStart w:id="258" w:name="Bookmark_1"/>
      <w:bookmarkEnd w:id="258"/>
      <w:r>
        <w:rPr>
          <w:rFonts w:ascii="Verdana" w:hAnsi="Verdana" w:eastAsia="Arial"/>
          <w:b/>
          <w:szCs w:val="24"/>
        </w:rPr>
        <w:t xml:space="preserve">Condition of admission </w:t>
      </w:r>
    </w:p>
    <w:p>
      <w:pPr>
        <w:spacing w:after="0" w:line="260" w:lineRule="atLeast"/>
        <w:rPr>
          <w:rFonts w:ascii="Verdana" w:hAnsi="Verdana" w:eastAsia="Verdana"/>
          <w:szCs w:val="24"/>
        </w:rPr>
      </w:pPr>
      <w:r>
        <w:rPr>
          <w:rFonts w:ascii="Verdana" w:hAnsi="Verdana" w:eastAsia="Arial"/>
          <w:szCs w:val="24"/>
        </w:rPr>
        <w:t xml:space="preserve">As part of the procedure for admission of a patient to a nursing home, as defined in chapter 17 of this title, a written contract shall be entered into between the patient or the patient's next of kin or legal representative, and the nursing home.</w:t>
      </w:r>
      <w:bookmarkStart w:id="259" w:name="History"/>
      <w:bookmarkStart w:id="260" w:name="Bookmark_2"/>
      <w:bookmarkEnd w:id="259"/>
      <w:bookmarkEnd w:id="260"/>
    </w:p>
    <w:p>
      <w:pPr>
        <w:spacing w:after="0" w:line="260" w:lineRule="atLeast"/>
        <w:rPr>
          <w:rFonts w:ascii="Verdana" w:hAnsi="Verdana" w:eastAsia="Verdana"/>
          <w:szCs w:val="24"/>
        </w:rPr>
      </w:pPr>
      <w:r>
        <w:rPr>
          <w:rFonts w:ascii="Verdana" w:hAnsi="Verdana" w:eastAsia="Arial"/>
          <w:b/>
          <w:szCs w:val="24"/>
        </w:rPr>
        <w:t xml:space="preserve">Care of patient </w:t>
      </w:r>
    </w:p>
    <w:p>
      <w:pPr>
        <w:spacing w:after="0" w:line="260" w:lineRule="atLeast"/>
        <w:rPr>
          <w:rFonts w:ascii="Verdana" w:hAnsi="Verdana" w:eastAsia="Verdana"/>
          <w:szCs w:val="24"/>
        </w:rPr>
      </w:pPr>
      <w:r>
        <w:rPr>
          <w:rFonts w:ascii="Verdana" w:hAnsi="Verdana" w:eastAsia="Arial"/>
          <w:szCs w:val="24"/>
        </w:rPr>
        <w:t xml:space="preserve">Each patient shall be treated and cared for with consideration, respect, and dignity, and shall be afforded his or her right to privacy to the extent consistent with providing adequate medical care and with efficient administration.</w:t>
      </w:r>
      <w:bookmarkStart w:id="261" w:name="History_0"/>
      <w:bookmarkStart w:id="262" w:name="Bookmark_3"/>
      <w:bookmarkEnd w:id="261"/>
      <w:bookmarkEnd w:id="262"/>
    </w:p>
    <w:p>
      <w:pPr>
        <w:keepNext/>
        <w:spacing w:after="0" w:line="340" w:lineRule="atLeast"/>
        <w:rPr>
          <w:rFonts w:ascii="Verdana" w:hAnsi="Verdana" w:eastAsia="Verdana"/>
          <w:szCs w:val="24"/>
        </w:rPr>
      </w:pPr>
      <w:r>
        <w:rPr>
          <w:rFonts w:ascii="Verdana" w:hAnsi="Verdana" w:eastAsia="Arial"/>
          <w:b/>
          <w:szCs w:val="24"/>
        </w:rPr>
        <w:t xml:space="preserve">Physician </w:t>
      </w:r>
    </w:p>
    <w:p>
      <w:pPr>
        <w:spacing w:after="0" w:line="260" w:lineRule="atLeast"/>
        <w:rPr>
          <w:rFonts w:ascii="Verdana" w:hAnsi="Verdana" w:eastAsia="Verdana"/>
          <w:szCs w:val="24"/>
        </w:rPr>
      </w:pPr>
      <w:r>
        <w:rPr>
          <w:rFonts w:ascii="Verdana" w:hAnsi="Verdana" w:eastAsia="Arial"/>
          <w:szCs w:val="24"/>
        </w:rPr>
        <w:t xml:space="preserve">Each patient shall have the right to choose his or her own physician.</w:t>
      </w:r>
      <w:bookmarkStart w:id="263" w:name="History_1"/>
      <w:bookmarkStart w:id="264" w:name="Bookmark_4"/>
      <w:bookmarkEnd w:id="263"/>
      <w:bookmarkEnd w:id="264"/>
      <w:r>
        <w:rPr>
          <w:rFonts w:ascii="Verdana" w:hAnsi="Verdana" w:eastAsia="Verdana"/>
          <w:szCs w:val="24"/>
        </w:rPr>
        <w:br/>
      </w:r>
      <w:r>
        <w:rPr>
          <w:rFonts w:ascii="Verdana" w:hAnsi="Verdana" w:eastAsia="Arial"/>
          <w:b/>
          <w:szCs w:val="24"/>
        </w:rPr>
        <w:t xml:space="preserve">Rules of nursing homes </w:t>
      </w:r>
    </w:p>
    <w:p>
      <w:pPr>
        <w:spacing w:after="0" w:line="260" w:lineRule="atLeast"/>
        <w:rPr>
          <w:rFonts w:ascii="Verdana" w:hAnsi="Verdana" w:eastAsia="Verdana"/>
          <w:szCs w:val="24"/>
        </w:rPr>
      </w:pPr>
      <w:r>
        <w:rPr>
          <w:rFonts w:ascii="Verdana" w:hAnsi="Verdana" w:eastAsia="Arial"/>
          <w:szCs w:val="24"/>
        </w:rPr>
        <w:t xml:space="preserve">Each patient or his or her representative shall be provided with a copy of this chapter and shall be fully informed, as evidenced by the patient's or his or her representative's written acknowledgment, prior to or at the time of admission or during stay, of all rules and regulations and policies pertaining to the rights of patients, and governing patient conduct and responsibilities. Notice shall be provided immediately to a patient's legal guardian or a person who holds a power of attorney from the patient, or in the event the patient has no legal guardian or agent designated in the power of attorney for health care, then a person designated by the patient to be notified in case of emergencies, if there is an injury to the patient that required the attention of physician.</w:t>
      </w:r>
      <w:bookmarkStart w:id="265" w:name="History_2"/>
      <w:bookmarkStart w:id="266" w:name="Bookmark_5"/>
      <w:bookmarkEnd w:id="265"/>
      <w:bookmarkEnd w:id="266"/>
    </w:p>
    <w:p>
      <w:pPr>
        <w:keepNext/>
        <w:spacing w:after="0" w:line="340" w:lineRule="atLeast"/>
        <w:rPr>
          <w:rFonts w:ascii="Verdana" w:hAnsi="Verdana" w:eastAsia="Verdana"/>
          <w:szCs w:val="24"/>
        </w:rPr>
      </w:pPr>
      <w:r>
        <w:rPr>
          <w:rFonts w:ascii="Verdana" w:hAnsi="Verdana" w:eastAsia="Arial"/>
          <w:b/>
          <w:szCs w:val="24"/>
        </w:rPr>
        <w:t xml:space="preserve">Services and charges </w:t>
      </w:r>
    </w:p>
    <w:p>
      <w:pPr>
        <w:spacing w:after="0" w:line="260" w:lineRule="atLeast"/>
        <w:rPr>
          <w:rFonts w:ascii="Verdana" w:hAnsi="Verdana" w:eastAsia="Verdana"/>
          <w:szCs w:val="24"/>
        </w:rPr>
      </w:pPr>
      <w:r>
        <w:rPr>
          <w:rFonts w:ascii="Verdana" w:hAnsi="Verdana" w:eastAsia="Arial"/>
          <w:szCs w:val="24"/>
        </w:rPr>
        <w:t xml:space="preserve">Each patient shall be informed, in writing, prior to or at the time of admission and during his or her stay, of services available and of related charges, including all charges not covered either under federal and/or state programs, by other third-party payers, or by the facility's basic per diem rate.</w:t>
      </w:r>
      <w:bookmarkStart w:id="267" w:name="History_3"/>
      <w:bookmarkStart w:id="268" w:name="Bookmark_6"/>
      <w:bookmarkEnd w:id="267"/>
      <w:bookmarkEnd w:id="268"/>
    </w:p>
    <w:p>
      <w:pPr>
        <w:keepNext/>
        <w:spacing w:after="0" w:line="340" w:lineRule="atLeast"/>
        <w:rPr>
          <w:rFonts w:ascii="Verdana" w:hAnsi="Verdana" w:eastAsia="Arial"/>
          <w:b/>
          <w:szCs w:val="24"/>
        </w:rPr>
      </w:pPr>
      <w:r>
        <w:rPr>
          <w:rFonts w:ascii="Verdana" w:hAnsi="Verdana" w:eastAsia="Arial"/>
          <w:b/>
          <w:szCs w:val="24"/>
        </w:rPr>
        <w:t xml:space="preserve">Care by physician-Disclosure of patient's medical condition </w:t>
      </w:r>
      <w:bookmarkStart w:id="269" w:name="Bookmark__a"/>
      <w:bookmarkEnd w:id="269"/>
    </w:p>
    <w:p>
      <w:pPr>
        <w:keepNext/>
        <w:spacing w:after="0" w:line="340" w:lineRule="atLeast"/>
        <w:rPr>
          <w:rFonts w:ascii="Verdana" w:hAnsi="Verdana" w:eastAsia="Arial"/>
          <w:szCs w:val="24"/>
        </w:rPr>
      </w:pPr>
      <w:r>
        <w:rPr>
          <w:rFonts w:ascii="Verdana" w:hAnsi="Verdana" w:eastAsia="Arial"/>
          <w:szCs w:val="24"/>
        </w:rPr>
        <w:t xml:space="preserve">Each patient admitted to a facility shall be and remain under the care of a physician as specified in policies adopted by the governing body.</w:t>
      </w:r>
    </w:p>
    <w:p>
      <w:pPr>
        <w:pStyle w:val="ListParagraph"/>
        <w:numPr>
          <w:ilvl w:val="0"/>
          <w:numId w:val="86"/>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Each patient shall be informed by a physician of his or her medical condition unless medically contraindicated, as documented by a physician in his or her medical record, and shall be afforded the opportunity to participate in the planning of his or her medical treatment.</w:t>
      </w:r>
      <w:bookmarkStart w:id="270" w:name="History_4"/>
      <w:bookmarkStart w:id="271" w:name="Bookmark_7"/>
      <w:bookmarkEnd w:id="270"/>
      <w:bookmarkEnd w:id="271"/>
    </w:p>
    <w:p>
      <w:pPr>
        <w:keepNext/>
        <w:spacing w:after="0" w:line="340" w:lineRule="atLeast"/>
        <w:rPr>
          <w:rFonts w:ascii="Verdana" w:hAnsi="Verdana" w:eastAsia="Verdana"/>
          <w:szCs w:val="24"/>
        </w:rPr>
      </w:pPr>
      <w:r>
        <w:rPr>
          <w:rFonts w:ascii="Verdana" w:hAnsi="Verdana" w:eastAsia="Arial"/>
          <w:b/>
          <w:szCs w:val="24"/>
        </w:rPr>
        <w:t xml:space="preserve">Experimentation </w:t>
      </w:r>
    </w:p>
    <w:p>
      <w:pPr>
        <w:spacing w:after="0" w:line="260" w:lineRule="atLeast"/>
        <w:rPr>
          <w:rFonts w:ascii="Verdana" w:hAnsi="Verdana" w:eastAsia="Verdana"/>
          <w:szCs w:val="24"/>
        </w:rPr>
      </w:pPr>
      <w:r>
        <w:rPr>
          <w:rFonts w:ascii="Verdana" w:hAnsi="Verdana" w:eastAsia="Arial"/>
          <w:szCs w:val="24"/>
        </w:rPr>
        <w:t xml:space="preserve">If it is proposed that a patient be used in any human experimentation project, the patient shall first be thoroughly informed in writing of the proposal, and shall be offered the right to refuse to participate in the project. A patient who, after being thoroughly informed, wishes to participate, must execute a written statement of informed consent. The informed consent documentation shall be maintained on file in the facility.</w:t>
      </w:r>
      <w:bookmarkStart w:id="272" w:name="History_5"/>
      <w:bookmarkStart w:id="273" w:name="Bookmark_8"/>
      <w:bookmarkEnd w:id="272"/>
      <w:bookmarkEnd w:id="273"/>
    </w:p>
    <w:p>
      <w:pPr>
        <w:keepNext/>
        <w:spacing w:after="0" w:line="340" w:lineRule="atLeast"/>
        <w:rPr>
          <w:rFonts w:ascii="Verdana" w:hAnsi="Verdana" w:eastAsia="Verdana"/>
          <w:szCs w:val="24"/>
        </w:rPr>
      </w:pPr>
      <w:r>
        <w:rPr>
          <w:rFonts w:ascii="Verdana" w:hAnsi="Verdana" w:eastAsia="Arial"/>
          <w:b/>
          <w:szCs w:val="24"/>
        </w:rPr>
        <w:t xml:space="preserve">Grievances </w:t>
      </w:r>
    </w:p>
    <w:p>
      <w:pPr>
        <w:spacing w:after="0" w:line="260" w:lineRule="atLeast"/>
        <w:rPr>
          <w:rFonts w:ascii="Verdana" w:hAnsi="Verdana" w:eastAsia="Verdana"/>
          <w:szCs w:val="24"/>
        </w:rPr>
      </w:pPr>
      <w:r>
        <w:rPr>
          <w:rFonts w:ascii="Verdana" w:hAnsi="Verdana" w:eastAsia="Arial"/>
          <w:szCs w:val="24"/>
        </w:rPr>
        <w:t xml:space="preserve">Patients shall be encouraged and assisted to voice their grievances through a documented grievance mechanism established by the facility, involving patients, staff, and relatives of patients, which will insure patients' freedom from restraints, interference, coercion, discrimination, or reprisal.</w:t>
      </w:r>
      <w:bookmarkStart w:id="274" w:name="History_6"/>
      <w:bookmarkStart w:id="275" w:name="Bookmark_9"/>
      <w:bookmarkEnd w:id="274"/>
      <w:bookmarkEnd w:id="275"/>
    </w:p>
    <w:p>
      <w:pPr>
        <w:keepNext/>
        <w:spacing w:after="0" w:line="340" w:lineRule="atLeast"/>
        <w:rPr>
          <w:rFonts w:ascii="Verdana" w:hAnsi="Verdana" w:eastAsia="Arial"/>
          <w:szCs w:val="24"/>
        </w:rPr>
      </w:pPr>
      <w:r>
        <w:rPr>
          <w:rFonts w:ascii="Verdana" w:hAnsi="Verdana" w:eastAsia="Arial"/>
          <w:b/>
          <w:szCs w:val="24"/>
        </w:rPr>
        <w:t xml:space="preserve">Abuse </w:t>
      </w:r>
    </w:p>
    <w:p>
      <w:pPr>
        <w:pStyle w:val="ListParagraph"/>
        <w:numPr>
          <w:ilvl w:val="1"/>
          <w:numId w:val="317"/>
        </w:numPr>
        <w:spacing w:before="120" w:after="160" w:line="260" w:lineRule="atLeast"/>
        <w:ind w:left="450" w:hanging="270"/>
        <w:contextualSpacing/>
        <w:jc w:val="both"/>
        <w:rPr>
          <w:rFonts w:ascii="Verdana" w:hAnsi="Verdana" w:eastAsia="Arial"/>
          <w:sz w:val="24"/>
          <w:szCs w:val="24"/>
        </w:rPr>
      </w:pPr>
      <w:bookmarkStart w:id="276" w:name="Bookmark__a_0"/>
      <w:bookmarkEnd w:id="276"/>
      <w:r>
        <w:rPr>
          <w:rFonts w:ascii="Verdana" w:hAnsi="Verdana" w:eastAsia="Arial"/>
          <w:sz w:val="24"/>
          <w:szCs w:val="24"/>
        </w:rPr>
        <w:t xml:space="preserve">Patients shall not be subject to mental and physical abuse, and shall be free from chemical and (except in emergencies) physical restraints except as authorized in writing by a physician for a specified and limited period of time for the protection of the patient.</w:t>
      </w:r>
    </w:p>
    <w:p>
      <w:pPr>
        <w:pStyle w:val="ListParagraph"/>
        <w:numPr>
          <w:ilvl w:val="1"/>
          <w:numId w:val="317"/>
        </w:numPr>
        <w:spacing w:before="120" w:after="160" w:line="260" w:lineRule="atLeast"/>
        <w:ind w:left="450" w:hanging="270"/>
        <w:contextualSpacing/>
        <w:jc w:val="both"/>
        <w:rPr>
          <w:rFonts w:ascii="Verdana" w:hAnsi="Verdana" w:eastAsia="Arial"/>
          <w:sz w:val="24"/>
          <w:szCs w:val="24"/>
        </w:rPr>
      </w:pPr>
      <w:bookmarkStart w:id="277" w:name="Bookmark__b_0"/>
      <w:bookmarkEnd w:id="277"/>
      <w:r>
        <w:rPr>
          <w:rFonts w:ascii="Verdana" w:hAnsi="Verdana" w:eastAsia="Arial"/>
          <w:sz w:val="24"/>
          <w:szCs w:val="24"/>
        </w:rPr>
        <w:t xml:space="preserve">Restraining devices are generally prohibited. A controlling device to be used for the protection of the patient may be utilized only as prescribed in writing and signed by a physician. The length of time, the purpose, and the kind of restraint shall be specified in the physician's order.</w:t>
      </w:r>
    </w:p>
    <w:p>
      <w:pPr>
        <w:pStyle w:val="ListParagraph"/>
        <w:numPr>
          <w:ilvl w:val="0"/>
          <w:numId w:val="485"/>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A training program in the use of restraints shall be required for all personnel providing direct patient care, and completion of the program shall be documented in the employee's personnel record.</w:t>
      </w:r>
    </w:p>
    <w:p>
      <w:pPr>
        <w:pStyle w:val="ListParagraph"/>
        <w:numPr>
          <w:ilvl w:val="0"/>
          <w:numId w:val="485"/>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If physical restraining devices are authorized by a physician in accordance with subsection (b), the patient's next of kin or legal guardian shall be informed in writing of the purpose and duration of restraint. A copy of the communication shall be retained in the medical record for one year.</w:t>
      </w:r>
    </w:p>
    <w:p>
      <w:pPr>
        <w:keepNext/>
        <w:spacing w:after="0" w:line="340" w:lineRule="atLeast"/>
        <w:rPr>
          <w:rFonts w:ascii="Verdana" w:hAnsi="Verdana" w:eastAsia="Verdana"/>
          <w:szCs w:val="24"/>
        </w:rPr>
      </w:pPr>
      <w:bookmarkStart w:id="278" w:name="History_7"/>
      <w:bookmarkStart w:id="279" w:name="Bookmark_10"/>
      <w:bookmarkEnd w:id="278"/>
      <w:bookmarkEnd w:id="279"/>
      <w:r>
        <w:rPr>
          <w:rFonts w:ascii="Verdana" w:hAnsi="Verdana" w:eastAsia="Arial"/>
          <w:b/>
          <w:szCs w:val="24"/>
        </w:rPr>
        <w:t xml:space="preserve">Performance of services by patients </w:t>
      </w:r>
    </w:p>
    <w:p>
      <w:pPr>
        <w:spacing w:after="0" w:line="260" w:lineRule="atLeast"/>
        <w:rPr>
          <w:rFonts w:ascii="Verdana" w:hAnsi="Verdana" w:eastAsia="Verdana"/>
          <w:szCs w:val="24"/>
        </w:rPr>
      </w:pPr>
      <w:r>
        <w:rPr>
          <w:rFonts w:ascii="Verdana" w:hAnsi="Verdana" w:eastAsia="Arial"/>
          <w:szCs w:val="24"/>
        </w:rPr>
        <w:t xml:space="preserve">A patient shall not be required to perform services for the facility that are not included for therapeutic purposes in the patient's plan of care.</w:t>
      </w:r>
    </w:p>
    <w:p>
      <w:pPr>
        <w:keepNext/>
        <w:spacing w:after="0" w:line="340" w:lineRule="atLeast"/>
        <w:rPr>
          <w:rFonts w:ascii="Verdana" w:hAnsi="Verdana" w:eastAsia="Verdana"/>
          <w:szCs w:val="24"/>
        </w:rPr>
      </w:pPr>
      <w:bookmarkStart w:id="280" w:name="History_8"/>
      <w:bookmarkStart w:id="281" w:name="Bookmark_11"/>
      <w:bookmarkEnd w:id="280"/>
      <w:bookmarkEnd w:id="281"/>
      <w:r>
        <w:rPr>
          <w:rFonts w:ascii="Verdana" w:hAnsi="Verdana" w:eastAsia="Arial"/>
          <w:b/>
          <w:szCs w:val="24"/>
        </w:rPr>
        <w:t xml:space="preserve">Participation in activities </w:t>
      </w:r>
    </w:p>
    <w:p>
      <w:pPr>
        <w:spacing w:after="0" w:line="260" w:lineRule="atLeast"/>
        <w:rPr>
          <w:rFonts w:ascii="Verdana" w:hAnsi="Verdana" w:eastAsia="Verdana"/>
          <w:szCs w:val="24"/>
        </w:rPr>
      </w:pPr>
      <w:r>
        <w:rPr>
          <w:rFonts w:ascii="Verdana" w:hAnsi="Verdana" w:eastAsia="Arial"/>
          <w:szCs w:val="24"/>
        </w:rPr>
        <w:t xml:space="preserve">Patients may meet with and participate in activities of social, religious, and community groups at their discretion unless medically contraindicated per written medical order.</w:t>
      </w:r>
      <w:bookmarkStart w:id="282" w:name="History_9"/>
      <w:bookmarkStart w:id="283" w:name="Bookmark_12"/>
      <w:bookmarkEnd w:id="282"/>
      <w:bookmarkEnd w:id="283"/>
    </w:p>
    <w:p>
      <w:pPr>
        <w:keepNext/>
        <w:spacing w:after="0" w:line="340" w:lineRule="atLeast"/>
        <w:rPr>
          <w:rFonts w:ascii="Verdana" w:hAnsi="Verdana" w:eastAsia="Arial"/>
          <w:szCs w:val="24"/>
        </w:rPr>
      </w:pPr>
      <w:r>
        <w:rPr>
          <w:rFonts w:ascii="Verdana" w:hAnsi="Verdana" w:eastAsia="Arial"/>
          <w:b/>
          <w:szCs w:val="24"/>
        </w:rPr>
        <w:t xml:space="preserve">Visitors</w:t>
      </w:r>
    </w:p>
    <w:p>
      <w:pPr>
        <w:pStyle w:val="ListParagraph"/>
        <w:numPr>
          <w:ilvl w:val="1"/>
          <w:numId w:val="658"/>
        </w:numPr>
        <w:spacing w:after="160" w:line="260" w:lineRule="atLeast"/>
        <w:ind w:left="450" w:hanging="270"/>
        <w:contextualSpacing/>
        <w:jc w:val="both"/>
        <w:rPr>
          <w:rFonts w:ascii="Verdana" w:hAnsi="Verdana" w:eastAsia="Arial"/>
          <w:sz w:val="24"/>
          <w:szCs w:val="24"/>
        </w:rPr>
      </w:pPr>
      <w:bookmarkStart w:id="284" w:name="Bookmark__a_1"/>
      <w:bookmarkEnd w:id="284"/>
      <w:r>
        <w:rPr>
          <w:rFonts w:ascii="Verdana" w:hAnsi="Verdana" w:eastAsia="Arial"/>
          <w:sz w:val="24"/>
          <w:szCs w:val="24"/>
        </w:rPr>
        <w:t xml:space="preserve">Patients may associate and communicate privately with persons of their choice and shall be allowed freedom and privacy in sending and receiving mail.</w:t>
      </w:r>
    </w:p>
    <w:p>
      <w:pPr>
        <w:pStyle w:val="ListParagraph"/>
        <w:numPr>
          <w:ilvl w:val="1"/>
          <w:numId w:val="658"/>
        </w:numPr>
        <w:spacing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Posted reasonable visiting hours must be maintained in each home, with a minimum of four (4) hours daily.</w:t>
      </w:r>
    </w:p>
    <w:p>
      <w:pPr>
        <w:pStyle w:val="ListParagraph"/>
        <w:numPr>
          <w:ilvl w:val="1"/>
          <w:numId w:val="658"/>
        </w:numPr>
        <w:spacing w:after="160" w:line="260" w:lineRule="atLeast"/>
        <w:ind w:left="450" w:hanging="270"/>
        <w:contextualSpacing/>
        <w:jc w:val="both"/>
        <w:rPr>
          <w:rFonts w:ascii="Verdana" w:hAnsi="Verdana" w:eastAsia="Arial"/>
          <w:sz w:val="24"/>
          <w:szCs w:val="24"/>
        </w:rPr>
      </w:pPr>
      <w:bookmarkStart w:id="285" w:name="Bookmark__c_0"/>
      <w:bookmarkEnd w:id="285"/>
      <w:r>
        <w:rPr>
          <w:rFonts w:ascii="Verdana" w:hAnsi="Verdana" w:eastAsia="Arial"/>
          <w:sz w:val="24"/>
          <w:szCs w:val="24"/>
        </w:rPr>
        <w:t xml:space="preserve">The facility shall permit the long-term care ombudsman of the department of elderly affairs, and his or her designees as certified by that department, </w:t>
      </w:r>
      <w:r>
        <w:rPr>
          <w:rFonts w:ascii="Verdana" w:hAnsi="Verdana" w:eastAsia="Arial"/>
          <w:sz w:val="24"/>
          <w:szCs w:val="24"/>
        </w:rPr>
        <w:t xml:space="preserve">whose purposes include rendering assistance without charge to nursing home patients, to have access to the facility and its patients, if there is neither commercial purpose nor affect to the access, in order to:</w:t>
      </w:r>
    </w:p>
    <w:p>
      <w:pPr>
        <w:pStyle w:val="ListParagraph"/>
        <w:numPr>
          <w:ilvl w:val="2"/>
          <w:numId w:val="455"/>
        </w:numPr>
        <w:spacing w:before="120" w:after="160" w:line="260" w:lineRule="atLeast"/>
        <w:ind w:left="810" w:hanging="90"/>
        <w:contextualSpacing/>
        <w:jc w:val="both"/>
        <w:rPr>
          <w:rFonts w:ascii="Verdana" w:hAnsi="Verdana" w:eastAsia="Arial"/>
          <w:sz w:val="24"/>
          <w:szCs w:val="24"/>
        </w:rPr>
      </w:pPr>
      <w:r>
        <w:rPr>
          <w:rFonts w:ascii="Verdana" w:hAnsi="Verdana" w:eastAsia="Arial"/>
          <w:sz w:val="24"/>
          <w:szCs w:val="24"/>
        </w:rPr>
        <w:t xml:space="preserve">Visit, talk with, and make personal, social, and legal services available to all patients.</w:t>
      </w:r>
    </w:p>
    <w:p>
      <w:pPr>
        <w:pStyle w:val="ListParagraph"/>
        <w:numPr>
          <w:ilvl w:val="2"/>
          <w:numId w:val="455"/>
        </w:numPr>
        <w:spacing w:before="120" w:after="160" w:line="260" w:lineRule="atLeast"/>
        <w:ind w:left="810" w:hanging="90"/>
        <w:contextualSpacing/>
        <w:jc w:val="both"/>
        <w:rPr>
          <w:rFonts w:ascii="Verdana" w:hAnsi="Verdana" w:eastAsia="Arial"/>
          <w:sz w:val="24"/>
          <w:szCs w:val="24"/>
        </w:rPr>
      </w:pPr>
      <w:r>
        <w:rPr>
          <w:rFonts w:ascii="Verdana" w:hAnsi="Verdana" w:eastAsia="Arial"/>
          <w:sz w:val="24"/>
          <w:szCs w:val="24"/>
        </w:rPr>
        <w:t xml:space="preserve">Inform patients of their rights and entitlements, and their corresponding obligations, under federal and state laws by means of distribution of educational materials and discussion in groups and with individual patients.</w:t>
      </w:r>
    </w:p>
    <w:p>
      <w:pPr>
        <w:pStyle w:val="ListParagraph"/>
        <w:numPr>
          <w:ilvl w:val="2"/>
          <w:numId w:val="455"/>
        </w:numPr>
        <w:spacing w:before="120" w:after="160" w:line="260" w:lineRule="atLeast"/>
        <w:ind w:left="810" w:hanging="90"/>
        <w:contextualSpacing/>
        <w:jc w:val="both"/>
        <w:rPr>
          <w:rFonts w:ascii="Verdana" w:hAnsi="Verdana" w:eastAsia="Arial"/>
          <w:sz w:val="24"/>
          <w:szCs w:val="24"/>
        </w:rPr>
      </w:pPr>
      <w:r>
        <w:rPr>
          <w:rFonts w:ascii="Verdana" w:hAnsi="Verdana" w:eastAsia="Arial"/>
          <w:sz w:val="24"/>
          <w:szCs w:val="24"/>
        </w:rPr>
        <w:t xml:space="preserve">Assist patients in pursuing their legal rights regarding claims for public assistance, medical assistance, and social security benefits, as well as in all matters in which patients are aggrieved.</w:t>
      </w:r>
    </w:p>
    <w:p>
      <w:pPr>
        <w:pStyle w:val="ListParagraph"/>
        <w:numPr>
          <w:ilvl w:val="2"/>
          <w:numId w:val="455"/>
        </w:numPr>
        <w:spacing w:before="120" w:after="160" w:line="260" w:lineRule="atLeast"/>
        <w:ind w:left="810" w:hanging="90"/>
        <w:contextualSpacing/>
        <w:jc w:val="both"/>
        <w:rPr>
          <w:rFonts w:ascii="Verdana" w:hAnsi="Verdana" w:eastAsia="Arial"/>
          <w:sz w:val="24"/>
          <w:szCs w:val="24"/>
        </w:rPr>
      </w:pPr>
      <w:r>
        <w:rPr>
          <w:rFonts w:ascii="Verdana" w:hAnsi="Verdana" w:eastAsia="Arial"/>
          <w:sz w:val="24"/>
          <w:szCs w:val="24"/>
        </w:rPr>
        <w:t xml:space="preserve">Have access to all areas of the facility accessible to patients except the immediate living area of a patient who objects to the access.</w:t>
      </w:r>
    </w:p>
    <w:p>
      <w:pPr>
        <w:pStyle w:val="ListParagraph"/>
        <w:numPr>
          <w:ilvl w:val="2"/>
          <w:numId w:val="455"/>
        </w:numPr>
        <w:spacing w:before="120" w:after="160" w:line="260" w:lineRule="atLeast"/>
        <w:ind w:left="810" w:hanging="90"/>
        <w:contextualSpacing/>
        <w:jc w:val="both"/>
        <w:rPr>
          <w:rFonts w:ascii="Verdana" w:hAnsi="Verdana" w:eastAsia="Arial"/>
          <w:sz w:val="24"/>
          <w:szCs w:val="24"/>
        </w:rPr>
      </w:pPr>
      <w:r>
        <w:rPr>
          <w:rFonts w:ascii="Verdana" w:hAnsi="Verdana" w:eastAsia="Arial"/>
          <w:sz w:val="24"/>
          <w:szCs w:val="24"/>
        </w:rPr>
        <w:t xml:space="preserve">Engage in all other methods of assisting, advising, and representing patients so as to extend to them full enjoyment of their rights.</w:t>
      </w:r>
    </w:p>
    <w:p>
      <w:pPr>
        <w:pStyle w:val="ListParagraph"/>
        <w:numPr>
          <w:ilvl w:val="0"/>
          <w:numId w:val="630"/>
        </w:numPr>
        <w:spacing w:before="120" w:after="160" w:line="260" w:lineRule="atLeast"/>
        <w:ind w:left="450" w:hanging="270"/>
        <w:contextualSpacing/>
        <w:jc w:val="both"/>
        <w:rPr>
          <w:rFonts w:ascii="Verdana" w:hAnsi="Verdana" w:eastAsia="Arial"/>
          <w:sz w:val="24"/>
          <w:szCs w:val="24"/>
        </w:rPr>
      </w:pPr>
      <w:bookmarkStart w:id="286" w:name="Bookmark__d_0"/>
      <w:bookmarkEnd w:id="286"/>
      <w:r>
        <w:rPr>
          <w:rFonts w:ascii="Verdana" w:hAnsi="Verdana" w:eastAsia="Arial"/>
          <w:sz w:val="24"/>
          <w:szCs w:val="24"/>
        </w:rPr>
        <w:t xml:space="preserve">Any ombudsman, as certified by the department of elderly affairs, shall have access at any time. Individual patients shall have the complete right to terminate or deny any visit by persons having access pursuant to this section. Communications between a patient and persons having access pursuant to this section shall be confidential, unless the patient authorizes the release of the information. The communication shall be conducted in privacy. The state shall protect and hold harmless the long term care ombudsman, and his or her designees, from financial loss and expense, including legal fees and costs, if any, arising out of any claim, demand or suit for damages resulting from acts or omissions committed in the discharge of his or her duties and within the scope of his or her employment which may constitute negligence, but which acts are not wanton, malicious or grossly negligent, as determined by a court of competent jurisdiction.</w:t>
      </w:r>
    </w:p>
    <w:p>
      <w:pPr>
        <w:pStyle w:val="ListParagraph"/>
        <w:numPr>
          <w:ilvl w:val="0"/>
          <w:numId w:val="630"/>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No patient shall be punished or harassed by the facility or by its agents or employees because of the patient's effort to avail himself or herself of his or her rights, or because of the activities of others having access pursuant to this section.</w:t>
      </w:r>
      <w:bookmarkStart w:id="287" w:name="History_10"/>
      <w:bookmarkStart w:id="288" w:name="Bookmark_13"/>
      <w:bookmarkEnd w:id="287"/>
      <w:bookmarkEnd w:id="288"/>
    </w:p>
    <w:p>
      <w:pPr>
        <w:keepNext/>
        <w:spacing w:after="0" w:line="340" w:lineRule="atLeast"/>
        <w:rPr>
          <w:rFonts w:ascii="Verdana" w:hAnsi="Verdana" w:eastAsia="Verdana"/>
          <w:szCs w:val="24"/>
        </w:rPr>
      </w:pPr>
      <w:r>
        <w:rPr>
          <w:rFonts w:ascii="Verdana" w:hAnsi="Verdana" w:eastAsia="Arial"/>
          <w:b/>
          <w:szCs w:val="24"/>
        </w:rPr>
        <w:t xml:space="preserve">Personal services </w:t>
      </w:r>
    </w:p>
    <w:p>
      <w:pPr>
        <w:spacing w:after="0" w:line="260" w:lineRule="atLeast"/>
        <w:rPr>
          <w:rFonts w:ascii="Verdana" w:hAnsi="Verdana" w:eastAsia="Verdana"/>
          <w:szCs w:val="24"/>
        </w:rPr>
      </w:pPr>
      <w:r>
        <w:rPr>
          <w:rFonts w:ascii="Verdana" w:hAnsi="Verdana" w:eastAsia="Arial"/>
          <w:szCs w:val="24"/>
        </w:rPr>
        <w:t xml:space="preserve">Patients shall have the right to obtain personal services or to purchase personal needs outside of the facility.</w:t>
      </w:r>
    </w:p>
    <w:p>
      <w:pPr>
        <w:keepNext/>
        <w:spacing w:after="0" w:line="340" w:lineRule="atLeast"/>
        <w:rPr>
          <w:rFonts w:ascii="Verdana" w:hAnsi="Verdana" w:eastAsia="Arial"/>
          <w:szCs w:val="24"/>
        </w:rPr>
      </w:pPr>
      <w:bookmarkStart w:id="289" w:name="History_11"/>
      <w:bookmarkStart w:id="290" w:name="Bookmark_14"/>
      <w:bookmarkEnd w:id="289"/>
      <w:bookmarkEnd w:id="290"/>
      <w:r>
        <w:rPr>
          <w:rFonts w:ascii="Verdana" w:hAnsi="Verdana" w:eastAsia="Arial"/>
          <w:b/>
          <w:szCs w:val="24"/>
        </w:rPr>
        <w:t xml:space="preserve">Right to privacy </w:t>
      </w:r>
    </w:p>
    <w:p>
      <w:pPr>
        <w:pStyle w:val="ListParagraph"/>
        <w:numPr>
          <w:ilvl w:val="1"/>
          <w:numId w:val="131"/>
        </w:numPr>
        <w:tabs>
          <w:tab w:val="left" w:pos="2340"/>
        </w:tabs>
        <w:spacing w:after="0" w:line="260" w:lineRule="atLeast"/>
        <w:ind w:left="450" w:hanging="270"/>
        <w:contextualSpacing/>
        <w:jc w:val="both"/>
        <w:rPr>
          <w:rFonts w:ascii="Verdana" w:hAnsi="Verdana" w:eastAsia="Arial"/>
          <w:sz w:val="24"/>
          <w:szCs w:val="24"/>
        </w:rPr>
      </w:pPr>
      <w:bookmarkStart w:id="291" w:name="Bookmark__a_2"/>
      <w:bookmarkEnd w:id="291"/>
      <w:r>
        <w:rPr>
          <w:rFonts w:ascii="Verdana" w:hAnsi="Verdana" w:eastAsia="Arial"/>
          <w:sz w:val="24"/>
          <w:szCs w:val="24"/>
        </w:rPr>
        <w:t xml:space="preserve">The patient's right to privacy and confidentiality shall extend to all records pertaining to the patient. Release of any records shall be subject to the patient's approval except in case of transfer to another health care facility or as otherwise provided by law.</w:t>
      </w:r>
    </w:p>
    <w:p>
      <w:pPr>
        <w:pStyle w:val="ListParagraph"/>
        <w:numPr>
          <w:ilvl w:val="1"/>
          <w:numId w:val="131"/>
        </w:numPr>
        <w:tabs>
          <w:tab w:val="left" w:pos="2340"/>
        </w:tabs>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right to privacy and confidentiality relates to the public dissemination of specific information contained within patient records and to the </w:t>
      </w:r>
      <w:r>
        <w:rPr>
          <w:rFonts w:ascii="Verdana" w:hAnsi="Verdana" w:eastAsia="Arial"/>
          <w:sz w:val="24"/>
          <w:szCs w:val="24"/>
        </w:rPr>
        <w:t xml:space="preserve">identification of specific individuals, but does not abrogate the responsibility of the licensing agency to review all patient records.</w:t>
      </w:r>
    </w:p>
    <w:p>
      <w:pPr>
        <w:pStyle w:val="ListParagraph"/>
        <w:numPr>
          <w:ilvl w:val="1"/>
          <w:numId w:val="131"/>
        </w:numPr>
        <w:tabs>
          <w:tab w:val="left" w:pos="2340"/>
        </w:tabs>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With the permission of a patient or patient's legal guardian, the long-term care ombudsman shall have access to review the patient's medical and social records or, if a patient is unable to consent to the review and has no legal guardian, appropriate access to the patient's medical and social records shall be granted to the long-term care ombudsman.</w:t>
      </w:r>
      <w:bookmarkStart w:id="292" w:name="History_12"/>
      <w:bookmarkStart w:id="293" w:name="Bookmark_15"/>
      <w:bookmarkEnd w:id="292"/>
      <w:bookmarkEnd w:id="293"/>
    </w:p>
    <w:p>
      <w:pPr>
        <w:keepNext/>
        <w:spacing w:after="0" w:line="340" w:lineRule="atLeast"/>
        <w:rPr>
          <w:rFonts w:ascii="Verdana" w:hAnsi="Verdana" w:eastAsia="Verdana"/>
          <w:szCs w:val="24"/>
        </w:rPr>
      </w:pPr>
      <w:r>
        <w:rPr>
          <w:rFonts w:ascii="Verdana" w:hAnsi="Verdana" w:eastAsia="Arial"/>
          <w:b/>
          <w:szCs w:val="24"/>
        </w:rPr>
        <w:t xml:space="preserve">Financial affairs </w:t>
      </w:r>
    </w:p>
    <w:p>
      <w:pPr>
        <w:spacing w:after="0" w:line="260" w:lineRule="atLeast"/>
        <w:rPr>
          <w:rFonts w:ascii="Verdana" w:hAnsi="Verdana" w:eastAsia="Verdana"/>
          <w:szCs w:val="24"/>
        </w:rPr>
      </w:pPr>
      <w:r>
        <w:rPr>
          <w:rFonts w:ascii="Verdana" w:hAnsi="Verdana" w:eastAsia="Arial"/>
          <w:szCs w:val="24"/>
        </w:rPr>
        <w:t xml:space="preserve">A patient may manage his or her personal financial affairs or shall be given at least quarterly accounting of financial transactions made on his or her behalf, if written delegation of this responsibility was accepted by the facility for a stipulated period of time and in conformance with state laws.</w:t>
      </w:r>
      <w:bookmarkStart w:id="294" w:name="History_13"/>
      <w:bookmarkStart w:id="295" w:name="Bookmark_16"/>
      <w:bookmarkEnd w:id="294"/>
      <w:bookmarkEnd w:id="295"/>
    </w:p>
    <w:p>
      <w:pPr>
        <w:keepNext/>
        <w:spacing w:after="0" w:line="340" w:lineRule="atLeast"/>
        <w:rPr>
          <w:rFonts w:ascii="Verdana" w:hAnsi="Verdana" w:eastAsia="Verdana"/>
          <w:szCs w:val="24"/>
        </w:rPr>
      </w:pPr>
      <w:r>
        <w:rPr>
          <w:rFonts w:ascii="Verdana" w:hAnsi="Verdana" w:eastAsia="Arial"/>
          <w:b/>
          <w:szCs w:val="24"/>
        </w:rPr>
        <w:t xml:space="preserve">Married patient</w:t>
      </w:r>
      <w:r>
        <w:rPr>
          <w:rFonts w:ascii="Verdana" w:hAnsi="Verdana" w:eastAsia="Verdana"/>
          <w:szCs w:val="24"/>
        </w:rPr>
        <w:t xml:space="preserve"> </w:t>
      </w:r>
    </w:p>
    <w:p>
      <w:pPr>
        <w:spacing w:after="0" w:line="260" w:lineRule="atLeast"/>
        <w:rPr>
          <w:rFonts w:ascii="Verdana" w:hAnsi="Verdana" w:eastAsia="Verdana"/>
          <w:szCs w:val="24"/>
        </w:rPr>
      </w:pPr>
      <w:r>
        <w:rPr>
          <w:rFonts w:ascii="Verdana" w:hAnsi="Verdana" w:eastAsia="Arial"/>
          <w:szCs w:val="24"/>
        </w:rPr>
        <w:t xml:space="preserve">If married, patients shall be assured privacy for visits by the spouse; if both are inpatients in the facility, they may share a room unless medically contraindicated per written order of the physician and subject to the availability of accommodations within the facility.</w:t>
      </w:r>
      <w:bookmarkStart w:id="296" w:name="History_14"/>
      <w:bookmarkStart w:id="297" w:name="Bookmark_17"/>
      <w:bookmarkEnd w:id="296"/>
      <w:bookmarkEnd w:id="297"/>
    </w:p>
    <w:p>
      <w:pPr>
        <w:keepNext/>
        <w:spacing w:after="0" w:line="340" w:lineRule="atLeast"/>
        <w:rPr>
          <w:rFonts w:ascii="Verdana" w:hAnsi="Verdana" w:eastAsia="Arial"/>
          <w:szCs w:val="24"/>
        </w:rPr>
      </w:pPr>
      <w:r>
        <w:rPr>
          <w:rFonts w:ascii="Verdana" w:hAnsi="Verdana" w:eastAsia="Arial"/>
          <w:b/>
          <w:szCs w:val="24"/>
        </w:rPr>
        <w:t xml:space="preserve">Transfer to another facility </w:t>
      </w:r>
    </w:p>
    <w:p>
      <w:pPr>
        <w:pStyle w:val="ListParagraph"/>
        <w:numPr>
          <w:ilvl w:val="1"/>
          <w:numId w:val="102"/>
        </w:numPr>
        <w:spacing w:after="0" w:line="260" w:lineRule="atLeast"/>
        <w:ind w:left="450" w:hanging="270"/>
        <w:contextualSpacing/>
        <w:jc w:val="both"/>
        <w:rPr>
          <w:rFonts w:ascii="Verdana" w:hAnsi="Verdana" w:eastAsia="Arial"/>
          <w:sz w:val="24"/>
          <w:szCs w:val="24"/>
        </w:rPr>
      </w:pPr>
      <w:bookmarkStart w:id="298" w:name="Bookmark__a_3"/>
      <w:bookmarkEnd w:id="298"/>
      <w:r>
        <w:rPr>
          <w:rFonts w:ascii="Verdana" w:hAnsi="Verdana" w:eastAsia="Arial"/>
          <w:sz w:val="24"/>
          <w:szCs w:val="24"/>
        </w:rPr>
        <w:t xml:space="preserve">Before transferring a patient to another facility or level of care within a facility, the patient shall be informed of the need for the transfer and of any alternatives to the transfer.</w:t>
      </w:r>
    </w:p>
    <w:p>
      <w:pPr>
        <w:pStyle w:val="ListParagraph"/>
        <w:numPr>
          <w:ilvl w:val="1"/>
          <w:numId w:val="102"/>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A patient shall be transferred or discharged only for medical reasons, or for the patient's welfare or that of other patients or for nonpayment of the patient's stay. A facility seeking to discharge a patient for nonpayment of the patient's stay must, if the patient has been a patient of the facility for thirty (30) days or longer, provide the patient and, if known, a family member or legal representative of the patient, with written notice of the proposed discharge thirty (30) days in advance of the discharge.</w:t>
      </w:r>
    </w:p>
    <w:p>
      <w:pPr>
        <w:pStyle w:val="ListParagraph"/>
        <w:numPr>
          <w:ilvl w:val="1"/>
          <w:numId w:val="102"/>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patient may file an appeal of the proposed discharge with the state agency designated for hearing such appeals, and if the appeal is received by that agency within ten days after the date of written notice, the patient may remain in the facility until the decision of the hearing officer. For appeals where the patient remains in the facility:</w:t>
      </w:r>
    </w:p>
    <w:p>
      <w:pPr>
        <w:pStyle w:val="ListParagraph"/>
        <w:numPr>
          <w:ilvl w:val="2"/>
          <w:numId w:val="656"/>
        </w:numPr>
        <w:spacing w:before="120" w:after="160" w:line="260" w:lineRule="atLeast"/>
        <w:ind w:left="810" w:hanging="90"/>
        <w:contextualSpacing/>
        <w:jc w:val="both"/>
        <w:rPr>
          <w:rFonts w:ascii="Verdana" w:hAnsi="Verdana" w:eastAsia="Arial"/>
          <w:sz w:val="24"/>
          <w:szCs w:val="24"/>
        </w:rPr>
      </w:pPr>
      <w:bookmarkStart w:id="299" w:name="Bookmark__c_i"/>
      <w:bookmarkEnd w:id="299"/>
      <w:r>
        <w:rPr>
          <w:rFonts w:ascii="Verdana" w:hAnsi="Verdana" w:eastAsia="Arial"/>
          <w:sz w:val="24"/>
          <w:szCs w:val="24"/>
        </w:rPr>
        <w:t xml:space="preserve">Any hearing on the appeal shall be scheduled no later than thirty (30) days after the receipt by the state agency of the request for appeal;</w:t>
      </w:r>
    </w:p>
    <w:p>
      <w:pPr>
        <w:pStyle w:val="ListParagraph"/>
        <w:numPr>
          <w:ilvl w:val="2"/>
          <w:numId w:val="656"/>
        </w:numPr>
        <w:spacing w:before="120" w:after="160" w:line="260" w:lineRule="atLeast"/>
        <w:ind w:left="810" w:hanging="90"/>
        <w:contextualSpacing/>
        <w:jc w:val="both"/>
        <w:rPr>
          <w:rFonts w:ascii="Verdana" w:hAnsi="Verdana" w:eastAsia="Arial"/>
          <w:sz w:val="24"/>
          <w:szCs w:val="24"/>
        </w:rPr>
      </w:pPr>
      <w:bookmarkStart w:id="300" w:name="Bookmark__c_ii"/>
      <w:bookmarkEnd w:id="300"/>
      <w:r>
        <w:rPr>
          <w:rFonts w:ascii="Verdana" w:hAnsi="Verdana" w:eastAsia="Arial"/>
          <w:sz w:val="24"/>
          <w:szCs w:val="24"/>
        </w:rPr>
        <w:t xml:space="preserve">No more than one request for continuance by the patient shall be permitted and, if granted, the hearing on the appeal must be rescheduled for a date and time no later than forty (40) days after the receipt by the state agency of the request for appeal; and</w:t>
      </w:r>
    </w:p>
    <w:p>
      <w:pPr>
        <w:pStyle w:val="ListParagraph"/>
        <w:numPr>
          <w:ilvl w:val="2"/>
          <w:numId w:val="656"/>
        </w:numPr>
        <w:spacing w:before="120" w:after="160" w:line="260" w:lineRule="atLeast"/>
        <w:ind w:left="810" w:hanging="90"/>
        <w:contextualSpacing/>
        <w:jc w:val="both"/>
        <w:rPr>
          <w:rFonts w:ascii="Verdana" w:hAnsi="Verdana" w:eastAsia="Arial"/>
          <w:sz w:val="24"/>
          <w:szCs w:val="24"/>
        </w:rPr>
      </w:pPr>
      <w:bookmarkStart w:id="301" w:name="Bookmark__c_iii"/>
      <w:bookmarkEnd w:id="301"/>
      <w:r>
        <w:rPr>
          <w:rFonts w:ascii="Verdana" w:hAnsi="Verdana" w:eastAsia="Arial"/>
          <w:sz w:val="24"/>
          <w:szCs w:val="24"/>
        </w:rPr>
        <w:t xml:space="preserve">The decision of the hearing officer shall be rendered as soon as possible, but in any event within five (5) days after the date of the hearing.</w:t>
      </w:r>
    </w:p>
    <w:p>
      <w:pPr>
        <w:pStyle w:val="ListParagraph"/>
        <w:numPr>
          <w:ilvl w:val="0"/>
          <w:numId w:val="781"/>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Reasonable advance notice of transfers to health care facilities other than hospitals shall be given to ensure orderly transfer or discharge and those actions shall be documented in the medical record.</w:t>
      </w:r>
    </w:p>
    <w:p>
      <w:pPr>
        <w:pStyle w:val="ListParagraph"/>
        <w:numPr>
          <w:ilvl w:val="0"/>
          <w:numId w:val="781"/>
        </w:numPr>
        <w:spacing w:before="120" w:after="160" w:line="260" w:lineRule="atLeast"/>
        <w:ind w:left="450" w:hanging="270"/>
        <w:contextualSpacing/>
        <w:jc w:val="both"/>
        <w:rPr>
          <w:rFonts w:ascii="Verdana" w:hAnsi="Verdana" w:eastAsia="Arial"/>
          <w:sz w:val="24"/>
          <w:szCs w:val="24"/>
        </w:rPr>
      </w:pPr>
      <w:bookmarkStart w:id="302" w:name="Bookmark__e_0"/>
      <w:bookmarkEnd w:id="302"/>
      <w:r>
        <w:rPr>
          <w:rFonts w:ascii="Verdana" w:hAnsi="Verdana" w:eastAsia="Arial"/>
          <w:sz w:val="24"/>
          <w:szCs w:val="24"/>
        </w:rPr>
        <w:t xml:space="preserve">In the event that a facility seeks a variance from the required thirty (30) day notice of closure of the facility, reasonable advance notice of the hearing for the variance shall be given by the facility to the patient, his or her guardian, or relative so appointed or elected to be his or her decision-maker, and an opportunity to be present at the hearing shall be granted to the designated person.</w:t>
      </w:r>
    </w:p>
    <w:p>
      <w:pPr>
        <w:pStyle w:val="ListParagraph"/>
        <w:numPr>
          <w:ilvl w:val="0"/>
          <w:numId w:val="781"/>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In the event of the voluntary closure of a facility, which closure is the result of a variance from the required thirty (30) day notice of closure, granted by the director of the department of health, reasonable advance notice of the closure shall be given by the facility to the patient, his or her guardian, or relative so appointed or elected to be his or her decision-maker.</w:t>
      </w:r>
    </w:p>
    <w:p>
      <w:pPr>
        <w:pStyle w:val="ListParagraph"/>
        <w:numPr>
          <w:ilvl w:val="0"/>
          <w:numId w:val="781"/>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Nothing herein shall be construed to relieve a patient from any obligation to pay for the patient's stay in a facility.</w:t>
      </w:r>
      <w:bookmarkStart w:id="303" w:name="History_15"/>
      <w:bookmarkStart w:id="304" w:name="Bookmark_18"/>
      <w:bookmarkEnd w:id="303"/>
      <w:bookmarkEnd w:id="304"/>
    </w:p>
    <w:p>
      <w:pPr>
        <w:keepNext/>
        <w:spacing w:after="0" w:line="340" w:lineRule="atLeast"/>
        <w:rPr>
          <w:rFonts w:ascii="Verdana" w:hAnsi="Verdana" w:eastAsia="Arial"/>
          <w:szCs w:val="24"/>
        </w:rPr>
      </w:pPr>
      <w:r>
        <w:rPr>
          <w:rFonts w:ascii="Verdana" w:hAnsi="Verdana" w:eastAsia="Arial"/>
          <w:b/>
          <w:szCs w:val="24"/>
        </w:rPr>
        <w:t xml:space="preserve">Development of responsibilities </w:t>
      </w:r>
    </w:p>
    <w:p>
      <w:pPr>
        <w:spacing w:after="0" w:line="260" w:lineRule="atLeast"/>
        <w:rPr>
          <w:rFonts w:ascii="Verdana" w:hAnsi="Verdana" w:eastAsia="Arial"/>
          <w:szCs w:val="24"/>
        </w:rPr>
      </w:pPr>
      <w:r>
        <w:rPr>
          <w:rFonts w:ascii="Verdana" w:hAnsi="Verdana" w:eastAsia="Arial"/>
          <w:szCs w:val="24"/>
        </w:rPr>
        <w:t xml:space="preserve">All rights and responsibilities specified in </w:t>
      </w:r>
      <w:r>
        <w:rPr>
          <w:rFonts w:ascii="Verdana" w:hAnsi="Verdana" w:eastAsia="Arial"/>
          <w:i/>
          <w:szCs w:val="24"/>
          <w:u w:val="single"/>
        </w:rPr>
        <w:t xml:space="preserve">§§ 23-17.5-3</w:t>
      </w:r>
      <w:r>
        <w:rPr>
          <w:rFonts w:ascii="Verdana" w:hAnsi="Verdana" w:eastAsia="Arial"/>
          <w:szCs w:val="24"/>
        </w:rPr>
        <w:t xml:space="preserve">, </w:t>
      </w:r>
      <w:r>
        <w:rPr>
          <w:rFonts w:ascii="Verdana" w:hAnsi="Verdana" w:eastAsia="Arial"/>
          <w:i/>
          <w:szCs w:val="24"/>
          <w:u w:val="single"/>
        </w:rPr>
        <w:t xml:space="preserve">23-17.5-7</w:t>
      </w:r>
      <w:r>
        <w:rPr>
          <w:rFonts w:ascii="Verdana" w:hAnsi="Verdana" w:eastAsia="Arial"/>
          <w:szCs w:val="24"/>
        </w:rPr>
        <w:t xml:space="preserve">, </w:t>
      </w:r>
      <w:r>
        <w:rPr>
          <w:rFonts w:ascii="Verdana" w:hAnsi="Verdana" w:eastAsia="Arial"/>
          <w:i/>
          <w:szCs w:val="24"/>
          <w:u w:val="single"/>
        </w:rPr>
        <w:t xml:space="preserve">23-17.5-15</w:t>
      </w:r>
      <w:r>
        <w:rPr>
          <w:rFonts w:ascii="Verdana" w:hAnsi="Verdana" w:eastAsia="Arial"/>
          <w:szCs w:val="24"/>
        </w:rPr>
        <w:t xml:space="preserve">, and </w:t>
      </w:r>
      <w:r>
        <w:rPr>
          <w:rFonts w:ascii="Verdana" w:hAnsi="Verdana" w:eastAsia="Arial"/>
          <w:i/>
          <w:szCs w:val="24"/>
          <w:u w:val="single"/>
        </w:rPr>
        <w:t xml:space="preserve">23-17.5-17</w:t>
      </w:r>
      <w:r>
        <w:rPr>
          <w:rFonts w:ascii="Verdana" w:hAnsi="Verdana" w:eastAsia="Arial"/>
          <w:szCs w:val="24"/>
        </w:rPr>
        <w:t xml:space="preserve"> shall devolve, in order of priority, to a patient's guardian, next of kin, sponsoring agency(</w:t>
      </w:r>
      <w:r>
        <w:rPr>
          <w:rFonts w:ascii="Verdana" w:hAnsi="Verdana" w:eastAsia="Arial"/>
          <w:szCs w:val="24"/>
        </w:rPr>
        <w:t xml:space="preserve">ies</w:t>
      </w:r>
      <w:r>
        <w:rPr>
          <w:rFonts w:ascii="Verdana" w:hAnsi="Verdana" w:eastAsia="Arial"/>
          <w:szCs w:val="24"/>
        </w:rPr>
        <w:t xml:space="preserve">) or representative payor (except when the facility itself is the representative payor) for patients who are:</w:t>
      </w:r>
    </w:p>
    <w:p>
      <w:pPr>
        <w:pStyle w:val="ListParagraph"/>
        <w:numPr>
          <w:ilvl w:val="2"/>
          <w:numId w:val="673"/>
        </w:numPr>
        <w:tabs>
          <w:tab w:val="left" w:pos="450"/>
        </w:tabs>
        <w:spacing w:after="0" w:line="260" w:lineRule="atLeast"/>
        <w:ind w:left="450" w:hanging="270"/>
        <w:contextualSpacing/>
        <w:jc w:val="both"/>
        <w:rPr>
          <w:rFonts w:ascii="Verdana" w:hAnsi="Verdana" w:eastAsia="Arial"/>
          <w:sz w:val="24"/>
          <w:szCs w:val="24"/>
        </w:rPr>
      </w:pPr>
      <w:bookmarkStart w:id="305" w:name="Bookmark__1"/>
      <w:bookmarkEnd w:id="305"/>
      <w:r>
        <w:rPr>
          <w:rFonts w:ascii="Verdana" w:hAnsi="Verdana" w:eastAsia="Arial"/>
          <w:sz w:val="24"/>
          <w:szCs w:val="24"/>
        </w:rPr>
        <w:t xml:space="preserve">Adjudicated incompetent in accordance with state law; or</w:t>
      </w:r>
    </w:p>
    <w:p>
      <w:pPr>
        <w:pStyle w:val="ListParagraph"/>
        <w:numPr>
          <w:ilvl w:val="2"/>
          <w:numId w:val="673"/>
        </w:numPr>
        <w:tabs>
          <w:tab w:val="left" w:pos="450"/>
        </w:tabs>
        <w:spacing w:after="0" w:line="260" w:lineRule="atLeast"/>
        <w:ind w:left="450" w:hanging="270"/>
        <w:contextualSpacing/>
        <w:jc w:val="both"/>
        <w:rPr>
          <w:rFonts w:ascii="Verdana" w:hAnsi="Verdana" w:eastAsia="Arial"/>
          <w:sz w:val="24"/>
          <w:szCs w:val="24"/>
        </w:rPr>
      </w:pPr>
      <w:bookmarkStart w:id="306" w:name="Bookmark__2"/>
      <w:bookmarkEnd w:id="306"/>
      <w:r>
        <w:rPr>
          <w:rFonts w:ascii="Verdana" w:hAnsi="Verdana" w:eastAsia="Arial"/>
          <w:sz w:val="24"/>
          <w:szCs w:val="24"/>
        </w:rPr>
        <w:t xml:space="preserve">Found by the physician to be medically incapable of understanding their rights; or</w:t>
      </w:r>
    </w:p>
    <w:p>
      <w:pPr>
        <w:pStyle w:val="ListParagraph"/>
        <w:numPr>
          <w:ilvl w:val="2"/>
          <w:numId w:val="673"/>
        </w:numPr>
        <w:tabs>
          <w:tab w:val="left" w:pos="450"/>
        </w:tabs>
        <w:spacing w:after="0" w:line="260" w:lineRule="atLeast"/>
        <w:ind w:left="450" w:hanging="270"/>
        <w:contextualSpacing/>
        <w:jc w:val="both"/>
        <w:rPr>
          <w:rFonts w:ascii="Verdana" w:hAnsi="Verdana" w:eastAsia="Arial"/>
          <w:sz w:val="24"/>
          <w:szCs w:val="24"/>
        </w:rPr>
      </w:pPr>
      <w:bookmarkStart w:id="307" w:name="Bookmark__3"/>
      <w:bookmarkEnd w:id="307"/>
      <w:r>
        <w:rPr>
          <w:rFonts w:ascii="Verdana" w:hAnsi="Verdana" w:eastAsia="Arial"/>
          <w:sz w:val="24"/>
          <w:szCs w:val="24"/>
        </w:rPr>
        <w:t xml:space="preserve">Found to exhibit a communication barrier. If, however, the communication barrier is one of speaking a language other than English, then an attempt shall be made to find an interpreter to allow the patient to knowingly exercise his or her rights.</w:t>
      </w:r>
      <w:bookmarkStart w:id="308" w:name="History_16"/>
      <w:bookmarkStart w:id="309" w:name="Bookmark_19"/>
      <w:bookmarkEnd w:id="308"/>
      <w:bookmarkEnd w:id="309"/>
    </w:p>
    <w:p>
      <w:pPr>
        <w:keepNext/>
        <w:spacing w:after="0" w:line="340" w:lineRule="atLeast"/>
        <w:rPr>
          <w:rFonts w:ascii="Verdana" w:hAnsi="Verdana" w:eastAsia="Verdana"/>
          <w:szCs w:val="24"/>
        </w:rPr>
      </w:pPr>
      <w:r>
        <w:rPr>
          <w:rFonts w:ascii="Verdana" w:hAnsi="Verdana" w:eastAsia="Arial"/>
          <w:b/>
          <w:szCs w:val="24"/>
        </w:rPr>
        <w:t xml:space="preserve">Discrimination </w:t>
      </w:r>
    </w:p>
    <w:p>
      <w:pPr>
        <w:spacing w:after="0" w:line="260" w:lineRule="atLeast"/>
        <w:rPr>
          <w:rFonts w:ascii="Verdana" w:hAnsi="Verdana" w:eastAsia="Verdana"/>
          <w:szCs w:val="24"/>
        </w:rPr>
      </w:pPr>
      <w:r>
        <w:rPr>
          <w:rFonts w:ascii="Verdana" w:hAnsi="Verdana" w:eastAsia="Arial"/>
          <w:szCs w:val="24"/>
        </w:rPr>
        <w:t xml:space="preserve">Each patient shall be offered treatment without discrimination as to sex, race, color, religion, national origin, source of payment, disability, or diagnosis of Alzheimer's disease or related dementia.</w:t>
      </w:r>
      <w:bookmarkStart w:id="310" w:name="History_17"/>
      <w:bookmarkStart w:id="311" w:name="Bookmark_20"/>
      <w:bookmarkEnd w:id="310"/>
      <w:bookmarkEnd w:id="311"/>
    </w:p>
    <w:p>
      <w:pPr>
        <w:keepNext/>
        <w:spacing w:after="0" w:line="340" w:lineRule="atLeast"/>
        <w:rPr>
          <w:rFonts w:ascii="Verdana" w:hAnsi="Verdana" w:eastAsia="Arial"/>
          <w:szCs w:val="24"/>
        </w:rPr>
      </w:pPr>
      <w:r>
        <w:rPr>
          <w:rFonts w:ascii="Verdana" w:hAnsi="Verdana" w:eastAsia="Arial"/>
          <w:b/>
          <w:szCs w:val="24"/>
        </w:rPr>
        <w:t xml:space="preserve">Posting of law </w:t>
      </w:r>
    </w:p>
    <w:p>
      <w:pPr>
        <w:spacing w:after="0" w:line="260" w:lineRule="atLeast"/>
        <w:rPr>
          <w:rFonts w:ascii="Verdana" w:hAnsi="Verdana" w:eastAsia="Arial"/>
          <w:szCs w:val="24"/>
        </w:rPr>
      </w:pPr>
      <w:r>
        <w:rPr>
          <w:rFonts w:ascii="Verdana" w:hAnsi="Verdana" w:eastAsia="Arial"/>
          <w:szCs w:val="24"/>
        </w:rPr>
        <w:t xml:space="preserve">Every nursing home licensed pursuant to this title shall display a copy of the provisions of this chapter and related information in a conspicuous place in each nursing home. At a minimum the display must include the following:</w:t>
      </w:r>
    </w:p>
    <w:p>
      <w:pPr>
        <w:pStyle w:val="ListParagraph"/>
        <w:numPr>
          <w:ilvl w:val="2"/>
          <w:numId w:val="711"/>
        </w:numPr>
        <w:spacing w:after="0" w:line="260" w:lineRule="atLeast"/>
        <w:ind w:left="450" w:hanging="270"/>
        <w:contextualSpacing/>
        <w:jc w:val="both"/>
        <w:rPr>
          <w:rFonts w:ascii="Verdana" w:hAnsi="Verdana" w:eastAsia="Arial"/>
          <w:sz w:val="24"/>
          <w:szCs w:val="24"/>
        </w:rPr>
      </w:pPr>
      <w:bookmarkStart w:id="312" w:name="Bookmark__1_0"/>
      <w:bookmarkEnd w:id="312"/>
      <w:r>
        <w:rPr>
          <w:rFonts w:ascii="Verdana" w:hAnsi="Verdana" w:eastAsia="Arial"/>
          <w:sz w:val="24"/>
          <w:szCs w:val="24"/>
        </w:rPr>
        <w:t xml:space="preserve">A summary of the major provisions of chapter 17.5 of this title.</w:t>
      </w:r>
    </w:p>
    <w:p>
      <w:pPr>
        <w:pStyle w:val="ListParagraph"/>
        <w:numPr>
          <w:ilvl w:val="2"/>
          <w:numId w:val="711"/>
        </w:numPr>
        <w:spacing w:before="120" w:after="160" w:line="260" w:lineRule="atLeast"/>
        <w:ind w:left="450" w:hanging="270"/>
        <w:contextualSpacing/>
        <w:jc w:val="both"/>
        <w:rPr>
          <w:rFonts w:ascii="Verdana" w:hAnsi="Verdana" w:eastAsia="Arial"/>
          <w:sz w:val="24"/>
          <w:szCs w:val="24"/>
        </w:rPr>
      </w:pPr>
      <w:bookmarkStart w:id="313" w:name="Bookmark__2_0"/>
      <w:bookmarkEnd w:id="313"/>
      <w:r>
        <w:rPr>
          <w:rFonts w:ascii="Verdana" w:hAnsi="Verdana" w:eastAsia="Arial"/>
          <w:sz w:val="24"/>
          <w:szCs w:val="24"/>
        </w:rPr>
        <w:t xml:space="preserve">The address and telephone number of the division within the health department that will accept complaints or notice of violations of the sections in this chapter, the state ombudsman, and Medicaid fraud unit.</w:t>
      </w:r>
    </w:p>
    <w:p>
      <w:pPr>
        <w:pStyle w:val="ListParagraph"/>
        <w:numPr>
          <w:ilvl w:val="2"/>
          <w:numId w:val="711"/>
        </w:numPr>
        <w:spacing w:after="0" w:line="260" w:lineRule="atLeast"/>
        <w:ind w:left="450" w:hanging="270"/>
        <w:contextualSpacing/>
        <w:jc w:val="both"/>
        <w:rPr>
          <w:rFonts w:ascii="Verdana" w:hAnsi="Verdana" w:eastAsia="Arial"/>
          <w:sz w:val="24"/>
          <w:szCs w:val="24"/>
        </w:rPr>
      </w:pPr>
      <w:bookmarkStart w:id="314" w:name="Bookmark__3_0"/>
      <w:bookmarkEnd w:id="314"/>
      <w:r>
        <w:rPr>
          <w:rFonts w:ascii="Verdana" w:hAnsi="Verdana" w:eastAsia="Arial"/>
          <w:sz w:val="24"/>
          <w:szCs w:val="24"/>
        </w:rPr>
        <w:t xml:space="preserve">Notice of availability and location of public records regarding the results of state and federal licensing and certification surveys of nursing homes.</w:t>
      </w:r>
      <w:bookmarkStart w:id="315" w:name="History_18"/>
      <w:bookmarkStart w:id="316" w:name="Bookmark_21"/>
      <w:bookmarkEnd w:id="315"/>
      <w:bookmarkEnd w:id="316"/>
    </w:p>
    <w:p>
      <w:pPr>
        <w:keepNext/>
        <w:spacing w:after="0" w:line="340" w:lineRule="atLeast"/>
        <w:rPr>
          <w:rFonts w:ascii="Verdana" w:hAnsi="Verdana" w:eastAsia="Verdana"/>
          <w:szCs w:val="24"/>
        </w:rPr>
      </w:pPr>
      <w:r>
        <w:rPr>
          <w:rFonts w:ascii="Verdana" w:hAnsi="Verdana" w:eastAsia="Arial"/>
          <w:b/>
          <w:szCs w:val="24"/>
        </w:rPr>
        <w:t xml:space="preserve">Penalties </w:t>
      </w:r>
    </w:p>
    <w:p>
      <w:pPr>
        <w:spacing w:after="0" w:line="260" w:lineRule="atLeast"/>
        <w:rPr>
          <w:rFonts w:ascii="Verdana" w:hAnsi="Verdana" w:eastAsia="Verdana"/>
          <w:szCs w:val="24"/>
        </w:rPr>
      </w:pPr>
      <w:r>
        <w:rPr>
          <w:rFonts w:ascii="Verdana" w:hAnsi="Verdana" w:eastAsia="Arial"/>
          <w:szCs w:val="24"/>
        </w:rPr>
        <w:t xml:space="preserve">Any nursing home which refuses or neglects to post provisions or which violates the requirements of this chapter shall be guilty of a misdemeanor for each violation punishable by a fine of up to five hundred dollars ($ 500) and/or six (6) months in jail.</w:t>
      </w:r>
    </w:p>
    <w:p>
      <w:pPr>
        <w:keepNext/>
        <w:spacing w:after="0" w:line="340" w:lineRule="atLeast"/>
        <w:rPr>
          <w:rFonts w:ascii="Verdana" w:hAnsi="Verdana" w:eastAsia="Verdana"/>
          <w:szCs w:val="24"/>
        </w:rPr>
      </w:pPr>
      <w:bookmarkStart w:id="317" w:name="History_19"/>
      <w:bookmarkStart w:id="318" w:name="Bookmark_22"/>
      <w:bookmarkEnd w:id="317"/>
      <w:bookmarkEnd w:id="318"/>
      <w:r>
        <w:rPr>
          <w:rFonts w:ascii="Verdana" w:hAnsi="Verdana" w:eastAsia="Arial"/>
          <w:b/>
          <w:szCs w:val="24"/>
        </w:rPr>
        <w:t xml:space="preserve">Enforcement </w:t>
      </w:r>
    </w:p>
    <w:p>
      <w:pPr>
        <w:spacing w:after="0" w:line="260" w:lineRule="atLeast"/>
        <w:rPr>
          <w:rFonts w:ascii="Verdana" w:hAnsi="Verdana" w:eastAsia="Verdana"/>
          <w:szCs w:val="24"/>
        </w:rPr>
      </w:pPr>
      <w:r>
        <w:rPr>
          <w:rFonts w:ascii="Verdana" w:hAnsi="Verdana" w:eastAsia="Arial"/>
          <w:szCs w:val="24"/>
        </w:rPr>
        <w:t xml:space="preserve">The director of the department of health and/or local or state police within their respective jurisdictions, upon receipt of a complaint from any citizen, are empowered to enforce the provisions of this chapter.</w:t>
      </w:r>
      <w:bookmarkStart w:id="319" w:name="History_20"/>
      <w:bookmarkStart w:id="320" w:name="Bookmark_23"/>
      <w:bookmarkEnd w:id="319"/>
      <w:bookmarkEnd w:id="320"/>
    </w:p>
    <w:p>
      <w:pPr>
        <w:keepNext/>
        <w:spacing w:after="0" w:line="340" w:lineRule="atLeast"/>
        <w:rPr>
          <w:rFonts w:ascii="Verdana" w:hAnsi="Verdana" w:eastAsia="Verdana"/>
          <w:szCs w:val="24"/>
        </w:rPr>
      </w:pPr>
      <w:r>
        <w:rPr>
          <w:rFonts w:ascii="Verdana" w:hAnsi="Verdana" w:eastAsia="Arial"/>
          <w:b/>
          <w:szCs w:val="24"/>
        </w:rPr>
        <w:t xml:space="preserve">Severability </w:t>
      </w:r>
    </w:p>
    <w:p>
      <w:pPr>
        <w:spacing w:after="0" w:line="260" w:lineRule="atLeast"/>
        <w:rPr>
          <w:rFonts w:ascii="Verdana" w:hAnsi="Verdana" w:eastAsia="Verdana"/>
          <w:szCs w:val="24"/>
        </w:rPr>
      </w:pPr>
      <w:r>
        <w:rPr>
          <w:rFonts w:ascii="Verdana" w:hAnsi="Verdana" w:eastAsia="Arial"/>
          <w:szCs w:val="24"/>
        </w:rPr>
        <w:t xml:space="preserve">The provisions of this chapter are severable, and if any of its provisions shall be held unconstitutional or otherwise invalid by any court of competent jurisdiction, the decision of the court shall not affect or impair any of the remaining provisions.</w:t>
      </w:r>
      <w:bookmarkStart w:id="321" w:name="History_21"/>
      <w:bookmarkStart w:id="322" w:name="Bookmark_24"/>
      <w:bookmarkEnd w:id="321"/>
      <w:bookmarkEnd w:id="322"/>
    </w:p>
    <w:p>
      <w:pPr>
        <w:keepNext/>
        <w:spacing w:after="0" w:line="340" w:lineRule="atLeast"/>
        <w:rPr>
          <w:rFonts w:ascii="Verdana" w:hAnsi="Verdana" w:eastAsia="Verdana"/>
          <w:szCs w:val="24"/>
        </w:rPr>
      </w:pPr>
      <w:r>
        <w:rPr>
          <w:rFonts w:ascii="Verdana" w:hAnsi="Verdana" w:eastAsia="Arial"/>
          <w:b/>
          <w:szCs w:val="24"/>
        </w:rPr>
        <w:t xml:space="preserve">Resident for more than six months-Right to remain after depletion of funds-Penalty for violations </w:t>
      </w:r>
    </w:p>
    <w:p>
      <w:pPr>
        <w:spacing w:after="0" w:line="260" w:lineRule="atLeast"/>
        <w:rPr>
          <w:rFonts w:ascii="Verdana" w:hAnsi="Verdana" w:eastAsia="Verdana"/>
          <w:szCs w:val="24"/>
        </w:rPr>
      </w:pPr>
      <w:r>
        <w:rPr>
          <w:rFonts w:ascii="Verdana" w:hAnsi="Verdana" w:eastAsia="Arial"/>
          <w:szCs w:val="24"/>
        </w:rPr>
        <w:t xml:space="preserve">Every patient who has been a resident of a nursing home which participates in the Rhode Island medical assistance program and has made payments from private funds for at least six (6) months shall, upon depletion of the private funds, be permitted to remain as a resident of the nursing home at the rate of payment to be paid by and calculated by the department of human services; provided, that the patient meets the eligibility requirements of </w:t>
      </w:r>
      <w:r>
        <w:rPr>
          <w:rFonts w:ascii="Verdana" w:hAnsi="Verdana" w:eastAsia="Arial"/>
          <w:i/>
          <w:szCs w:val="24"/>
          <w:u w:val="single"/>
        </w:rPr>
        <w:t xml:space="preserve">§ 40-8-3</w:t>
      </w:r>
      <w:r>
        <w:rPr>
          <w:rFonts w:ascii="Verdana" w:hAnsi="Verdana" w:eastAsia="Arial"/>
          <w:szCs w:val="24"/>
        </w:rPr>
        <w:t xml:space="preserve"> and that the patient meets the criteria for skilled nursing, ICF I or ICF II level of care, and that the facility provides the level of care that the patient requires and has an available bed at that level of care. Every person or corporation violating the provision of this section would be subject to a fine of up to five thousand dollars ($ 5,000) and/or loss of license.</w:t>
      </w:r>
      <w:bookmarkStart w:id="323" w:name="History_22"/>
      <w:bookmarkStart w:id="324" w:name="Bookmark_25"/>
      <w:bookmarkEnd w:id="323"/>
      <w:bookmarkEnd w:id="324"/>
    </w:p>
    <w:p>
      <w:pPr>
        <w:keepNext/>
        <w:spacing w:after="0" w:line="340" w:lineRule="atLeast"/>
        <w:rPr>
          <w:rFonts w:ascii="Verdana" w:hAnsi="Verdana" w:eastAsia="Arial"/>
          <w:szCs w:val="24"/>
        </w:rPr>
      </w:pPr>
      <w:r>
        <w:rPr>
          <w:rFonts w:ascii="Verdana" w:hAnsi="Verdana" w:eastAsia="Arial"/>
          <w:b/>
          <w:szCs w:val="24"/>
        </w:rPr>
        <w:t xml:space="preserve">Notice on bed-hold policy and readmission </w:t>
      </w:r>
    </w:p>
    <w:p>
      <w:pPr>
        <w:pStyle w:val="ListParagraph"/>
        <w:numPr>
          <w:ilvl w:val="0"/>
          <w:numId w:val="607"/>
        </w:numPr>
        <w:spacing w:after="0" w:line="260" w:lineRule="atLeast"/>
        <w:ind w:left="450" w:hanging="270"/>
        <w:contextualSpacing/>
        <w:jc w:val="both"/>
        <w:rPr>
          <w:rFonts w:ascii="Verdana" w:hAnsi="Verdana" w:eastAsia="Arial"/>
          <w:sz w:val="24"/>
          <w:szCs w:val="24"/>
        </w:rPr>
      </w:pPr>
      <w:r>
        <w:rPr>
          <w:rFonts w:ascii="Verdana" w:hAnsi="Verdana" w:eastAsia="Arial"/>
          <w:b/>
          <w:sz w:val="24"/>
          <w:szCs w:val="24"/>
        </w:rPr>
        <w:t xml:space="preserve">Notice before transfer.</w:t>
      </w:r>
      <w:bookmarkStart w:id="325" w:name="Bookmark__a_4"/>
      <w:bookmarkEnd w:id="325"/>
      <w:r>
        <w:rPr>
          <w:rFonts w:ascii="Verdana" w:hAnsi="Verdana" w:eastAsia="Arial"/>
          <w:b/>
          <w:sz w:val="24"/>
          <w:szCs w:val="24"/>
        </w:rPr>
        <w:t xml:space="preserve"> </w:t>
      </w:r>
      <w:r>
        <w:rPr>
          <w:rFonts w:ascii="Verdana" w:hAnsi="Verdana" w:eastAsia="Arial"/>
          <w:sz w:val="24"/>
          <w:szCs w:val="24"/>
        </w:rPr>
        <w:t xml:space="preserve">Before a resident of a nursing facility is transferred for hospitalization or therapeutic leave, a nursing facility must provide written information to the resident and a family member or legal representative concerning:</w:t>
      </w:r>
    </w:p>
    <w:p>
      <w:pPr>
        <w:pStyle w:val="ListParagraph"/>
        <w:numPr>
          <w:ilvl w:val="2"/>
          <w:numId w:val="388"/>
        </w:numPr>
        <w:spacing w:before="120" w:after="160" w:line="260" w:lineRule="atLeast"/>
        <w:ind w:left="810" w:hanging="90"/>
        <w:contextualSpacing/>
        <w:jc w:val="both"/>
        <w:rPr>
          <w:rFonts w:ascii="Verdana" w:hAnsi="Verdana" w:eastAsia="Arial"/>
          <w:sz w:val="24"/>
          <w:szCs w:val="24"/>
        </w:rPr>
      </w:pPr>
      <w:bookmarkStart w:id="326" w:name="Bookmark__a_1_0"/>
      <w:bookmarkEnd w:id="326"/>
      <w:r>
        <w:rPr>
          <w:rFonts w:ascii="Verdana" w:hAnsi="Verdana" w:eastAsia="Arial"/>
          <w:sz w:val="24"/>
          <w:szCs w:val="24"/>
        </w:rPr>
        <w:t xml:space="preserve">The provisions of the medical assistance program state plan regarding the period (if any) during which the resident will be permitted under the state plan to return and resume residence in the facility; and</w:t>
      </w:r>
    </w:p>
    <w:p>
      <w:pPr>
        <w:pStyle w:val="ListParagraph"/>
        <w:numPr>
          <w:ilvl w:val="2"/>
          <w:numId w:val="388"/>
        </w:numPr>
        <w:spacing w:before="120" w:after="160" w:line="260" w:lineRule="atLeast"/>
        <w:ind w:left="810" w:hanging="90"/>
        <w:contextualSpacing/>
        <w:jc w:val="both"/>
        <w:rPr>
          <w:rFonts w:ascii="Verdana" w:hAnsi="Verdana" w:eastAsia="Arial"/>
          <w:sz w:val="24"/>
          <w:szCs w:val="24"/>
        </w:rPr>
      </w:pPr>
      <w:bookmarkStart w:id="327" w:name="Bookmark__a_2_0"/>
      <w:bookmarkEnd w:id="327"/>
      <w:r>
        <w:rPr>
          <w:rFonts w:ascii="Verdana" w:hAnsi="Verdana" w:eastAsia="Arial"/>
          <w:sz w:val="24"/>
          <w:szCs w:val="24"/>
        </w:rPr>
        <w:t xml:space="preserve">The policies of the facility regarding the period, which policies must be consistent with subsection (c).</w:t>
      </w:r>
    </w:p>
    <w:p>
      <w:pPr>
        <w:pStyle w:val="ListParagraph"/>
        <w:numPr>
          <w:ilvl w:val="0"/>
          <w:numId w:val="607"/>
        </w:numPr>
        <w:spacing w:before="120" w:after="160" w:line="260" w:lineRule="atLeast"/>
        <w:ind w:left="450" w:hanging="270"/>
        <w:contextualSpacing/>
        <w:jc w:val="both"/>
        <w:rPr>
          <w:rFonts w:ascii="Verdana" w:hAnsi="Verdana" w:eastAsia="Arial"/>
          <w:sz w:val="24"/>
          <w:szCs w:val="24"/>
        </w:rPr>
      </w:pPr>
      <w:r>
        <w:rPr>
          <w:rFonts w:ascii="Verdana" w:hAnsi="Verdana" w:eastAsia="Arial"/>
          <w:b/>
          <w:sz w:val="24"/>
          <w:szCs w:val="24"/>
        </w:rPr>
        <w:t xml:space="preserve">Notice upon transfer. </w:t>
      </w:r>
      <w:r>
        <w:rPr>
          <w:rFonts w:ascii="Verdana" w:hAnsi="Verdana" w:eastAsia="Arial"/>
          <w:sz w:val="24"/>
          <w:szCs w:val="24"/>
        </w:rPr>
        <w:t xml:space="preserve">At the time of the transfer of a resident to a hospital or for therapeutic leave, a nursing facility must provide written notice to the resident and a family member or legal representative of the duration of any period described in subsection (c).</w:t>
      </w:r>
    </w:p>
    <w:p>
      <w:pPr>
        <w:pStyle w:val="ListParagraph"/>
        <w:numPr>
          <w:ilvl w:val="0"/>
          <w:numId w:val="607"/>
        </w:numPr>
        <w:spacing w:before="120" w:after="160" w:line="260" w:lineRule="atLeast"/>
        <w:ind w:left="450" w:hanging="270"/>
        <w:contextualSpacing/>
        <w:jc w:val="both"/>
        <w:rPr>
          <w:rFonts w:ascii="Verdana" w:hAnsi="Verdana" w:eastAsia="Arial"/>
          <w:sz w:val="24"/>
          <w:szCs w:val="24"/>
        </w:rPr>
      </w:pPr>
      <w:r>
        <w:rPr>
          <w:rFonts w:ascii="Verdana" w:hAnsi="Verdana" w:eastAsia="Arial"/>
          <w:b/>
          <w:sz w:val="24"/>
          <w:szCs w:val="24"/>
        </w:rPr>
        <w:t xml:space="preserve">Permitting resident to return. </w:t>
      </w:r>
      <w:r>
        <w:rPr>
          <w:rFonts w:ascii="Verdana" w:hAnsi="Verdana" w:eastAsia="Arial"/>
          <w:sz w:val="24"/>
          <w:szCs w:val="24"/>
        </w:rPr>
        <w:t xml:space="preserve">A nursing facility must establish and follow a written policy under which a resident:</w:t>
      </w:r>
    </w:p>
    <w:p>
      <w:pPr>
        <w:pStyle w:val="ListParagraph"/>
        <w:numPr>
          <w:ilvl w:val="2"/>
          <w:numId w:val="205"/>
        </w:numPr>
        <w:spacing w:before="120" w:after="160" w:line="260" w:lineRule="atLeast"/>
        <w:ind w:left="810" w:hanging="90"/>
        <w:contextualSpacing/>
        <w:jc w:val="both"/>
        <w:rPr>
          <w:rFonts w:ascii="Verdana" w:hAnsi="Verdana" w:eastAsia="Arial"/>
          <w:sz w:val="24"/>
          <w:szCs w:val="24"/>
        </w:rPr>
      </w:pPr>
      <w:bookmarkStart w:id="328" w:name="Bookmark__c_1_0"/>
      <w:bookmarkEnd w:id="328"/>
      <w:r>
        <w:rPr>
          <w:rFonts w:ascii="Verdana" w:hAnsi="Verdana" w:eastAsia="Arial"/>
          <w:sz w:val="24"/>
          <w:szCs w:val="24"/>
        </w:rPr>
        <w:t xml:space="preserve">Who is transferred from the facility for hospitalization or therapeutic leave; and</w:t>
      </w:r>
    </w:p>
    <w:p>
      <w:pPr>
        <w:pStyle w:val="ListParagraph"/>
        <w:numPr>
          <w:ilvl w:val="2"/>
          <w:numId w:val="205"/>
        </w:numPr>
        <w:spacing w:before="120" w:after="160" w:line="260" w:lineRule="atLeast"/>
        <w:ind w:left="810" w:hanging="90"/>
        <w:contextualSpacing/>
        <w:jc w:val="both"/>
        <w:rPr>
          <w:rFonts w:ascii="Verdana" w:hAnsi="Verdana" w:eastAsia="Arial"/>
          <w:sz w:val="24"/>
          <w:szCs w:val="24"/>
        </w:rPr>
      </w:pPr>
      <w:bookmarkStart w:id="329" w:name="Bookmark__c_2_0"/>
      <w:bookmarkEnd w:id="329"/>
      <w:r>
        <w:rPr>
          <w:rFonts w:ascii="Verdana" w:hAnsi="Verdana" w:eastAsia="Arial"/>
          <w:sz w:val="24"/>
          <w:szCs w:val="24"/>
        </w:rPr>
        <w:t xml:space="preserve">Whose hospitalization or therapeutic leave exceeds a period paid for under the state plan for the holding of a bed in the facility for the resident, will be permitted to be readmitted to the facility immediately upon the first availability of a bed of appropriate level of care in a semi-private room in the facility if at the time of readmission, the resident requires the services provided by the facility.</w:t>
      </w:r>
    </w:p>
    <w:p>
      <w:pPr>
        <w:pStyle w:val="ListParagraph"/>
        <w:numPr>
          <w:ilvl w:val="0"/>
          <w:numId w:val="607"/>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Any nursing facility that accepts private payment for purposes of reserving a bed in the facility for a resident who is transferred from the facility for hospitalization or other institutional therapeutic leave, and that resident's medical and health care is being paid for by the state medical assistance program, shall not charge an amount per day for reserving a bed in the facility that exceeds the facility's current Medicaid daily rate; for a minimum of the first five (5) days of said hospitalization or the institutional therapeutic leave.</w:t>
      </w:r>
    </w:p>
    <w:p>
      <w:pPr>
        <w:pStyle w:val="ListParagraph"/>
        <w:numPr>
          <w:ilvl w:val="0"/>
          <w:numId w:val="607"/>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departments of human services and health shall receive, on a monthly basis, the names from each nursing home of those persons awaiting readmission under these provisions.</w:t>
      </w:r>
    </w:p>
    <w:p>
      <w:pPr>
        <w:pStyle w:val="ListParagraph"/>
        <w:numPr>
          <w:ilvl w:val="0"/>
          <w:numId w:val="607"/>
        </w:numPr>
        <w:spacing w:after="0" w:line="260" w:lineRule="atLeast"/>
        <w:ind w:left="450" w:hanging="270"/>
        <w:contextualSpacing/>
        <w:jc w:val="both"/>
        <w:rPr>
          <w:rFonts w:ascii="Verdana" w:hAnsi="Verdana" w:eastAsia="Arial"/>
          <w:sz w:val="24"/>
          <w:szCs w:val="24"/>
        </w:rPr>
      </w:pPr>
      <w:bookmarkStart w:id="330" w:name="Bookmark__f_0"/>
      <w:bookmarkEnd w:id="330"/>
      <w:r>
        <w:rPr>
          <w:rFonts w:ascii="Verdana" w:hAnsi="Verdana" w:eastAsia="Arial"/>
          <w:sz w:val="24"/>
          <w:szCs w:val="24"/>
        </w:rPr>
        <w:t xml:space="preserve">The department of health shall promulgate regulations governing these provisions.</w:t>
      </w:r>
      <w:bookmarkStart w:id="331" w:name="History_23"/>
      <w:bookmarkStart w:id="332" w:name="Bookmark_26"/>
      <w:bookmarkEnd w:id="331"/>
      <w:bookmarkEnd w:id="332"/>
    </w:p>
    <w:p>
      <w:pPr>
        <w:keepNext/>
        <w:spacing w:after="0" w:line="340" w:lineRule="atLeast"/>
        <w:rPr>
          <w:rFonts w:ascii="Verdana" w:hAnsi="Verdana" w:eastAsia="Arial"/>
          <w:szCs w:val="24"/>
        </w:rPr>
      </w:pPr>
      <w:r>
        <w:rPr>
          <w:rFonts w:ascii="Verdana" w:hAnsi="Verdana" w:eastAsia="Arial"/>
          <w:b/>
          <w:szCs w:val="24"/>
        </w:rPr>
        <w:t xml:space="preserve">Smoke-free environment </w:t>
      </w:r>
    </w:p>
    <w:p>
      <w:pPr>
        <w:pStyle w:val="ListParagraph"/>
        <w:numPr>
          <w:ilvl w:val="0"/>
          <w:numId w:val="33"/>
        </w:numPr>
        <w:spacing w:after="0" w:line="260" w:lineRule="atLeast"/>
        <w:ind w:left="450" w:hanging="270"/>
        <w:contextualSpacing/>
        <w:jc w:val="both"/>
        <w:rPr>
          <w:rFonts w:ascii="Verdana" w:hAnsi="Verdana" w:eastAsia="Arial"/>
          <w:sz w:val="24"/>
          <w:szCs w:val="24"/>
        </w:rPr>
      </w:pPr>
      <w:r>
        <w:rPr>
          <w:rFonts w:ascii="Verdana" w:hAnsi="Verdana" w:eastAsia="Arial"/>
          <w:b/>
          <w:sz w:val="24"/>
          <w:szCs w:val="24"/>
        </w:rPr>
        <w:t xml:space="preserve">Smoke-free environment. </w:t>
      </w:r>
      <w:bookmarkStart w:id="333" w:name="Bookmark__a_5"/>
      <w:bookmarkEnd w:id="333"/>
      <w:r>
        <w:rPr>
          <w:rFonts w:ascii="Verdana" w:hAnsi="Verdana" w:eastAsia="Arial"/>
          <w:sz w:val="24"/>
          <w:szCs w:val="24"/>
        </w:rPr>
        <w:t xml:space="preserve">Nursing home patients shall have the right to live in a tobacco smoke-free environment. It shall be prohibited for any person other than a nursing home resident to smoke in any nursing home in Rhode Island. It shall be prohibited for any nursing home resident to smoke in any nursing home in Rhode Island except in a smoking room, rooms designated by the administration of the nursing home, a private room, or a semi-private room where both residents smoke. The designated smoking room or rooms shall be a room or rooms other than the largest living or assembly room or lounge. The designated smoking room or rooms shall be ventilated in such a way that the air from that room or rooms shall not enter other parts of the nursing home.</w:t>
      </w:r>
    </w:p>
    <w:p>
      <w:pPr>
        <w:pStyle w:val="ListParagraph"/>
        <w:numPr>
          <w:ilvl w:val="0"/>
          <w:numId w:val="33"/>
        </w:numPr>
        <w:spacing w:before="120" w:after="160" w:line="260" w:lineRule="atLeast"/>
        <w:ind w:left="450" w:hanging="270"/>
        <w:contextualSpacing/>
        <w:jc w:val="both"/>
        <w:rPr>
          <w:rFonts w:ascii="Verdana" w:hAnsi="Verdana" w:eastAsia="Arial"/>
          <w:sz w:val="24"/>
          <w:szCs w:val="24"/>
        </w:rPr>
      </w:pPr>
      <w:r>
        <w:rPr>
          <w:rFonts w:ascii="Verdana" w:hAnsi="Verdana" w:eastAsia="Arial"/>
          <w:b/>
          <w:sz w:val="24"/>
          <w:szCs w:val="24"/>
        </w:rPr>
        <w:t xml:space="preserve">Penalties and enforcement. </w:t>
      </w:r>
      <w:r>
        <w:rPr>
          <w:rFonts w:ascii="Verdana" w:hAnsi="Verdana" w:eastAsia="Arial"/>
          <w:sz w:val="24"/>
          <w:szCs w:val="24"/>
        </w:rPr>
        <w:t xml:space="preserve">(1) The department of health, having received a written and signed letter of complaint from any person citing a violation of this chapter, shall enforce this entire chapter against violations by either of the following actions:</w:t>
      </w:r>
    </w:p>
    <w:p>
      <w:pPr>
        <w:pStyle w:val="ListParagraph"/>
        <w:numPr>
          <w:ilvl w:val="0"/>
          <w:numId w:val="634"/>
        </w:numPr>
        <w:spacing w:before="120" w:after="160" w:line="240" w:lineRule="atLeast"/>
        <w:ind w:left="990" w:hanging="90"/>
        <w:contextualSpacing/>
        <w:jc w:val="both"/>
        <w:rPr>
          <w:rFonts w:ascii="Verdana" w:hAnsi="Verdana" w:eastAsia="Arial"/>
          <w:sz w:val="24"/>
          <w:szCs w:val="24"/>
        </w:rPr>
      </w:pPr>
      <w:bookmarkStart w:id="334" w:name="Bookmark__b_1_0"/>
      <w:bookmarkEnd w:id="334"/>
    </w:p>
    <w:p>
      <w:pPr>
        <w:pStyle w:val="ListParagraph"/>
        <w:numPr>
          <w:ilvl w:val="2"/>
          <w:numId w:val="764"/>
        </w:numPr>
        <w:spacing w:before="120" w:after="160" w:line="260" w:lineRule="atLeast"/>
        <w:ind w:left="1170" w:hanging="90"/>
        <w:contextualSpacing/>
        <w:jc w:val="both"/>
        <w:rPr>
          <w:rFonts w:ascii="Verdana" w:hAnsi="Verdana" w:eastAsia="Arial"/>
          <w:sz w:val="24"/>
          <w:szCs w:val="24"/>
        </w:rPr>
      </w:pPr>
      <w:bookmarkStart w:id="335" w:name="Bookmark__b_1_i"/>
      <w:bookmarkEnd w:id="335"/>
      <w:r>
        <w:rPr>
          <w:rFonts w:ascii="Verdana" w:hAnsi="Verdana" w:eastAsia="Arial"/>
          <w:sz w:val="24"/>
          <w:szCs w:val="24"/>
        </w:rPr>
        <w:t xml:space="preserve">Serving written notice to comply to the person, organization or facility manager charged with the violation, with a copy of the notice to the complaining person, requiring the person, organization or facility manager to correct within ten (10) days any violation or section of this chapter.</w:t>
      </w:r>
    </w:p>
    <w:p>
      <w:pPr>
        <w:pStyle w:val="ListParagraph"/>
        <w:numPr>
          <w:ilvl w:val="2"/>
          <w:numId w:val="764"/>
        </w:numPr>
        <w:spacing w:before="120" w:after="160" w:line="260" w:lineRule="atLeast"/>
        <w:ind w:left="1170" w:hanging="90"/>
        <w:contextualSpacing/>
        <w:jc w:val="both"/>
        <w:rPr>
          <w:rFonts w:ascii="Verdana" w:hAnsi="Verdana" w:eastAsia="Arial"/>
          <w:sz w:val="24"/>
          <w:szCs w:val="24"/>
        </w:rPr>
      </w:pPr>
      <w:bookmarkStart w:id="336" w:name="Bookmark__b_1_ii"/>
      <w:bookmarkEnd w:id="336"/>
      <w:r>
        <w:rPr>
          <w:rFonts w:ascii="Verdana" w:hAnsi="Verdana" w:eastAsia="Arial"/>
          <w:sz w:val="24"/>
          <w:szCs w:val="24"/>
        </w:rPr>
        <w:t xml:space="preserve">Upon receiving a second complaint at the department of health for the same or continued violation by the same person, the complaint shall be resolved by calling upon the attorney general to maintain, without delay, an action for injunction to enforce the provisions of this chapter, to cause the correction of the same or continued violation of this section, and for assessment and recovery of a civil penalty for the violation.</w:t>
      </w:r>
    </w:p>
    <w:p>
      <w:pPr>
        <w:pStyle w:val="ListParagraph"/>
        <w:numPr>
          <w:ilvl w:val="0"/>
          <w:numId w:val="634"/>
        </w:numPr>
        <w:tabs>
          <w:tab w:val="left" w:pos="990"/>
        </w:tabs>
        <w:spacing w:before="120" w:after="160" w:line="260" w:lineRule="atLeast"/>
        <w:ind w:left="990" w:hanging="90"/>
        <w:contextualSpacing/>
        <w:jc w:val="both"/>
        <w:rPr>
          <w:rFonts w:ascii="Verdana" w:hAnsi="Verdana" w:eastAsia="Arial"/>
          <w:sz w:val="24"/>
          <w:szCs w:val="24"/>
        </w:rPr>
      </w:pPr>
      <w:bookmarkStart w:id="337" w:name="Bookmark__b_2_0"/>
      <w:bookmarkEnd w:id="337"/>
      <w:r>
        <w:rPr>
          <w:rFonts w:ascii="Verdana" w:hAnsi="Verdana" w:eastAsia="Arial"/>
          <w:sz w:val="24"/>
          <w:szCs w:val="24"/>
        </w:rPr>
        <w:t xml:space="preserve">A person, organization, or facility manager who violates this chapter shall be liable for a civil penalty, but not to be less than fifty dollars ($ 50.00) nor to exceed five hundred dollars ($ 500) which shall be assessed and recovered in a civil action brought by the attorney general in any court of competent jurisdiction. Each day the violation is committed or permitted to continue shall constitute a separate offense and shall be punishable as a separate offense. Any penalty assessed and recovered in an action brought pursuant to this subsection shall be paid over to the general treasurer and added to the general fund.</w:t>
      </w:r>
    </w:p>
    <w:p>
      <w:pPr>
        <w:pStyle w:val="ListParagraph"/>
        <w:numPr>
          <w:ilvl w:val="0"/>
          <w:numId w:val="634"/>
        </w:numPr>
        <w:tabs>
          <w:tab w:val="left" w:pos="990"/>
        </w:tabs>
        <w:spacing w:after="0" w:line="260" w:lineRule="atLeast"/>
        <w:ind w:left="990" w:hanging="90"/>
        <w:contextualSpacing/>
        <w:jc w:val="both"/>
        <w:rPr>
          <w:rFonts w:ascii="Verdana" w:hAnsi="Verdana" w:eastAsia="Arial"/>
          <w:sz w:val="24"/>
          <w:szCs w:val="24"/>
        </w:rPr>
      </w:pPr>
      <w:bookmarkStart w:id="338" w:name="Bookmark__b_3_0"/>
      <w:bookmarkEnd w:id="338"/>
      <w:r>
        <w:rPr>
          <w:rFonts w:ascii="Verdana" w:hAnsi="Verdana" w:eastAsia="Arial"/>
          <w:sz w:val="24"/>
          <w:szCs w:val="24"/>
        </w:rPr>
        <w:t xml:space="preserve">In undertaking the enforcement of this chapter, the state is assuming an undertaking only to promote the general welfare. It is not assuming, nor is it imposing on its officers and employees, an obligation for breach of which it is liable in money damages to any person who claims that the breach proximately caused injury.</w:t>
      </w:r>
    </w:p>
    <w:p>
      <w:pPr>
        <w:keepNext/>
        <w:spacing w:after="0" w:line="340" w:lineRule="atLeast"/>
        <w:rPr>
          <w:rFonts w:ascii="Verdana" w:hAnsi="Verdana" w:eastAsia="Verdana"/>
          <w:szCs w:val="24"/>
        </w:rPr>
      </w:pPr>
      <w:bookmarkStart w:id="339" w:name="History_24"/>
      <w:bookmarkStart w:id="340" w:name="Bookmark_27"/>
      <w:bookmarkEnd w:id="339"/>
      <w:bookmarkEnd w:id="340"/>
      <w:r>
        <w:rPr>
          <w:rFonts w:ascii="Verdana" w:hAnsi="Verdana" w:eastAsia="Arial"/>
          <w:b/>
          <w:szCs w:val="24"/>
        </w:rPr>
        <w:t xml:space="preserve">Heat relief </w:t>
      </w:r>
    </w:p>
    <w:p>
      <w:pPr>
        <w:pStyle w:val="ListParagraph"/>
        <w:spacing w:after="0" w:line="260" w:lineRule="atLeast"/>
        <w:ind w:left="0"/>
        <w:jc w:val="both"/>
        <w:rPr>
          <w:rFonts w:ascii="Verdana" w:hAnsi="Verdana" w:eastAsia="Arial"/>
          <w:sz w:val="24"/>
          <w:szCs w:val="24"/>
        </w:rPr>
      </w:pPr>
      <w:r>
        <w:rPr>
          <w:rFonts w:ascii="Verdana" w:hAnsi="Verdana" w:eastAsia="Arial"/>
          <w:sz w:val="24"/>
          <w:szCs w:val="24"/>
        </w:rPr>
        <w:t xml:space="preserve">Any nursing home facility which does not provide air conditioning in every patient room shall provide an air-conditioned room or rooms in a residential section or sections of the facility to provide relief to patients when the outdoor temperature exceeds eighty (80) degrees Fahrenheit.</w:t>
      </w:r>
      <w:bookmarkStart w:id="341" w:name="History_25"/>
      <w:bookmarkStart w:id="342" w:name="Bookmark_28"/>
      <w:bookmarkEnd w:id="341"/>
      <w:bookmarkEnd w:id="342"/>
    </w:p>
    <w:p>
      <w:pPr>
        <w:keepNext/>
        <w:spacing w:after="0" w:line="340" w:lineRule="atLeast"/>
        <w:rPr>
          <w:rFonts w:ascii="Verdana" w:hAnsi="Verdana" w:eastAsia="Verdana"/>
          <w:szCs w:val="24"/>
        </w:rPr>
      </w:pPr>
      <w:r>
        <w:rPr>
          <w:rFonts w:ascii="Verdana" w:hAnsi="Verdana" w:eastAsia="Arial"/>
          <w:b/>
          <w:szCs w:val="24"/>
        </w:rPr>
        <w:t xml:space="preserve">Pain assessment</w:t>
      </w:r>
      <w:r>
        <w:rPr>
          <w:rFonts w:ascii="Verdana" w:hAnsi="Verdana" w:eastAsia="Verdana"/>
          <w:szCs w:val="24"/>
        </w:rPr>
        <w:t xml:space="preserve"> </w:t>
      </w:r>
    </w:p>
    <w:p>
      <w:pPr>
        <w:spacing w:after="0" w:line="260" w:lineRule="atLeast"/>
        <w:rPr>
          <w:rFonts w:ascii="Verdana" w:hAnsi="Verdana" w:eastAsia="Verdana"/>
          <w:szCs w:val="24"/>
        </w:rPr>
      </w:pPr>
      <w:r>
        <w:rPr>
          <w:rFonts w:ascii="Verdana" w:hAnsi="Verdana" w:eastAsia="Arial"/>
          <w:szCs w:val="24"/>
        </w:rPr>
        <w:t xml:space="preserve">A patient shall have the right to have his or her pain assessed on a regular basis.</w:t>
      </w:r>
      <w:bookmarkStart w:id="343" w:name="History_26"/>
      <w:bookmarkStart w:id="344" w:name="Bookmark_29"/>
      <w:bookmarkEnd w:id="343"/>
      <w:bookmarkEnd w:id="344"/>
    </w:p>
    <w:p>
      <w:pPr>
        <w:keepNext/>
        <w:spacing w:after="0" w:line="340" w:lineRule="atLeast"/>
        <w:rPr>
          <w:rFonts w:ascii="Verdana" w:hAnsi="Verdana" w:eastAsia="Verdana"/>
          <w:szCs w:val="24"/>
        </w:rPr>
      </w:pPr>
      <w:r>
        <w:rPr>
          <w:rFonts w:ascii="Verdana" w:hAnsi="Verdana" w:eastAsia="Arial"/>
          <w:b/>
          <w:szCs w:val="24"/>
        </w:rPr>
        <w:t xml:space="preserve">Hospice </w:t>
      </w:r>
    </w:p>
    <w:p>
      <w:pPr>
        <w:spacing w:after="0" w:line="260" w:lineRule="atLeast"/>
        <w:rPr>
          <w:rFonts w:ascii="Verdana" w:hAnsi="Verdana" w:eastAsia="Verdana"/>
          <w:szCs w:val="24"/>
        </w:rPr>
      </w:pPr>
      <w:r>
        <w:rPr>
          <w:rFonts w:ascii="Verdana" w:hAnsi="Verdana" w:eastAsia="Arial"/>
          <w:szCs w:val="24"/>
        </w:rPr>
        <w:t xml:space="preserve">Upon request, the patient shall have the right to receive information concerning hospice care, including the benefits of hospice care, the cost, and how to enroll in hospice care.</w:t>
      </w:r>
    </w:p>
    <w:p>
      <w:pPr>
        <w:keepNext/>
        <w:spacing w:after="0" w:line="340" w:lineRule="atLeast"/>
        <w:rPr>
          <w:rFonts w:ascii="Verdana" w:hAnsi="Verdana" w:eastAsia="Arial"/>
          <w:szCs w:val="24"/>
        </w:rPr>
      </w:pPr>
      <w:bookmarkStart w:id="345" w:name="History_27"/>
      <w:bookmarkStart w:id="346" w:name="Bookmark_30"/>
      <w:bookmarkEnd w:id="345"/>
      <w:bookmarkEnd w:id="346"/>
      <w:r>
        <w:rPr>
          <w:rFonts w:ascii="Verdana" w:hAnsi="Verdana" w:eastAsia="Arial"/>
          <w:b/>
          <w:szCs w:val="24"/>
        </w:rPr>
        <w:t xml:space="preserve">Family councils </w:t>
      </w:r>
    </w:p>
    <w:p>
      <w:pPr>
        <w:pStyle w:val="ListParagraph"/>
        <w:numPr>
          <w:ilvl w:val="1"/>
          <w:numId w:val="530"/>
        </w:numPr>
        <w:spacing w:after="0" w:line="260" w:lineRule="atLeast"/>
        <w:ind w:left="450" w:hanging="270"/>
        <w:contextualSpacing/>
        <w:jc w:val="both"/>
        <w:rPr>
          <w:rFonts w:ascii="Verdana" w:hAnsi="Verdana" w:eastAsia="Arial"/>
          <w:sz w:val="24"/>
          <w:szCs w:val="24"/>
        </w:rPr>
      </w:pPr>
      <w:bookmarkStart w:id="347" w:name="Bookmark__a_6"/>
      <w:bookmarkEnd w:id="347"/>
      <w:r>
        <w:rPr>
          <w:rFonts w:ascii="Verdana" w:hAnsi="Verdana" w:eastAsia="Arial"/>
          <w:sz w:val="24"/>
          <w:szCs w:val="24"/>
        </w:rPr>
        <w:t xml:space="preserve">For the purposes of this section "family council" means an organized group of the family members, friends or representatives of facility residents who may meet in private without the presence of facility staff.</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role of the family council shall be to address issues affecting residents generally at the facility, not to pursue individual grievances. The family council shall not be entitled to obtain information about individual residents or staff members, or any other information deemed confidential under state or federal law.</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bookmarkStart w:id="348" w:name="Bookmark__c_9"/>
      <w:bookmarkEnd w:id="348"/>
      <w:r>
        <w:rPr>
          <w:rFonts w:ascii="Verdana" w:hAnsi="Verdana" w:eastAsia="Arial"/>
          <w:sz w:val="24"/>
          <w:szCs w:val="24"/>
        </w:rPr>
        <w:t xml:space="preserve">No licensed nursing facility may prohibit the formation of a family council. When requested by a member of a resident's family or a resident's representative, a family council shall be allowed to meet in a common meeting room of the nursing facility at least once a month during mutually agreed upon hours.</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Upon the admission of a resident, the nursing facility shall inform the resident and the resident's family members, in writing, of their right to form a family council, or if a family council already exists, of the date, time and location of scheduled meetings.</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nursing facility administration shall notify the state long-term care ombudsman of the existence or planned formation of a family council at that facility.</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family council may exclude members only for good cause, subject to appeal by the excluded party to the state long-term care ombudsman. No member shall be excluded on the basis of race or color, religion, gender, sexual orientation, disability, age or country of ancestral origin.</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bookmarkStart w:id="349" w:name="Bookmark__g_0"/>
      <w:bookmarkEnd w:id="349"/>
      <w:r>
        <w:rPr>
          <w:rFonts w:ascii="Verdana" w:hAnsi="Verdana" w:eastAsia="Arial"/>
          <w:sz w:val="24"/>
          <w:szCs w:val="24"/>
        </w:rPr>
        <w:t xml:space="preserve">A facility shall provide its family council with adequate space in a prominent posting area for the display of information pertaining to the family council.</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Staff or visitors may attend family council meetings at the council's invitation.</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nursing facility shall provide a designated staff person who, at the request of the council, shall be responsible for providing assistance to the family council and for responding to recommendations and requests made by the family council.</w:t>
      </w:r>
    </w:p>
    <w:p>
      <w:pPr>
        <w:pStyle w:val="ListParagraph"/>
        <w:numPr>
          <w:ilvl w:val="1"/>
          <w:numId w:val="530"/>
        </w:numPr>
        <w:spacing w:before="120" w:after="16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The nursing facility shall consider the recommendations of the family council concerning issues and policies affecting resident care and life at the nursing facility.</w:t>
      </w:r>
    </w:p>
    <w:p>
      <w:pPr>
        <w:pStyle w:val="ListParagraph"/>
        <w:numPr>
          <w:ilvl w:val="1"/>
          <w:numId w:val="530"/>
        </w:numPr>
        <w:spacing w:after="0" w:line="260" w:lineRule="atLeast"/>
        <w:ind w:left="450" w:hanging="270"/>
        <w:contextualSpacing/>
        <w:jc w:val="both"/>
        <w:rPr>
          <w:rFonts w:ascii="Verdana" w:hAnsi="Verdana" w:eastAsia="Arial"/>
          <w:sz w:val="24"/>
          <w:szCs w:val="24"/>
        </w:rPr>
      </w:pPr>
      <w:r>
        <w:rPr>
          <w:rFonts w:ascii="Verdana" w:hAnsi="Verdana" w:eastAsia="Arial"/>
          <w:sz w:val="24"/>
          <w:szCs w:val="24"/>
        </w:rPr>
        <w:t xml:space="preserve">A violation of the provisions of this section will constitute a violation of the rights of nursing home residents.</w:t>
      </w:r>
    </w:p>
    <w:p>
      <w:pPr>
        <w:keepNext/>
        <w:spacing w:after="0" w:line="340" w:lineRule="atLeast"/>
        <w:rPr>
          <w:rFonts w:ascii="Verdana" w:hAnsi="Verdana" w:eastAsia="Verdana"/>
          <w:szCs w:val="24"/>
        </w:rPr>
      </w:pPr>
      <w:bookmarkStart w:id="350" w:name="History_28"/>
      <w:bookmarkStart w:id="351" w:name="Bookmark_31"/>
      <w:bookmarkEnd w:id="350"/>
      <w:bookmarkEnd w:id="351"/>
      <w:r>
        <w:rPr>
          <w:rFonts w:ascii="Verdana" w:hAnsi="Verdana" w:eastAsia="Arial"/>
          <w:b/>
          <w:szCs w:val="24"/>
        </w:rPr>
        <w:t xml:space="preserve">Reimbursement of monies prepaid to deceased patient's estate </w:t>
      </w:r>
    </w:p>
    <w:p>
      <w:pPr>
        <w:spacing w:after="0" w:line="260" w:lineRule="atLeast"/>
        <w:rPr>
          <w:rFonts w:ascii="Verdana" w:hAnsi="Verdana" w:eastAsia="Verdana" w:cs="Calibri"/>
          <w:color w:val="212121"/>
          <w:szCs w:val="24"/>
        </w:rPr>
      </w:pPr>
      <w:r>
        <w:rPr>
          <w:rFonts w:ascii="Verdana" w:hAnsi="Verdana" w:eastAsia="Arial"/>
          <w:szCs w:val="24"/>
        </w:rPr>
        <w:t xml:space="preserve">Every nursing home shall be required to reimburse any monies that have been prepaid on behalf of a deceased patient to the nursing home within ninety (90) days of the patient's date of death. Said reimbursement shall be paid to the person(s), institution or other legal entity who has paid the monies, or if there be none, to the deceased patient's estate, and payment shall be made in the amount remaining after all items and services provided or arranged by the nursing home have been paid. If payment hereunder is required to be made to the deceased patient's estate, however, payment shall not become due until sixty (60) days after the nursing home is notified that the estate has been filed.</w:t>
      </w:r>
      <w:bookmarkStart w:id="352" w:name="History_29"/>
      <w:bookmarkEnd w:id="352"/>
    </w:p>
    <w:sectPr>
      <w:headerReference w:type="default" r:id="rId453"/>
      <w:footerReference w:type="default" r:id="rId454"/>
      <w:type w:val="nextPage"/>
      <w:pgSz w:w="12240" w:h="15840"/>
      <w:pgMar w:top="1440" w:right="1440" w:bottom="1440" w:left="1440" w:header="720" w:footer="720" w:gutter="0"/>
      <w:pgBorders/>
      <w:pgNumType w:fmt="decimal"/>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20105195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20</w:t>
        </w:r>
        <w:r>
          <w:rPr>
            <w:rFonts w:ascii="Verdana" w:hAnsi="Verdana" w:eastAsia="Verdana"/>
            <w:sz w:val="12"/>
            <w:szCs w:val="12"/>
          </w:rPr>
          <w:fldChar w:fldCharType="end"/>
        </w:r>
      </w:p>
    </w:sdtContent>
  </w:sdt>
  <w:p>
    <w:pPr>
      <w:pStyle w:val="Footer"/>
      <w:spacing/>
      <w:rPr/>
    </w:pPr>
  </w:p>
</w:ftr>
</file>

<file path=word/footer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bookmarkStart w:id="354" w:name="_GoBack" w:displacedByCustomXml="prev"/>
        <w:bookmarkEnd w:id="354" w:displacedByCustomXml="prev"/>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210321782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739791550"/>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bookmarkStart w:id="355" w:name="_Hlk22736008"/>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bookmarkEnd w:id="355"/>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00530</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00531</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005RIRR-</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005RIRR</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Avenue,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17</w:t>
    </w:r>
    <w:r>
      <w:rPr>
        <w:rFonts w:ascii="Verdana" w:hAnsi="Verdana" w:eastAsia="Verdana" w:cs="Times New Roman"/>
        <w:sz w:val="12"/>
        <w:szCs w:val="12"/>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 w:id="9">
    <w:p>
      <w:pPr>
        <w:pStyle w:val="FootnoteText"/>
        <w:spacing/>
        <w:rPr>
          <w:rFonts w:ascii="Verdana" w:hAnsi="Verdana" w:eastAsia="Verdana"/>
          <w:sz w:val="22"/>
          <w:szCs w:val="22"/>
        </w:rPr>
      </w:pPr>
      <w:r>
        <w:rPr>
          <w:rStyle w:val="FootnoteReference"/>
          <w:rFonts w:ascii="Verdana" w:hAnsi="Verdana" w:eastAsia="Verdana"/>
          <w:sz w:val="22"/>
          <w:szCs w:val="22"/>
        </w:rPr>
        <w:footnoteRef/>
      </w:r>
      <w:r>
        <w:rPr>
          <w:rFonts w:ascii="Verdana" w:hAnsi="Verdana" w:eastAsia="Verdana"/>
          <w:sz w:val="22"/>
          <w:szCs w:val="22"/>
        </w:rPr>
        <w:t xml:space="preserve"> R.I. Gen. Laws 23-17.5-20</w:t>
      </w:r>
    </w:p>
  </w:footnote>
  <w:footnote w:id="10">
    <w:p>
      <w:pPr>
        <w:pStyle w:val="FootnoteText"/>
        <w:spacing/>
        <w:rPr>
          <w:rFonts w:ascii="Verdana" w:hAnsi="Verdana" w:eastAsia="Verdana"/>
          <w:sz w:val="22"/>
          <w:szCs w:val="22"/>
        </w:rPr>
      </w:pPr>
      <w:r>
        <w:rPr>
          <w:rStyle w:val="FootnoteReference"/>
          <w:rFonts w:ascii="Verdana" w:hAnsi="Verdana" w:eastAsia="Verdana"/>
          <w:sz w:val="22"/>
          <w:szCs w:val="22"/>
        </w:rPr>
        <w:footnoteRef/>
      </w:r>
      <w:r>
        <w:rPr>
          <w:rFonts w:ascii="Verdana" w:hAnsi="Verdana" w:eastAsia="Verdana"/>
          <w:sz w:val="22"/>
          <w:szCs w:val="22"/>
        </w:rPr>
        <w:t xml:space="preserve"> R.I. Gen. Laws 23-17.5</w:t>
      </w:r>
    </w:p>
  </w:footnote>
  <w:footnote w:id="11">
    <w:p>
      <w:pPr>
        <w:pStyle w:val="FootnoteText"/>
        <w:spacing/>
        <w:rPr/>
      </w:pPr>
      <w:r>
        <w:rPr>
          <w:rStyle w:val="FootnoteReference"/>
          <w:rFonts w:ascii="Verdana" w:hAnsi="Verdana" w:eastAsia="Verdana"/>
          <w:sz w:val="22"/>
          <w:szCs w:val="22"/>
        </w:rPr>
        <w:footnoteRef/>
      </w:r>
      <w:r>
        <w:rPr>
          <w:rFonts w:ascii="Verdana" w:hAnsi="Verdana" w:eastAsia="Verdana"/>
          <w:sz w:val="22"/>
          <w:szCs w:val="22"/>
        </w:rPr>
        <w:t xml:space="preserve"> 216 RICR 040-10-1 Section 1.15.4</w:t>
      </w:r>
    </w:p>
  </w:footnote>
  <w:footnote w:id="12">
    <w:p>
      <w:pPr>
        <w:pStyle w:val="FootnoteText"/>
        <w:spacing/>
        <w:rPr/>
      </w:pPr>
      <w:r>
        <w:rPr>
          <w:rStyle w:val="FootnoteReference"/>
        </w:rPr>
        <w:footnoteRef/>
      </w:r>
      <w:r>
        <w:rPr/>
        <w:t xml:space="preserve"> R.I. Gen. Laws 23-17.5</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a7c61c85-329f-41d9-ac84-a88555fe42cc" type="##_x0000_t75" o:allowincell="f" style="position:absolute;margin-left:0pt;margin-top:0pt;width:467.2pt;height:293.8pt;mso-position-horizontal-relative:margin;mso-position-vertical-relative:margin;mso-position-horizontal:center;mso-position-vertical:center;z-index:-251654118;visibility:visible">
          <v:imagedata r:id="rId455" gain="19661f" blacklevel="22938f"/>
        </v:shape>
      </w:pict>
    </w:r>
    <w:bookmarkStart w:id="353"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353"/>
    <w:r>
      <w:rPr>
        <w:rFonts w:ascii="Verdana" w:hAnsi="Verdana" w:eastAsia="Verdana" w:cs="ArialMTPro"/>
        <w:b/>
        <w:bCs/>
        <w:smallCaps/>
        <w:color w:val="000000"/>
        <w:sz w:val="20"/>
        <w:szCs w:val="20"/>
      </w:rPr>
      <w:t xml:space="preserve">s</w:t>
    </w: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3ca6c8ec-df2c-439b-a1bf-2a3416466ade" type="##_x0000_t75" o:allowincell="f" style="position:absolute;margin-left:0pt;margin-top:0pt;width:467.2pt;height:293.8pt;mso-position-horizontal-relative:margin;mso-position-vertical-relative:margin;mso-position-horizontal:center;mso-position-vertical:center;z-index:-251653094;visibility:visible">
          <v:imagedata r:id="rId455" gain="19661f" blacklevel="22938f"/>
        </v:shape>
      </w:pict>
    </w: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73ca31c1-3487-48e7-bf8b-053b5059194c" type="##_x0000_t75" o:allowincell="f" style="position:absolute;margin-left:0pt;margin-top:0pt;width:467.2pt;height:293.8pt;mso-position-horizontal-relative:margin;mso-position-vertical-relative:margin;mso-position-horizontal:center;mso-position-vertical:center;z-index:-251652070;visibility:visible">
          <v:imagedata r:id="rId455" gain="19661f" blacklevel="22938f"/>
        </v:shape>
      </w:pict>
    </w: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782FAF8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3CCFC9B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1132BC5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032622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6719EB7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715F97"/>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0">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1">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2">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3">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4">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5">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6">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7">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8">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9">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0">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1">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2">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3">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4">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5">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6">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7">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8">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9">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0">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2">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4">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5">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6">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7">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8">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9">
    <w:nsid w:val="334AD79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0">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1">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2">
    <w:nsid w:val="23226D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3">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4">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5">
    <w:nsid w:val="39F591A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6">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7">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8">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9">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2">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3">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4">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5">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6">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7">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8">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50">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1">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2">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5">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7">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8">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9">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0">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2">
    <w:nsid w:val="5C9BCE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3">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4">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5">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6">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7">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8">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9">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70">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1">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3">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4">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5">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6">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8">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9">
    <w:nsid w:val="6EFB04EC"/>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80">
    <w:nsid w:val="4E039B7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1">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2">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3">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4">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5">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6">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7">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8">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9">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0">
    <w:nsid w:val="0F23A7C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1">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2">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3">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4">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5">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7">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8">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0">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1">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3">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4">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5">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6">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7">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8">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1">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2">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3">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4">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5">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6">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7">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8">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0">
    <w:nsid w:val="2CCD1BF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1">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2">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3">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5">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7">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8">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9">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30">
    <w:nsid w:val="5086705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1">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2">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4">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6">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7">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8">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9">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0">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1">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2">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3">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4">
    <w:nsid w:val="036F6E6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5">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6">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7">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8">
    <w:nsid w:val="1989CE7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9">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50">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1">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2">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0979E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4">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5">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6">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7">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8">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9">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1">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2">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3">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4">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5">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6">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7">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8">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9">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0">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1">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2">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3">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4">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5">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6">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7">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8">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2">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3">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4">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5">
    <w:nsid w:val="47AB7F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6">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7">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8">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9">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0">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1">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3">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4">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5">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7">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8">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9">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0">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1">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2">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4">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5">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6">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7">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8">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9">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0">
    <w:nsid w:val="324E95F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1">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2">
    <w:nsid w:val="73D149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3">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4">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5">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6">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7">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8">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0">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5"/>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1">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3">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4">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6">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7">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8">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9">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0">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1">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2">
    <w:nsid w:val="11FBE93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3">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4">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5">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6">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7">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8">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9">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0">
    <w:nsid w:val="391CC6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1">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2">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3">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4">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5">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6">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8">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9">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0">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1">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2">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4">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5">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6">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7">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8">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9">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0">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1">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2">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3">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4">
    <w:nsid w:val="01D10A3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5">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7">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8">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9">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70">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1">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2">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3">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4">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5">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6">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7">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8">
    <w:nsid w:val="39066919"/>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79">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1">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2">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3">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4">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5">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6">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7">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8">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9">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0">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91">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2">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3">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4">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7">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8">
    <w:nsid w:val="4B4C5C4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9">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0">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1">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2">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3">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4">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6">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7">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9">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0">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1">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2">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3">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4">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5">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6">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8">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9">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0">
    <w:nsid w:val="3EB25B5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21">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2">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3">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5">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7">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0">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2">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5">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6">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7">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9">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40">
    <w:nsid w:val="32E3BA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1">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2">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3">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4">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5">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6">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7">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8">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9">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50">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51">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4">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5">
    <w:nsid w:val="0AA4763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6">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7">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8">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9">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0">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1">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2">
    <w:nsid w:val="580E76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3">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5">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7">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9">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71">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2">
    <w:nsid w:val="33D311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4">
    <w:nsid w:val="150E7E1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5">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7">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8">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0">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2">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3">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4">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5">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6">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7">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8">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9">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0">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1">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2">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3">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7">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8">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9">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500">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2">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3">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4">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5">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6">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7">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8">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0DCBC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10">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1">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4">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5">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6">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7">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8">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9">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0">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1">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2">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3">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4">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6">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7">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8">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9">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1">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3">
    <w:nsid w:val="1801F9B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4">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5">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6">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8">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1">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3">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4">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5">
    <w:nsid w:val="7E04B26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6">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7">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9">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0">
    <w:nsid w:val="75ADC7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1">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2">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3">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5">
    <w:nsid w:val="60A88D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7">
    <w:nsid w:val="3A5D467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8">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9">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0">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2">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3">
    <w:nsid w:val="18B10CC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4">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5">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7">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1">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2">
    <w:nsid w:val="06260D7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3">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4">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5">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6">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7">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8">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9">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0">
    <w:nsid w:val="318B6D2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1">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2">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3">
    <w:nsid w:val="3C03D11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45720F0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5">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6">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8">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9">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0">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2">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3">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5">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6">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7">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9">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0">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1">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5B8B223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3">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4">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5">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6">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7">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9">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4">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261D024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6">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7">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8">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2">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4">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5">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6">
    <w:nsid w:val="15BBA5E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7">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8">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9">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0">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1">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2">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4">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5">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6">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7">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8">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9">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40">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2">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3">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5">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8">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9">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50">
    <w:nsid w:val="28B9C05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1">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2">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3">
    <w:nsid w:val="3847B3A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03BE79A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5">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6">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7">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8">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0">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1">
    <w:nsid w:val="3108F9A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2">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3">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4">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5">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6">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7">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38C12D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9">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1">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2">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3">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5">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6">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9">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0">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3">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6">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8">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9">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1">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2">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3">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4">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5">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6">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7">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8">
    <w:nsid w:val="3D68AE6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9">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0">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1">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2">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3">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4">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6">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9">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0">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1">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3">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5">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6">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7">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8">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9">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0">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1">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2">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3">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4">
    <w:nsid w:val="59FAFD2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6">
    <w:nsid w:val="622ECB7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7">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8">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9">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1">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3">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4">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5">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6">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7">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8">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0">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5">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8">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32D695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1">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3">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4">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5">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6">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7">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8">
    <w:nsid w:val="4E0ADEC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9">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60">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4">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8">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0">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3">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5">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8">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0">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1">
    <w:nsid w:val="2CB3733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2">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4">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0">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2">
    <w:nsid w:val="7A0208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3">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4">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5">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6">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7">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8">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9">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0">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1">
    <w:nsid w:val="1CFA47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188E9E3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4">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5">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6">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793"/>
    <w:lvlOverride w:ilvl="0">
      <w:startOverride w:val="1"/>
    </w:lvlOverride>
    <w:lvlOverride w:ilvl="1">
      <w:startOverride w:val="2"/>
    </w:lvlOverride>
    <w:lvlOverride w:ilvl="2">
      <w:startOverride w:val="1"/>
    </w:lvlOverride>
    <w:lvlOverride w:ilvl="3">
      <w:startOverride w:val="1"/>
    </w:lvlOverride>
  </w:num>
  <w:num w:numId="810">
    <w:abstractNumId w:val="0"/>
    <w:lvlOverride w:ilvl="0">
      <w:startOverride w:val="1"/>
    </w:lvlOverride>
    <w:lvlOverride w:ilvl="1">
      <w:startOverride w:val="1"/>
    </w:lvlOverride>
    <w:lvlOverride w:ilvl="2">
      <w:startOverride w:val="1"/>
    </w:lvlOverride>
    <w:lvlOverride w:ilvl="3">
      <w:startOverride w:val="1"/>
    </w:lvlOverride>
  </w:num>
  <w:num w:numId="811">
    <w:abstractNumId w:val="260"/>
    <w:lvlOverride w:ilvl="0">
      <w:startOverride w:val="2"/>
    </w:lvlOverride>
    <w:lvlOverride w:ilvl="1">
      <w:startOverride w:val="1"/>
    </w:lvlOverride>
    <w:lvlOverride w:ilvl="2">
      <w:startOverride w:val="1"/>
    </w:lvlOverride>
    <w:lvlOverride w:ilvl="3">
      <w:startOverride w:val="1"/>
    </w:lvlOverride>
  </w:num>
  <w:num w:numId="812">
    <w:abstractNumId w:val="705"/>
    <w:lvlOverride w:ilvl="0">
      <w:startOverride w:val="1"/>
    </w:lvlOverride>
    <w:lvlOverride w:ilvl="1">
      <w:startOverride w:val="1"/>
    </w:lvlOverride>
    <w:lvlOverride w:ilvl="2">
      <w:startOverride w:val="1"/>
    </w:lvlOverride>
    <w:lvlOverride w:ilvl="3">
      <w:startOverride w:val="1"/>
    </w:lvlOverride>
  </w:num>
  <w:num w:numId="813">
    <w:abstractNumId w:val="489"/>
    <w:lvlOverride w:ilvl="0">
      <w:startOverride w:val="2"/>
    </w:lvlOverride>
    <w:lvlOverride w:ilvl="1">
      <w:startOverride w:val="1"/>
    </w:lvlOverride>
    <w:lvlOverride w:ilvl="2">
      <w:startOverride w:val="1"/>
    </w:lvlOverride>
    <w:lvlOverride w:ilvl="3">
      <w:startOverride w:val="1"/>
    </w:lvlOverride>
  </w:num>
  <w:num w:numId="814">
    <w:abstractNumId w:val="253"/>
    <w:lvlOverride w:ilvl="0">
      <w:startOverride w:val="3"/>
    </w:lvlOverride>
    <w:lvlOverride w:ilvl="1">
      <w:startOverride w:val="1"/>
    </w:lvlOverride>
    <w:lvlOverride w:ilvl="2">
      <w:startOverride w:val="1"/>
    </w:lvlOverride>
    <w:lvlOverride w:ilvl="3">
      <w:startOverride w:val="1"/>
    </w:lvlOverride>
  </w:num>
  <w:num w:numId="815">
    <w:abstractNumId w:val="17"/>
    <w:lvlOverride w:ilvl="0">
      <w:startOverride w:val="1"/>
    </w:lvlOverride>
    <w:lvlOverride w:ilvl="1">
      <w:startOverride w:val="2"/>
    </w:lvlOverride>
    <w:lvlOverride w:ilvl="2">
      <w:startOverride w:val="1"/>
    </w:lvlOverride>
    <w:lvlOverride w:ilvl="3">
      <w:startOverride w:val="1"/>
    </w:lvlOverride>
  </w:num>
  <w:num w:numId="816">
    <w:abstractNumId w:val="8"/>
    <w:lvlOverride w:ilvl="0">
      <w:startOverride w:val="1"/>
    </w:lvlOverride>
    <w:lvlOverride w:ilvl="1">
      <w:startOverride w:val="1"/>
    </w:lvlOverride>
    <w:lvlOverride w:ilvl="2">
      <w:startOverride w:val="2"/>
    </w:lvlOverride>
    <w:lvlOverride w:ilvl="3">
      <w:startOverride w:val="1"/>
    </w:lvlOverride>
  </w:num>
  <w:num w:numId="817">
    <w:abstractNumId w:val="15"/>
    <w:lvlOverride w:ilvl="0">
      <w:startOverride w:val="1"/>
    </w:lvlOverride>
    <w:lvlOverride w:ilvl="1">
      <w:startOverride w:val="3"/>
    </w:lvlOverride>
    <w:lvlOverride w:ilvl="2">
      <w:startOverride w:val="1"/>
    </w:lvlOverride>
    <w:lvlOverride w:ilvl="3">
      <w:startOverride w:val="1"/>
    </w:lvlOverride>
  </w:num>
  <w:num w:numId="818">
    <w:abstractNumId w:val="29"/>
    <w:lvlOverride w:ilvl="0">
      <w:startOverride w:val="1"/>
    </w:lvlOverride>
    <w:lvlOverride w:ilvl="1">
      <w:startOverride w:val="2"/>
    </w:lvlOverride>
    <w:lvlOverride w:ilvl="2">
      <w:startOverride w:val="1"/>
    </w:lvlOverride>
    <w:lvlOverride w:ilvl="3">
      <w:startOverride w:val="1"/>
    </w:lvlOverride>
  </w:num>
  <w:num w:numId="819">
    <w:abstractNumId w:val="166"/>
    <w:lvlOverride w:ilvl="0">
      <w:startOverride w:val="1"/>
    </w:lvlOverride>
    <w:lvlOverride w:ilvl="1">
      <w:startOverride w:val="1"/>
    </w:lvlOverride>
    <w:lvlOverride w:ilvl="2">
      <w:startOverride w:val="1"/>
    </w:lvlOverride>
    <w:lvlOverride w:ilvl="3">
      <w:startOverride w:val="1"/>
    </w:lvlOverride>
  </w:num>
  <w:num w:numId="820">
    <w:abstractNumId w:val="370"/>
    <w:lvlOverride w:ilvl="0">
      <w:startOverride w:val="1"/>
    </w:lvlOverride>
    <w:lvlOverride w:ilvl="1">
      <w:startOverride w:val="1"/>
    </w:lvlOverride>
    <w:lvlOverride w:ilvl="2">
      <w:startOverride w:val="2"/>
    </w:lvlOverride>
    <w:lvlOverride w:ilvl="3">
      <w:startOverride w:val="1"/>
    </w:lvlOverride>
  </w:num>
  <w:num w:numId="821">
    <w:abstractNumId w:val="799"/>
    <w:lvlOverride w:ilvl="0">
      <w:startOverride w:val="1"/>
    </w:lvlOverride>
    <w:lvlOverride w:ilvl="1">
      <w:startOverride w:val="3"/>
    </w:lvlOverride>
    <w:lvlOverride w:ilvl="2">
      <w:startOverride w:val="1"/>
    </w:lvlOverride>
    <w:lvlOverride w:ilvl="3">
      <w:startOverride w:val="1"/>
    </w:lvlOverride>
  </w:num>
  <w:num w:numId="822">
    <w:abstractNumId w:val="7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5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131"/>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8">
    <w:abstractNumId w:val="131"/>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29">
    <w:abstractNumId w:val="248"/>
    <w:lvlOverride w:ilvl="2">
      <w:lvl w:ilvl="2">
        <w:start w:val="1"/>
        <w:numFmt w:val="lowerLetter"/>
        <w:suff w:val="tab"/>
        <w:lvlText w:val="%3."/>
        <w:pPr>
          <w:tabs>
            <w:tab w:val="num" w:pos="1512"/>
          </w:tabs>
          <w:spacing/>
          <w:ind w:left="2088" w:hanging="576"/>
        </w:pPr>
        <w:rPr>
          <w:rFonts w:cs="Times New Roman" w:hint="default"/>
          <w:b w:val="0"/>
        </w:rPr>
      </w:lvl>
    </w:lvlOverride>
  </w:num>
  <w:num w:numId="830">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4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8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5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179"/>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37">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2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39">
    <w:abstractNumId w:val="7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615"/>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41">
    <w:abstractNumId w:val="7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1"/>
    <w:lvlOverride w:ilvl="0">
      <w:startOverride w:val="1"/>
    </w:lvlOverride>
    <w:lvlOverride w:ilvl="1">
      <w:startOverride w:val="1"/>
    </w:lvlOverride>
    <w:lvlOverride w:ilvl="2">
      <w:startOverride w:val="1"/>
    </w:lvlOverride>
    <w:lvlOverride w:ilvl="3">
      <w:startOverride w:val="1"/>
    </w:lvlOverride>
  </w:num>
  <w:num w:numId="843">
    <w:abstractNumId w:val="6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4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7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8">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9">
    <w:abstractNumId w:val="4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0">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1">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2">
    <w:abstractNumId w:val="4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3">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4">
    <w:abstractNumId w:val="6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5">
    <w:abstractNumId w:val="6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7">
    <w:abstractNumId w:val="5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8">
    <w:abstractNumId w:val="7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9">
    <w:abstractNumId w:val="7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0">
    <w:abstractNumId w:val="5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1">
    <w:abstractNumId w:val="3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2">
    <w:abstractNumId w:val="6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3">
    <w:abstractNumId w:val="7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4">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4"/>
    </w:numPr>
    <w:pPr>
      <w:keepNext/>
      <w:numPr>
        <w:ilvl w:val="0"/>
        <w:numId w:val="754"/>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4"/>
    </w:numPr>
    <w:pPr>
      <w:numPr>
        <w:ilvl w:val="1"/>
        <w:numId w:val="754"/>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4"/>
    </w:numPr>
    <w:pPr>
      <w:numPr>
        <w:ilvl w:val="2"/>
        <w:numId w:val="754"/>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4"/>
    </w:numPr>
    <w:pPr>
      <w:numPr>
        <w:ilvl w:val="3"/>
        <w:numId w:val="754"/>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4"/>
    </w:numPr>
    <w:pPr>
      <w:numPr>
        <w:ilvl w:val="4"/>
        <w:numId w:val="754"/>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30"/>
    </w:numPr>
    <w:pPr>
      <w:numPr>
        <w:ilvl w:val="0"/>
        <w:numId w:val="230"/>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4"/>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6"/>
    </w:numPr>
    <w:pPr>
      <w:numPr>
        <w:ilvl w:val="0"/>
        <w:numId w:val="666"/>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6"/>
    </w:numPr>
    <w:pPr>
      <w:numPr>
        <w:ilvl w:val="0"/>
        <w:numId w:val="316"/>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4"/>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9"/>
    </w:numPr>
    <w:pPr>
      <w:numPr>
        <w:ilvl w:val="0"/>
        <w:numId w:val="449"/>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56" Type="http://schemas.openxmlformats.org/officeDocument/2006/relationships/styles" Target="styles.xml" /><Relationship Id="rId457" Type="http://schemas.openxmlformats.org/officeDocument/2006/relationships/settings" Target="settings.xml" /><Relationship Id="rId458" Type="http://schemas.openxmlformats.org/officeDocument/2006/relationships/theme" Target="theme/theme1.xml" /><Relationship Id="rId459" Type="http://schemas.openxmlformats.org/officeDocument/2006/relationships/numbering" Target="numbering.xml" /><Relationship Id="rId460" Type="http://schemas.openxmlformats.org/officeDocument/2006/relationships/footnotes" Target="footnotes.xml" /><Relationship Id="rId4" Type="http://schemas.openxmlformats.org/officeDocument/2006/relationships/footer" Target="footer4.xml" /><Relationship Id="rId32" Type="http://schemas.openxmlformats.org/officeDocument/2006/relationships/footer" Target="footer32.xml" /><Relationship Id="rId52" Type="http://schemas.openxmlformats.org/officeDocument/2006/relationships/footer" Target="footer52.xml" /><Relationship Id="rId109" Type="http://schemas.openxmlformats.org/officeDocument/2006/relationships/footer" Target="footer109.xml" /><Relationship Id="rId115" Type="http://schemas.openxmlformats.org/officeDocument/2006/relationships/footer" Target="footer115.xml" /><Relationship Id="rId140" Type="http://schemas.openxmlformats.org/officeDocument/2006/relationships/footer" Target="footer140.xml" /><Relationship Id="rId170" Type="http://schemas.openxmlformats.org/officeDocument/2006/relationships/footer" Target="footer170.xml" /><Relationship Id="rId195" Type="http://schemas.openxmlformats.org/officeDocument/2006/relationships/footer" Target="footer195.xml" /><Relationship Id="rId209" Type="http://schemas.openxmlformats.org/officeDocument/2006/relationships/footer" Target="footer209.xml" /><Relationship Id="rId240" Type="http://schemas.openxmlformats.org/officeDocument/2006/relationships/footer" Target="footer240.xml" /><Relationship Id="rId262" Type="http://schemas.openxmlformats.org/officeDocument/2006/relationships/footer" Target="footer262.xml" /><Relationship Id="rId272" Type="http://schemas.openxmlformats.org/officeDocument/2006/relationships/footer" Target="footer272.xml" /><Relationship Id="rId278" Type="http://schemas.openxmlformats.org/officeDocument/2006/relationships/footer" Target="footer278.xml" /><Relationship Id="rId286" Type="http://schemas.openxmlformats.org/officeDocument/2006/relationships/footer" Target="footer286.xml" /><Relationship Id="rId306" Type="http://schemas.openxmlformats.org/officeDocument/2006/relationships/footer" Target="footer306.xml" /><Relationship Id="rId340" Type="http://schemas.openxmlformats.org/officeDocument/2006/relationships/footer" Target="footer340.xml" /><Relationship Id="rId355" Type="http://schemas.openxmlformats.org/officeDocument/2006/relationships/footer" Target="footer355.xml" /><Relationship Id="rId381" Type="http://schemas.openxmlformats.org/officeDocument/2006/relationships/footer" Target="footer381.xml" /><Relationship Id="rId391" Type="http://schemas.openxmlformats.org/officeDocument/2006/relationships/footer" Target="footer391.xml" /><Relationship Id="rId398" Type="http://schemas.openxmlformats.org/officeDocument/2006/relationships/footer" Target="footer398.xml" /><Relationship Id="rId404" Type="http://schemas.openxmlformats.org/officeDocument/2006/relationships/footer" Target="footer404.xml" /><Relationship Id="rId426" Type="http://schemas.openxmlformats.org/officeDocument/2006/relationships/footer" Target="footer426.xml" /><Relationship Id="rId432" Type="http://schemas.openxmlformats.org/officeDocument/2006/relationships/footer" Target="footer432.xml" /><Relationship Id="rId3" Type="http://schemas.openxmlformats.org/officeDocument/2006/relationships/header" Target="header3.xml" /><Relationship Id="rId31" Type="http://schemas.openxmlformats.org/officeDocument/2006/relationships/header" Target="header31.xml" /><Relationship Id="rId51" Type="http://schemas.openxmlformats.org/officeDocument/2006/relationships/header" Target="header51.xml" /><Relationship Id="rId139" Type="http://schemas.openxmlformats.org/officeDocument/2006/relationships/header" Target="header139.xml" /><Relationship Id="rId169" Type="http://schemas.openxmlformats.org/officeDocument/2006/relationships/header" Target="header169.xml" /><Relationship Id="rId182" Type="http://schemas.openxmlformats.org/officeDocument/2006/relationships/header" Target="header182.xml" /><Relationship Id="rId186" Type="http://schemas.openxmlformats.org/officeDocument/2006/relationships/header" Target="header186.xml" /><Relationship Id="rId194" Type="http://schemas.openxmlformats.org/officeDocument/2006/relationships/header" Target="header194.xml" /><Relationship Id="rId208" Type="http://schemas.openxmlformats.org/officeDocument/2006/relationships/header" Target="header208.xml" /><Relationship Id="rId239" Type="http://schemas.openxmlformats.org/officeDocument/2006/relationships/header" Target="header239.xml" /><Relationship Id="rId261" Type="http://schemas.openxmlformats.org/officeDocument/2006/relationships/header" Target="header261.xml" /><Relationship Id="rId271" Type="http://schemas.openxmlformats.org/officeDocument/2006/relationships/header" Target="header271.xml" /><Relationship Id="rId277" Type="http://schemas.openxmlformats.org/officeDocument/2006/relationships/header" Target="header277.xml" /><Relationship Id="rId285" Type="http://schemas.openxmlformats.org/officeDocument/2006/relationships/header" Target="header285.xml" /><Relationship Id="rId305" Type="http://schemas.openxmlformats.org/officeDocument/2006/relationships/header" Target="header305.xml" /><Relationship Id="rId339" Type="http://schemas.openxmlformats.org/officeDocument/2006/relationships/header" Target="header339.xml" /><Relationship Id="rId354" Type="http://schemas.openxmlformats.org/officeDocument/2006/relationships/header" Target="header354.xml" /><Relationship Id="rId380" Type="http://schemas.openxmlformats.org/officeDocument/2006/relationships/header" Target="header380.xml" /><Relationship Id="rId390" Type="http://schemas.openxmlformats.org/officeDocument/2006/relationships/header" Target="header390.xml" /><Relationship Id="rId397" Type="http://schemas.openxmlformats.org/officeDocument/2006/relationships/header" Target="header397.xml" /><Relationship Id="rId403" Type="http://schemas.openxmlformats.org/officeDocument/2006/relationships/header" Target="header403.xml" /><Relationship Id="rId425" Type="http://schemas.openxmlformats.org/officeDocument/2006/relationships/header" Target="header425.xml" /><Relationship Id="rId431" Type="http://schemas.openxmlformats.org/officeDocument/2006/relationships/header" Target="header431.xml" /><Relationship Id="rId2" Type="http://schemas.openxmlformats.org/officeDocument/2006/relationships/footer" Target="footer2.xml" /><Relationship Id="rId8" Type="http://schemas.openxmlformats.org/officeDocument/2006/relationships/footer" Target="footer8.xml" /><Relationship Id="rId30" Type="http://schemas.openxmlformats.org/officeDocument/2006/relationships/footer" Target="footer30.xml" /><Relationship Id="rId50" Type="http://schemas.openxmlformats.org/officeDocument/2006/relationships/footer" Target="footer50.xml" /><Relationship Id="rId108" Type="http://schemas.openxmlformats.org/officeDocument/2006/relationships/footer" Target="footer108.xml" /><Relationship Id="rId114" Type="http://schemas.openxmlformats.org/officeDocument/2006/relationships/footer" Target="footer114.xml" /><Relationship Id="rId138" Type="http://schemas.openxmlformats.org/officeDocument/2006/relationships/footer" Target="footer138.xml" /><Relationship Id="rId168" Type="http://schemas.openxmlformats.org/officeDocument/2006/relationships/footer" Target="footer168.xml" /><Relationship Id="rId181" Type="http://schemas.openxmlformats.org/officeDocument/2006/relationships/footer" Target="footer181.xml" /><Relationship Id="rId193" Type="http://schemas.openxmlformats.org/officeDocument/2006/relationships/footer" Target="footer193.xml" /><Relationship Id="rId207" Type="http://schemas.openxmlformats.org/officeDocument/2006/relationships/footer" Target="footer207.xml" /><Relationship Id="rId238" Type="http://schemas.openxmlformats.org/officeDocument/2006/relationships/footer" Target="footer238.xml" /><Relationship Id="rId260" Type="http://schemas.openxmlformats.org/officeDocument/2006/relationships/footer" Target="footer260.xml" /><Relationship Id="rId270" Type="http://schemas.openxmlformats.org/officeDocument/2006/relationships/footer" Target="footer270.xml" /><Relationship Id="rId276" Type="http://schemas.openxmlformats.org/officeDocument/2006/relationships/footer" Target="footer276.xml" /><Relationship Id="rId284" Type="http://schemas.openxmlformats.org/officeDocument/2006/relationships/footer" Target="footer284.xml" /><Relationship Id="rId304" Type="http://schemas.openxmlformats.org/officeDocument/2006/relationships/footer" Target="footer304.xml" /><Relationship Id="rId338" Type="http://schemas.openxmlformats.org/officeDocument/2006/relationships/footer" Target="footer338.xml" /><Relationship Id="rId353" Type="http://schemas.openxmlformats.org/officeDocument/2006/relationships/footer" Target="footer353.xml" /><Relationship Id="rId379" Type="http://schemas.openxmlformats.org/officeDocument/2006/relationships/footer" Target="footer379.xml" /><Relationship Id="rId389" Type="http://schemas.openxmlformats.org/officeDocument/2006/relationships/footer" Target="footer389.xml" /><Relationship Id="rId396" Type="http://schemas.openxmlformats.org/officeDocument/2006/relationships/footer" Target="footer396.xml" /><Relationship Id="rId402" Type="http://schemas.openxmlformats.org/officeDocument/2006/relationships/footer" Target="footer402.xml" /><Relationship Id="rId424" Type="http://schemas.openxmlformats.org/officeDocument/2006/relationships/footer" Target="footer424.xml" /><Relationship Id="rId430" Type="http://schemas.openxmlformats.org/officeDocument/2006/relationships/footer" Target="footer430.xml" /><Relationship Id="rId1" Type="http://schemas.openxmlformats.org/officeDocument/2006/relationships/header" Target="header1.xml" /><Relationship Id="rId7" Type="http://schemas.openxmlformats.org/officeDocument/2006/relationships/header" Target="header7.xml" /><Relationship Id="rId29" Type="http://schemas.openxmlformats.org/officeDocument/2006/relationships/header" Target="header29.xml" /><Relationship Id="rId49" Type="http://schemas.openxmlformats.org/officeDocument/2006/relationships/header" Target="header49.xml" /><Relationship Id="rId137" Type="http://schemas.openxmlformats.org/officeDocument/2006/relationships/header" Target="header137.xml" /><Relationship Id="rId167" Type="http://schemas.openxmlformats.org/officeDocument/2006/relationships/header" Target="header167.xml" /><Relationship Id="rId180" Type="http://schemas.openxmlformats.org/officeDocument/2006/relationships/header" Target="header180.xml" /><Relationship Id="rId185" Type="http://schemas.openxmlformats.org/officeDocument/2006/relationships/header" Target="header185.xml" /><Relationship Id="rId192" Type="http://schemas.openxmlformats.org/officeDocument/2006/relationships/header" Target="header192.xml" /><Relationship Id="rId206" Type="http://schemas.openxmlformats.org/officeDocument/2006/relationships/header" Target="header206.xml" /><Relationship Id="rId237" Type="http://schemas.openxmlformats.org/officeDocument/2006/relationships/header" Target="header237.xml" /><Relationship Id="rId259" Type="http://schemas.openxmlformats.org/officeDocument/2006/relationships/header" Target="header259.xml" /><Relationship Id="rId269" Type="http://schemas.openxmlformats.org/officeDocument/2006/relationships/header" Target="header269.xml" /><Relationship Id="rId275" Type="http://schemas.openxmlformats.org/officeDocument/2006/relationships/header" Target="header275.xml" /><Relationship Id="rId283" Type="http://schemas.openxmlformats.org/officeDocument/2006/relationships/header" Target="header283.xml" /><Relationship Id="rId303" Type="http://schemas.openxmlformats.org/officeDocument/2006/relationships/header" Target="header303.xml" /><Relationship Id="rId337" Type="http://schemas.openxmlformats.org/officeDocument/2006/relationships/header" Target="header337.xml" /><Relationship Id="rId352" Type="http://schemas.openxmlformats.org/officeDocument/2006/relationships/header" Target="header352.xml" /><Relationship Id="rId378" Type="http://schemas.openxmlformats.org/officeDocument/2006/relationships/header" Target="header378.xml" /><Relationship Id="rId388" Type="http://schemas.openxmlformats.org/officeDocument/2006/relationships/header" Target="header388.xml" /><Relationship Id="rId395" Type="http://schemas.openxmlformats.org/officeDocument/2006/relationships/header" Target="header395.xml" /><Relationship Id="rId401" Type="http://schemas.openxmlformats.org/officeDocument/2006/relationships/header" Target="header401.xml" /><Relationship Id="rId423" Type="http://schemas.openxmlformats.org/officeDocument/2006/relationships/header" Target="header423.xml" /><Relationship Id="rId429" Type="http://schemas.openxmlformats.org/officeDocument/2006/relationships/header" Target="header429.xml" /><Relationship Id="rId6" Type="http://schemas.openxmlformats.org/officeDocument/2006/relationships/footer" Target="footer6.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90" Type="http://schemas.openxmlformats.org/officeDocument/2006/relationships/footer" Target="footer90.xml" /><Relationship Id="rId93" Type="http://schemas.openxmlformats.org/officeDocument/2006/relationships/footer" Target="footer93.xml" /><Relationship Id="rId95" Type="http://schemas.openxmlformats.org/officeDocument/2006/relationships/footer" Target="footer95.xml" /><Relationship Id="rId97" Type="http://schemas.openxmlformats.org/officeDocument/2006/relationships/footer" Target="footer97.xml" /><Relationship Id="rId99" Type="http://schemas.openxmlformats.org/officeDocument/2006/relationships/footer" Target="footer99.xml" /><Relationship Id="rId101" Type="http://schemas.openxmlformats.org/officeDocument/2006/relationships/footer" Target="footer101.xml" /><Relationship Id="rId103" Type="http://schemas.openxmlformats.org/officeDocument/2006/relationships/footer" Target="footer103.xml" /><Relationship Id="rId105" Type="http://schemas.openxmlformats.org/officeDocument/2006/relationships/footer" Target="footer105.xml" /><Relationship Id="rId107" Type="http://schemas.openxmlformats.org/officeDocument/2006/relationships/footer" Target="footer107.xml" /><Relationship Id="rId111" Type="http://schemas.openxmlformats.org/officeDocument/2006/relationships/footer" Target="footer111.xml" /><Relationship Id="rId117" Type="http://schemas.openxmlformats.org/officeDocument/2006/relationships/footer" Target="footer117.xml" /><Relationship Id="rId119" Type="http://schemas.openxmlformats.org/officeDocument/2006/relationships/footer" Target="footer119.xml" /><Relationship Id="rId121" Type="http://schemas.openxmlformats.org/officeDocument/2006/relationships/footer" Target="footer121.xml" /><Relationship Id="rId123" Type="http://schemas.openxmlformats.org/officeDocument/2006/relationships/footer" Target="footer123.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7" Type="http://schemas.openxmlformats.org/officeDocument/2006/relationships/footer" Target="footer177.xml" /><Relationship Id="rId179" Type="http://schemas.openxmlformats.org/officeDocument/2006/relationships/footer" Target="footer179.xml" /><Relationship Id="rId184" Type="http://schemas.openxmlformats.org/officeDocument/2006/relationships/footer" Target="footer184.xml" /><Relationship Id="rId189" Type="http://schemas.openxmlformats.org/officeDocument/2006/relationships/footer" Target="footer189.xml" /><Relationship Id="rId191" Type="http://schemas.openxmlformats.org/officeDocument/2006/relationships/footer" Target="footer191.xml" /><Relationship Id="rId197" Type="http://schemas.openxmlformats.org/officeDocument/2006/relationships/footer" Target="footer197.xml" /><Relationship Id="rId199" Type="http://schemas.openxmlformats.org/officeDocument/2006/relationships/footer" Target="footer199.xml" /><Relationship Id="rId201" Type="http://schemas.openxmlformats.org/officeDocument/2006/relationships/footer" Target="footer201.xml" /><Relationship Id="rId203" Type="http://schemas.openxmlformats.org/officeDocument/2006/relationships/footer" Target="footer203.xml" /><Relationship Id="rId205" Type="http://schemas.openxmlformats.org/officeDocument/2006/relationships/footer" Target="footer205.xml" /><Relationship Id="rId211" Type="http://schemas.openxmlformats.org/officeDocument/2006/relationships/footer" Target="footer211.xml" /><Relationship Id="rId213" Type="http://schemas.openxmlformats.org/officeDocument/2006/relationships/footer" Target="footer213.xml" /><Relationship Id="rId215" Type="http://schemas.openxmlformats.org/officeDocument/2006/relationships/footer" Target="footer215.xml" /><Relationship Id="rId217" Type="http://schemas.openxmlformats.org/officeDocument/2006/relationships/footer" Target="footer217.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4" Type="http://schemas.openxmlformats.org/officeDocument/2006/relationships/footer" Target="footer274.xml" /><Relationship Id="rId280" Type="http://schemas.openxmlformats.org/officeDocument/2006/relationships/footer" Target="footer280.xml" /><Relationship Id="rId282" Type="http://schemas.openxmlformats.org/officeDocument/2006/relationships/footer" Target="footer282.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42" Type="http://schemas.openxmlformats.org/officeDocument/2006/relationships/footer" Target="footer342.xml" /><Relationship Id="rId343" Type="http://schemas.openxmlformats.org/officeDocument/2006/relationships/footer" Target="footer343.xml" /><Relationship Id="rId345" Type="http://schemas.openxmlformats.org/officeDocument/2006/relationships/footer" Target="footer345.xml" /><Relationship Id="rId347" Type="http://schemas.openxmlformats.org/officeDocument/2006/relationships/footer" Target="footer347.xml" /><Relationship Id="rId349" Type="http://schemas.openxmlformats.org/officeDocument/2006/relationships/footer" Target="footer349.xml" /><Relationship Id="rId351" Type="http://schemas.openxmlformats.org/officeDocument/2006/relationships/footer" Target="footer351.xml" /><Relationship Id="rId357" Type="http://schemas.openxmlformats.org/officeDocument/2006/relationships/footer" Target="footer357.xml" /><Relationship Id="rId359" Type="http://schemas.openxmlformats.org/officeDocument/2006/relationships/footer" Target="footer359.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83" Type="http://schemas.openxmlformats.org/officeDocument/2006/relationships/footer" Target="footer383.xml" /><Relationship Id="rId385" Type="http://schemas.openxmlformats.org/officeDocument/2006/relationships/footer" Target="footer385.xml" /><Relationship Id="rId387" Type="http://schemas.openxmlformats.org/officeDocument/2006/relationships/footer" Target="footer387.xml" /><Relationship Id="rId393" Type="http://schemas.openxmlformats.org/officeDocument/2006/relationships/footer" Target="footer393.xml" /><Relationship Id="rId400" Type="http://schemas.openxmlformats.org/officeDocument/2006/relationships/footer" Target="footer400.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8" Type="http://schemas.openxmlformats.org/officeDocument/2006/relationships/footer" Target="footer428.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5" Type="http://schemas.openxmlformats.org/officeDocument/2006/relationships/header" Target="header5.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9" Type="http://schemas.openxmlformats.org/officeDocument/2006/relationships/header" Target="header89.xml" /><Relationship Id="rId91" Type="http://schemas.openxmlformats.org/officeDocument/2006/relationships/header" Target="header91.xml" /><Relationship Id="rId92" Type="http://schemas.openxmlformats.org/officeDocument/2006/relationships/header" Target="header92.xml" /><Relationship Id="rId94" Type="http://schemas.openxmlformats.org/officeDocument/2006/relationships/header" Target="header94.xml" /><Relationship Id="rId96" Type="http://schemas.openxmlformats.org/officeDocument/2006/relationships/header" Target="header96.xml" /><Relationship Id="rId98" Type="http://schemas.openxmlformats.org/officeDocument/2006/relationships/header" Target="header98.xml" /><Relationship Id="rId100" Type="http://schemas.openxmlformats.org/officeDocument/2006/relationships/header" Target="header100.xml" /><Relationship Id="rId102" Type="http://schemas.openxmlformats.org/officeDocument/2006/relationships/header" Target="header102.xml" /><Relationship Id="rId104" Type="http://schemas.openxmlformats.org/officeDocument/2006/relationships/header" Target="header104.xml" /><Relationship Id="rId106" Type="http://schemas.openxmlformats.org/officeDocument/2006/relationships/header" Target="header106.xml" /><Relationship Id="rId110" Type="http://schemas.openxmlformats.org/officeDocument/2006/relationships/header" Target="header110.xml" /><Relationship Id="rId112" Type="http://schemas.openxmlformats.org/officeDocument/2006/relationships/header" Target="header112.xml" /><Relationship Id="rId113" Type="http://schemas.openxmlformats.org/officeDocument/2006/relationships/header" Target="header113.xml" /><Relationship Id="rId116" Type="http://schemas.openxmlformats.org/officeDocument/2006/relationships/header" Target="header116.xml" /><Relationship Id="rId118" Type="http://schemas.openxmlformats.org/officeDocument/2006/relationships/header" Target="header118.xml" /><Relationship Id="rId120" Type="http://schemas.openxmlformats.org/officeDocument/2006/relationships/header" Target="header120.xml" /><Relationship Id="rId122" Type="http://schemas.openxmlformats.org/officeDocument/2006/relationships/header" Target="header122.xml" /><Relationship Id="rId124" Type="http://schemas.openxmlformats.org/officeDocument/2006/relationships/header" Target="header124.xml" /><Relationship Id="rId126" Type="http://schemas.openxmlformats.org/officeDocument/2006/relationships/header" Target="header126.xml" /><Relationship Id="rId128" Type="http://schemas.openxmlformats.org/officeDocument/2006/relationships/header" Target="header128.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8" Type="http://schemas.openxmlformats.org/officeDocument/2006/relationships/header" Target="header178.xml" /><Relationship Id="rId183" Type="http://schemas.openxmlformats.org/officeDocument/2006/relationships/header" Target="header183.xml" /><Relationship Id="rId187" Type="http://schemas.openxmlformats.org/officeDocument/2006/relationships/header" Target="header187.xml" /><Relationship Id="rId188" Type="http://schemas.openxmlformats.org/officeDocument/2006/relationships/header" Target="header188.xml" /><Relationship Id="rId190" Type="http://schemas.openxmlformats.org/officeDocument/2006/relationships/header" Target="header190.xml" /><Relationship Id="rId196" Type="http://schemas.openxmlformats.org/officeDocument/2006/relationships/header" Target="header196.xml" /><Relationship Id="rId198" Type="http://schemas.openxmlformats.org/officeDocument/2006/relationships/header" Target="header198.xml" /><Relationship Id="rId200" Type="http://schemas.openxmlformats.org/officeDocument/2006/relationships/header" Target="header200.xml" /><Relationship Id="rId202" Type="http://schemas.openxmlformats.org/officeDocument/2006/relationships/header" Target="header202.xml" /><Relationship Id="rId204" Type="http://schemas.openxmlformats.org/officeDocument/2006/relationships/header" Target="header204.xml" /><Relationship Id="rId210" Type="http://schemas.openxmlformats.org/officeDocument/2006/relationships/header" Target="header210.xml" /><Relationship Id="rId212" Type="http://schemas.openxmlformats.org/officeDocument/2006/relationships/header" Target="header212.xml" /><Relationship Id="rId214" Type="http://schemas.openxmlformats.org/officeDocument/2006/relationships/header" Target="header214.xml" /><Relationship Id="rId216" Type="http://schemas.openxmlformats.org/officeDocument/2006/relationships/header" Target="header216.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73" Type="http://schemas.openxmlformats.org/officeDocument/2006/relationships/header" Target="header273.xml" /><Relationship Id="rId279" Type="http://schemas.openxmlformats.org/officeDocument/2006/relationships/header" Target="header279.xml" /><Relationship Id="rId281" Type="http://schemas.openxmlformats.org/officeDocument/2006/relationships/header" Target="header281.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41" Type="http://schemas.openxmlformats.org/officeDocument/2006/relationships/header" Target="header341.xml" /><Relationship Id="rId344" Type="http://schemas.openxmlformats.org/officeDocument/2006/relationships/header" Target="header344.xml" /><Relationship Id="rId346" Type="http://schemas.openxmlformats.org/officeDocument/2006/relationships/header" Target="header346.xml" /><Relationship Id="rId348" Type="http://schemas.openxmlformats.org/officeDocument/2006/relationships/header" Target="header348.xml" /><Relationship Id="rId350" Type="http://schemas.openxmlformats.org/officeDocument/2006/relationships/header" Target="header350.xml" /><Relationship Id="rId356" Type="http://schemas.openxmlformats.org/officeDocument/2006/relationships/header" Target="header356.xml" /><Relationship Id="rId358" Type="http://schemas.openxmlformats.org/officeDocument/2006/relationships/header" Target="header358.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82" Type="http://schemas.openxmlformats.org/officeDocument/2006/relationships/header" Target="header382.xml" /><Relationship Id="rId384" Type="http://schemas.openxmlformats.org/officeDocument/2006/relationships/header" Target="header384.xml" /><Relationship Id="rId386" Type="http://schemas.openxmlformats.org/officeDocument/2006/relationships/header" Target="header386.xml" /><Relationship Id="rId392" Type="http://schemas.openxmlformats.org/officeDocument/2006/relationships/header" Target="header392.xml" /><Relationship Id="rId399" Type="http://schemas.openxmlformats.org/officeDocument/2006/relationships/header" Target="header399.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7" Type="http://schemas.openxmlformats.org/officeDocument/2006/relationships/header" Target="header427.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51" Type="http://schemas.openxmlformats.org/officeDocument/2006/relationships/header" Target="header451.xml" /><Relationship Id="rId453" Type="http://schemas.openxmlformats.org/officeDocument/2006/relationships/header" Target="header453.xml" /><Relationship Id="rId461" Type="http://schemas.openxmlformats.org/officeDocument/2006/relationships/fontTable" Target="fontTable.xml" /><Relationship Id="rId87" Type="http://schemas.openxmlformats.org/officeDocument/2006/relationships/image" Target="media/image1.png" /><Relationship Id="rId88" Type="http://schemas.openxmlformats.org/officeDocument/2006/relationships/image" Target="media/image2.png" /><Relationship Id="rId218" Type="http://schemas.openxmlformats.org/officeDocument/2006/relationships/image" Target="media/image4.wmf" /><Relationship Id="rId394" Type="http://schemas.openxmlformats.org/officeDocument/2006/relationships/image" Target="media/image5.gif" /><Relationship Id="rId449" Type="http://schemas.openxmlformats.org/officeDocument/2006/relationships/image" Target="media/image6.emf" /><Relationship Id="rId462" Type="http://schemas.openxmlformats.org/officeDocument/2006/relationships/customXml" Target="../customXml/item1.xml" /></Relationships>
</file>

<file path=word/_rels/header180.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2.xml.rels>&#65279;<?xml version="1.0" encoding="utf-8" standalone="yes"?><Relationships xmlns="http://schemas.openxmlformats.org/package/2006/relationships"><Relationship Id="rId455" Type="http://schemas.openxmlformats.org/officeDocument/2006/relationships/image" Target="media/image3.png" /></Relationships>
</file>

<file path=word/_rels/header183.xml.rels>&#65279;<?xml version="1.0" encoding="utf-8" standalone="yes"?><Relationships xmlns="http://schemas.openxmlformats.org/package/2006/relationships"><Relationship Id="rId455"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39F76-D542-4EF8-A77C-74153A2D7790}">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1702</TotalTime>
  <Pages>544</Pages>
  <Words>146978</Words>
  <Characters>837776</Characters>
  <Application>Microsoft Office Word</Application>
  <DocSecurity>0</DocSecurity>
  <Lines>6981</Lines>
  <Paragraphs>1965</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2019-12-05T18:41:00Z</cp:lastPrinted>
  <cp:revision>39</cp:revision>
  <dcterms:created xsi:type="dcterms:W3CDTF">2019-07-09T16:54:00Z</dcterms:created>
  <dcterms:modified xsi:type="dcterms:W3CDTF">2019-12-13T14:58:00Z</dcterms:modified>
</cp:coreProperties>
</file>