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6.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w:t>
      </w:r>
      <w:r>
        <w:rPr>
          <w:rFonts w:ascii="Verdana" w:hAnsi="Verdana" w:eastAsia="Verdana"/>
          <w:szCs w:val="24"/>
        </w:rPr>
        <w:t xml:space="preserve">is</w:t>
      </w:r>
      <w:r>
        <w:rPr>
          <w:rFonts w:ascii="Verdana" w:hAnsi="Verdana" w:eastAsia="Verdana"/>
          <w:szCs w:val="24"/>
        </w:rPr>
        <w:t xml:space="preserve">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w:t>
      </w:r>
      <w:r>
        <w:rPr>
          <w:rFonts w:ascii="Verdana" w:hAnsi="Verdana" w:eastAsia="Verdana" w:cs="Arial"/>
          <w:szCs w:val="24"/>
        </w:rPr>
        <w:t xml:space="preserve">Procedures, and</w:t>
      </w:r>
      <w:r>
        <w:rPr>
          <w:rFonts w:ascii="Verdana" w:hAnsi="Verdana" w:eastAsia="Verdana" w:cs="Arial"/>
          <w:szCs w:val="24"/>
        </w:rPr>
        <w:t xml:space="preserve">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w:t>
      </w:r>
      <w:r>
        <w:rPr>
          <w:rFonts w:ascii="Verdana" w:hAnsi="Verdana" w:eastAsia="Verdana"/>
          <w:szCs w:val="24"/>
        </w:rPr>
        <w:t xml:space="preserve">are in compliance with</w:t>
      </w:r>
      <w:r>
        <w:rPr>
          <w:rFonts w:ascii="Verdana" w:hAnsi="Verdana" w:eastAsia="Verdana"/>
          <w:szCs w:val="24"/>
        </w:rPr>
        <w:t xml:space="preserve">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w:t>
      </w:r>
      <w:r>
        <w:rPr>
          <w:rFonts w:ascii="Verdana" w:hAnsi="Verdana" w:eastAsia="Verdana"/>
          <w:sz w:val="24"/>
          <w:szCs w:val="24"/>
        </w:rPr>
        <w:t xml:space="preserve">sufficient</w:t>
      </w:r>
      <w:r>
        <w:rPr>
          <w:rFonts w:ascii="Verdana" w:hAnsi="Verdana" w:eastAsia="Verdana"/>
          <w:sz w:val="24"/>
          <w:szCs w:val="24"/>
        </w:rPr>
        <w:t xml:space="preserve">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w:t>
      </w:r>
      <w:r>
        <w:rPr>
          <w:rFonts w:ascii="Verdana" w:hAnsi="Verdana" w:eastAsia="Verdana"/>
          <w:szCs w:val="24"/>
        </w:rPr>
        <w:t xml:space="preserve">good-faith</w:t>
      </w:r>
      <w:r>
        <w:rPr>
          <w:rFonts w:ascii="Verdana" w:hAnsi="Verdana" w:eastAsia="Verdana"/>
          <w:szCs w:val="24"/>
        </w:rPr>
        <w:t xml:space="preserve">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bookmarkStart w:id="20" w:name="_GoBack"/>
      <w:bookmarkEnd w:id="20"/>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w:t>
      </w:r>
      <w:r>
        <w:rPr>
          <w:rFonts w:ascii="Verdana" w:hAnsi="Verdana" w:eastAsia="Verdana" w:cs="Times New Roman"/>
          <w:szCs w:val="24"/>
        </w:rPr>
        <w:t xml:space="preserve">,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Deficit Reduction Act Of 2005</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Tennessee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2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785"/>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785"/>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785"/>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785"/>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785"/>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w:t>
      </w:r>
      <w:r>
        <w:rPr>
          <w:rFonts w:ascii="Verdana" w:hAnsi="Verdana" w:eastAsia="Verdana" w:cs="Verdana"/>
          <w:szCs w:val="24"/>
        </w:rPr>
        <w:t xml:space="preserve">claims or statements; and whistleblower protection;</w:t>
      </w:r>
    </w:p>
    <w:p>
      <w:pPr>
        <w:pStyle w:val="ListParagraph"/>
        <w:spacing w:after="0"/>
        <w:rPr>
          <w:rFonts w:ascii="Verdana" w:hAnsi="Verdana" w:eastAsia="Verdana" w:cs="Verdana"/>
          <w:sz w:val="2"/>
          <w:szCs w:val="2"/>
        </w:rPr>
      </w:pPr>
    </w:p>
    <w:p>
      <w:pPr>
        <w:widowControl w:val="false"/>
        <w:numPr>
          <w:ilvl w:val="2"/>
          <w:numId w:val="785"/>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16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2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w:t>
      </w:r>
    </w:p>
    <w:p>
      <w:pPr>
        <w:widowControl w:val="false"/>
        <w:autoSpaceDE w:val="false"/>
        <w:autoSpaceDN w:val="false"/>
        <w:adjustRightInd w:val="false"/>
        <w:spacing w:after="0" w:line="1" w:lineRule="exact"/>
        <w:rPr>
          <w:rFonts w:ascii="Verdana" w:hAnsi="Verdana" w:eastAsia="Verdana" w:cs="Verdana"/>
          <w:szCs w:val="24"/>
        </w:rPr>
      </w:pPr>
    </w:p>
    <w:p>
      <w:pPr>
        <w:widowControl w:val="false"/>
        <w:numPr>
          <w:ilvl w:val="1"/>
          <w:numId w:val="2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25"/>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7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50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502"/>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50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50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50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50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502"/>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50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50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50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50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3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39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39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345"/>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3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34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345"/>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34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34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34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34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34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32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32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32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45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45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45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45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24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24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35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35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35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35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35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19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19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19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35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35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35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w:t>
      </w:r>
      <w:r>
        <w:rPr>
          <w:rFonts w:ascii="Verdana" w:hAnsi="Verdana" w:eastAsia="Verdana" w:cs="Verdana"/>
          <w:szCs w:val="24"/>
        </w:rPr>
        <w:t xml:space="preserve">fine. </w:t>
      </w:r>
    </w:p>
    <w:p>
      <w:pPr>
        <w:widowControl w:val="false"/>
        <w:numPr>
          <w:ilvl w:val="0"/>
          <w:numId w:val="219"/>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219"/>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219"/>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21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216"/>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21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21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21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216"/>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21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7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75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7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759"/>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12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12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12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12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12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12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w:t>
      </w:r>
      <w:r>
        <w:rPr>
          <w:rFonts w:ascii="Verdana" w:hAnsi="Verdana" w:eastAsia="Verdana" w:cs="Verdana"/>
          <w:szCs w:val="24"/>
        </w:rPr>
        <w:t xml:space="preserve">and financial condition of the person presenting the claims; and such other matters as justice may require.</w:t>
      </w:r>
    </w:p>
    <w:p>
      <w:pPr>
        <w:widowControl w:val="false"/>
        <w:numPr>
          <w:ilvl w:val="1"/>
          <w:numId w:val="128"/>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pPr>
        <w:widowControl w:val="false"/>
        <w:numPr>
          <w:ilvl w:val="1"/>
          <w:numId w:val="128"/>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numPr>
          <w:ilvl w:val="0"/>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Tennessee Medicaid False Claims Act (Tenn. Code Ann. § 71-5-181 </w:t>
      </w:r>
      <w:r>
        <w:rPr>
          <w:rFonts w:ascii="Verdana" w:hAnsi="Verdana" w:eastAsia="Verdana" w:cs="Verdana"/>
          <w:i/>
          <w:szCs w:val="24"/>
        </w:rPr>
        <w:t xml:space="preserve">et seq</w:t>
      </w:r>
      <w:r>
        <w:rPr>
          <w:rFonts w:ascii="Verdana" w:hAnsi="Verdana" w:eastAsia="Verdana" w:cs="Verdana"/>
          <w:szCs w:val="24"/>
        </w:rPr>
        <w:t xml:space="preserve">.)</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Tennessee Medicaid False Claims Act (the “TN MFCA”) prohibits, among other things, knowingly submitting (or causing to be submitted) a false or fraudulent claim, record or statement for payment or approval; conspiring to defraud the state by getting a claim allowed or paid and knowing that such claim is false or fraudulent; and knowingly making or using a false record to conceal, avoid, or decrease an obligation to pay money or transmit property.</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Penalty for Unlawful Conduct.</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 person found guilty of violating the TN MFCA may be required to pay three times the amount of damages, $5,000-$25,000 in fines for each violation and the cost of the investigation and prosecution of the violation(s).</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 court may reduce the penalty to two times the amount of the damages if the court finds the person: (</w:t>
      </w:r>
      <w:r>
        <w:rPr>
          <w:rFonts w:ascii="Verdana" w:hAnsi="Verdana" w:eastAsia="Verdana" w:cs="Verdana"/>
          <w:szCs w:val="24"/>
        </w:rPr>
        <w:t xml:space="preserve">i</w:t>
      </w:r>
      <w:r>
        <w:rPr>
          <w:rFonts w:ascii="Verdana" w:hAnsi="Verdana" w:eastAsia="Verdana" w:cs="Verdana"/>
          <w:szCs w:val="24"/>
        </w:rPr>
        <w:t xml:space="preserve">) fully co-operates with the investigation; (ii) discloses all information it has about the violation within 30 days of discovering the information; and (iii) at the time it discloses the information about the violation, it is not involved in any criminal, civil, or administrative action arising from the violation.</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Whistleblower Protection.</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TN MFCA prohibits employers from retaliating against employees. An employee who is discharged, demoted, suspended, threatened, harassed or discriminated against because of lawful acts conducted in furtherance of an action under the law may bring an action seeking two times their back pay plus interest; reinstatement at the seniority level they would have had except for the discrimination; </w:t>
      </w:r>
      <w:r>
        <w:rPr>
          <w:rFonts w:ascii="Verdana" w:hAnsi="Verdana" w:eastAsia="Verdana" w:cs="Verdana"/>
          <w:szCs w:val="24"/>
        </w:rPr>
        <w:t xml:space="preserve">compensation for any special damages sustained because of the discrimination; and costs and attorney’s fees for the bringing the action.</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i/>
          <w:szCs w:val="24"/>
        </w:rPr>
        <w:t xml:space="preserve">Qui Tam</w:t>
      </w:r>
      <w:r>
        <w:rPr>
          <w:rFonts w:ascii="Verdana" w:hAnsi="Verdana" w:eastAsia="Verdana" w:cs="Verdana"/>
          <w:szCs w:val="24"/>
        </w:rPr>
        <w:t xml:space="preserve"> Provision.</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TN MFCA allows individuals (“</w:t>
      </w:r>
      <w:r>
        <w:rPr>
          <w:rFonts w:ascii="Verdana" w:hAnsi="Verdana" w:eastAsia="Verdana" w:cs="Verdana"/>
          <w:i/>
          <w:szCs w:val="24"/>
        </w:rPr>
        <w:t xml:space="preserve">qui tam</w:t>
      </w:r>
      <w:r>
        <w:rPr>
          <w:rFonts w:ascii="Verdana" w:hAnsi="Verdana" w:eastAsia="Verdana" w:cs="Verdana"/>
          <w:szCs w:val="24"/>
        </w:rPr>
        <w:t xml:space="preserve"> plaintiffs” or “plaintiffs”) to bring a civil suit against a provider, called a qui tam action, in the name of the Tennessee government for a violation of the TN MFCA. If the Tennessee government chooses to join in the lawsuit, it will have primary responsibility for the action. If the Tennessee government chooses not to join, the </w:t>
      </w:r>
      <w:r>
        <w:rPr>
          <w:rFonts w:ascii="Verdana" w:hAnsi="Verdana" w:eastAsia="Verdana" w:cs="Verdana"/>
          <w:i/>
          <w:szCs w:val="24"/>
        </w:rPr>
        <w:t xml:space="preserve">qui tam</w:t>
      </w:r>
      <w:r>
        <w:rPr>
          <w:rFonts w:ascii="Verdana" w:hAnsi="Verdana" w:eastAsia="Verdana" w:cs="Verdana"/>
          <w:szCs w:val="24"/>
        </w:rPr>
        <w:t xml:space="preserve"> plaintiff has the right to conduct the action independent of the Tennessee government.</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In the event the Tennessee government proceeds with the lawsuit, the </w:t>
      </w:r>
      <w:r>
        <w:rPr>
          <w:rFonts w:ascii="Verdana" w:hAnsi="Verdana" w:eastAsia="Verdana" w:cs="Verdana"/>
          <w:i/>
          <w:szCs w:val="24"/>
        </w:rPr>
        <w:t xml:space="preserve">qui tam</w:t>
      </w:r>
      <w:r>
        <w:rPr>
          <w:rFonts w:ascii="Verdana" w:hAnsi="Verdana" w:eastAsia="Verdana" w:cs="Verdana"/>
          <w:szCs w:val="24"/>
        </w:rPr>
        <w:t xml:space="preserve"> plaintiff may receive 15%-25% percent of the proceeds of the action or settlement. If the </w:t>
      </w:r>
      <w:r>
        <w:rPr>
          <w:rFonts w:ascii="Verdana" w:hAnsi="Verdana" w:eastAsia="Verdana" w:cs="Verdana"/>
          <w:i/>
          <w:szCs w:val="24"/>
        </w:rPr>
        <w:t xml:space="preserve">qui tam</w:t>
      </w:r>
      <w:r>
        <w:rPr>
          <w:rFonts w:ascii="Verdana" w:hAnsi="Verdana" w:eastAsia="Verdana" w:cs="Verdana"/>
          <w:szCs w:val="24"/>
        </w:rPr>
        <w:t xml:space="preserve"> plaintiff proceeds with the action without the Tennessee government, the </w:t>
      </w:r>
      <w:r>
        <w:rPr>
          <w:rFonts w:ascii="Verdana" w:hAnsi="Verdana" w:eastAsia="Verdana" w:cs="Verdana"/>
          <w:i/>
          <w:szCs w:val="24"/>
        </w:rPr>
        <w:t xml:space="preserve">qui tam</w:t>
      </w:r>
      <w:r>
        <w:rPr>
          <w:rFonts w:ascii="Verdana" w:hAnsi="Verdana" w:eastAsia="Verdana" w:cs="Verdana"/>
          <w:szCs w:val="24"/>
        </w:rPr>
        <w:t xml:space="preserve"> plaintiff may receive 25%-35% of the recovery. In either case, the qui tam plaintiff may also receive reasonable expenses, plus reasonable attorneys’ fees and costs.</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the </w:t>
      </w:r>
      <w:r>
        <w:rPr>
          <w:rFonts w:ascii="Verdana" w:hAnsi="Verdana" w:eastAsia="Verdana" w:cs="Verdana"/>
          <w:i/>
          <w:szCs w:val="24"/>
        </w:rPr>
        <w:t xml:space="preserve">qui tam</w:t>
      </w:r>
      <w:r>
        <w:rPr>
          <w:rFonts w:ascii="Verdana" w:hAnsi="Verdana" w:eastAsia="Verdana" w:cs="Verdana"/>
          <w:szCs w:val="24"/>
        </w:rPr>
        <w:t xml:space="preserve"> plaintiff planned/initiated the violation, the plaintiff’s share of the proceeds may be reduced. If the </w:t>
      </w:r>
      <w:r>
        <w:rPr>
          <w:rFonts w:ascii="Verdana" w:hAnsi="Verdana" w:eastAsia="Verdana" w:cs="Verdana"/>
          <w:i/>
          <w:szCs w:val="24"/>
        </w:rPr>
        <w:t xml:space="preserve">qui</w:t>
      </w:r>
      <w:r>
        <w:rPr>
          <w:rFonts w:ascii="Verdana" w:hAnsi="Verdana" w:eastAsia="Verdana" w:cs="Verdana"/>
          <w:szCs w:val="24"/>
        </w:rPr>
        <w:t xml:space="preserve"> </w:t>
      </w:r>
      <w:r>
        <w:rPr>
          <w:rFonts w:ascii="Verdana" w:hAnsi="Verdana" w:eastAsia="Verdana" w:cs="Verdana"/>
          <w:i/>
          <w:szCs w:val="24"/>
        </w:rPr>
        <w:t xml:space="preserve">tam</w:t>
      </w:r>
      <w:r>
        <w:rPr>
          <w:rFonts w:ascii="Verdana" w:hAnsi="Verdana" w:eastAsia="Verdana" w:cs="Verdana"/>
          <w:szCs w:val="24"/>
        </w:rPr>
        <w:t xml:space="preserve"> plaintiff is found guilty of a crime associated with a violation of the TN MFCA, the </w:t>
      </w:r>
      <w:r>
        <w:rPr>
          <w:rFonts w:ascii="Verdana" w:hAnsi="Verdana" w:eastAsia="Verdana" w:cs="Verdana"/>
          <w:i/>
          <w:szCs w:val="24"/>
        </w:rPr>
        <w:t xml:space="preserve">qui tam</w:t>
      </w:r>
      <w:r>
        <w:rPr>
          <w:rFonts w:ascii="Verdana" w:hAnsi="Verdana" w:eastAsia="Verdana" w:cs="Verdana"/>
          <w:szCs w:val="24"/>
        </w:rPr>
        <w:t xml:space="preserve"> plaintiff will be dismissed from the lawsuit and denied any share of the award.</w:t>
      </w:r>
    </w:p>
    <w:p>
      <w:pPr>
        <w:widowControl w:val="false"/>
        <w:numPr>
          <w:ilvl w:val="0"/>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TennCare</w:t>
      </w:r>
      <w:r>
        <w:rPr>
          <w:rFonts w:ascii="Verdana" w:hAnsi="Verdana" w:eastAsia="Verdana" w:cs="Verdana"/>
          <w:szCs w:val="24"/>
        </w:rPr>
        <w:t xml:space="preserve"> Fraud and Abuse Reform Act of 2004 (Tenn. Code Ann. § 71-5-2501 </w:t>
      </w:r>
      <w:r>
        <w:rPr>
          <w:rFonts w:ascii="Verdana" w:hAnsi="Verdana" w:eastAsia="Verdana" w:cs="Verdana"/>
          <w:i/>
          <w:szCs w:val="24"/>
        </w:rPr>
        <w:t xml:space="preserve">et seq</w:t>
      </w:r>
      <w:r>
        <w:rPr>
          <w:rFonts w:ascii="Verdana" w:hAnsi="Verdana" w:eastAsia="Verdana" w:cs="Verdana"/>
          <w:szCs w:val="24"/>
        </w:rPr>
        <w:t xml:space="preserve">.)</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Office of the Inspector General may, among other actions, (1) investigate civil and criminal fraud and abuse of the </w:t>
      </w:r>
      <w:r>
        <w:rPr>
          <w:rFonts w:ascii="Verdana" w:hAnsi="Verdana" w:eastAsia="Verdana" w:cs="Verdana"/>
          <w:szCs w:val="24"/>
        </w:rPr>
        <w:t xml:space="preserve">TennCare</w:t>
      </w:r>
      <w:r>
        <w:rPr>
          <w:rFonts w:ascii="Verdana" w:hAnsi="Verdana" w:eastAsia="Verdana" w:cs="Verdana"/>
          <w:szCs w:val="24"/>
        </w:rPr>
        <w:t xml:space="preserve"> program; (2) cooperate with and refer allegations of fraud and abuse by a provider to the Medicaid Fraud Control Unit; (3) refer matters to enforcement authorities for criminal prosecution; (4) cooperate with the federal government, other state governments and state agencies to investigate </w:t>
      </w:r>
      <w:r>
        <w:rPr>
          <w:rFonts w:ascii="Verdana" w:hAnsi="Verdana" w:eastAsia="Verdana" w:cs="Verdana"/>
          <w:szCs w:val="24"/>
        </w:rPr>
        <w:t xml:space="preserve">TennCare</w:t>
      </w:r>
      <w:r>
        <w:rPr>
          <w:rFonts w:ascii="Verdana" w:hAnsi="Verdana" w:eastAsia="Verdana" w:cs="Verdana"/>
          <w:szCs w:val="24"/>
        </w:rPr>
        <w:t xml:space="preserve"> and Medicaid fraud and abuse; and (5) provide the public with information about </w:t>
      </w:r>
      <w:r>
        <w:rPr>
          <w:rFonts w:ascii="Verdana" w:hAnsi="Verdana" w:eastAsia="Verdana" w:cs="Verdana"/>
          <w:szCs w:val="24"/>
        </w:rPr>
        <w:t xml:space="preserve">TennCare</w:t>
      </w:r>
      <w:r>
        <w:rPr>
          <w:rFonts w:ascii="Verdana" w:hAnsi="Verdana" w:eastAsia="Verdana" w:cs="Verdana"/>
          <w:szCs w:val="24"/>
        </w:rPr>
        <w:t xml:space="preserve"> fraud and abuse laws. Fraud means the intentional deception or misrepresentation made by a person, including a provider, with the knowledge that the deception or misrepresentation could result in some unauthorized payment to oneself or some other person. Fraud also includes any act that constitutes fraud under any </w:t>
      </w:r>
      <w:r>
        <w:rPr>
          <w:rFonts w:ascii="Verdana" w:hAnsi="Verdana" w:eastAsia="Verdana" w:cs="Verdana"/>
          <w:szCs w:val="24"/>
        </w:rPr>
        <w:t xml:space="preserve">applicable federal or State law, including the Tennessee Medicaid Fraud Claims Act (discussed above).</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Medicaid Fraud Control Unit is authorized to investigate and refer for prosecution violations of all applicable laws pertaining to provider fraud and abuse in the administration of the Medicaid program, the provision of goods or services of providers, Medicaid fraud, and abuse or neglect in healthcare facilities receiving payments under State Medicaid.</w:t>
      </w:r>
    </w:p>
    <w:p>
      <w:pPr>
        <w:widowControl w:val="false"/>
        <w:numPr>
          <w:ilvl w:val="0"/>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Medical Assistance Act of 1968 (Tenn. Code Ann. § 71-5-118 </w:t>
      </w:r>
      <w:r>
        <w:rPr>
          <w:rFonts w:ascii="Verdana" w:hAnsi="Verdana" w:eastAsia="Verdana" w:cs="Verdana"/>
          <w:i/>
          <w:szCs w:val="24"/>
        </w:rPr>
        <w:t xml:space="preserve">et seq</w:t>
      </w:r>
      <w:r>
        <w:rPr>
          <w:rFonts w:ascii="Verdana" w:hAnsi="Verdana" w:eastAsia="Verdana" w:cs="Verdana"/>
          <w:szCs w:val="24"/>
        </w:rPr>
        <w:t xml:space="preserve">.)</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Medical Assistance Act of 1968 empowers the Commissioner of Finance and Administration to terminate or suspend provider agreements, to recover any payments incorrect paid to providers and to offset any money incorrectly paid to a provider pending an opportunity for a hearing. Grounds for taking action against a provider include, but are not limited to, (</w:t>
      </w:r>
      <w:r>
        <w:rPr>
          <w:rFonts w:ascii="Verdana" w:hAnsi="Verdana" w:eastAsia="Verdana" w:cs="Verdana"/>
          <w:szCs w:val="24"/>
        </w:rPr>
        <w:t xml:space="preserve">i</w:t>
      </w:r>
      <w:r>
        <w:rPr>
          <w:rFonts w:ascii="Verdana" w:hAnsi="Verdana" w:eastAsia="Verdana" w:cs="Verdana"/>
          <w:szCs w:val="24"/>
        </w:rPr>
        <w:t xml:space="preserve">) violating any provision of the Medicaid regulations, (ii) billing for medical assistance that was not delivered, (iii) failing to produce records, upon request, necessary to substantiate the medical assistance for which claims have been submitted.</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TennCare</w:t>
      </w:r>
      <w:r>
        <w:rPr>
          <w:rFonts w:ascii="Verdana" w:hAnsi="Verdana" w:eastAsia="Verdana" w:cs="Verdana"/>
          <w:szCs w:val="24"/>
        </w:rPr>
        <w:t xml:space="preserve"> bureau has an administrative remedy for recovering the amount of any medical assistance benefits or payments improperly paid as a result of any misrepresentation made by a person to the extent that such amount has not otherwise been recovered by the bureau of </w:t>
      </w:r>
      <w:r>
        <w:rPr>
          <w:rFonts w:ascii="Verdana" w:hAnsi="Verdana" w:eastAsia="Verdana" w:cs="Verdana"/>
          <w:szCs w:val="24"/>
        </w:rPr>
        <w:t xml:space="preserve">TennCare</w:t>
      </w:r>
      <w:r>
        <w:rPr>
          <w:rFonts w:ascii="Verdana" w:hAnsi="Verdana" w:eastAsia="Verdana" w:cs="Verdana"/>
          <w:szCs w:val="24"/>
        </w:rPr>
        <w:t xml:space="preserve">. The bureau must show the amount sought to be recovered was paid in the form of medical assistance as a result of misrepresentation by the person against whom recovery is sought. The bureau need not show that such misrepresentation was intentional or fraudulent.</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TennCare</w:t>
      </w:r>
      <w:r>
        <w:rPr>
          <w:rFonts w:ascii="Verdana" w:hAnsi="Verdana" w:eastAsia="Verdana" w:cs="Verdana"/>
          <w:szCs w:val="24"/>
        </w:rPr>
        <w:t xml:space="preserve"> bureau may also collect attorney’s fees and reasonable costs in connection with the administrative proceeding and interest on the amount owed by the person.</w:t>
      </w:r>
    </w:p>
    <w:p>
      <w:pPr>
        <w:widowControl w:val="false"/>
        <w:numPr>
          <w:ilvl w:val="0"/>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Tennessee False Claims Act (Tenn. Code Ann. § 4-18-101 </w:t>
      </w:r>
      <w:r>
        <w:rPr>
          <w:rFonts w:ascii="Verdana" w:hAnsi="Verdana" w:eastAsia="Verdana" w:cs="Verdana"/>
          <w:i/>
          <w:szCs w:val="24"/>
        </w:rPr>
        <w:t xml:space="preserve">et seq</w:t>
      </w:r>
      <w:r>
        <w:rPr>
          <w:rFonts w:ascii="Verdana" w:hAnsi="Verdana" w:eastAsia="Verdana" w:cs="Verdana"/>
          <w:szCs w:val="24"/>
        </w:rPr>
        <w:t xml:space="preserve">.)</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Tennessee False Claims Act (the “TN FCA”) prohibits, among other things, knowingly submitting (or causing to be submitted) a false or fraudulent claim, record or statement for payment or approval; conspiring to defraud the State by getting a claim allowed or paid and knowing that such claim is false or fraudulent; knowingly making or using a false record to conceal, avoid, or decrease an obligation to pay money or transmit property; using any false representation or practice to procure anything of value from the state government.</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TN FCA does not apply to controversies of less than $500, </w:t>
      </w:r>
      <w:r>
        <w:rPr>
          <w:rFonts w:ascii="Verdana" w:hAnsi="Verdana" w:eastAsia="Verdana" w:cs="Verdana"/>
          <w:szCs w:val="24"/>
        </w:rPr>
        <w:t xml:space="preserve">worker’s compensation claims, Medicaid claims or tax claims.</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Penalty for Unlawful Conduct.</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 person found guilty of violating the TN FCA may be required pay three times the amount of damages, $5,000-$25,000 in fines for each violation and the cost of the investigation and prosecution of the violation(s).</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 court may reduce the penalty to two to three times the amount of the damages if the court finds the person: (</w:t>
      </w:r>
      <w:r>
        <w:rPr>
          <w:rFonts w:ascii="Verdana" w:hAnsi="Verdana" w:eastAsia="Verdana" w:cs="Verdana"/>
          <w:szCs w:val="24"/>
        </w:rPr>
        <w:t xml:space="preserve">i</w:t>
      </w:r>
      <w:r>
        <w:rPr>
          <w:rFonts w:ascii="Verdana" w:hAnsi="Verdana" w:eastAsia="Verdana" w:cs="Verdana"/>
          <w:szCs w:val="24"/>
        </w:rPr>
        <w:t xml:space="preserve">) fully co-operates with the investigation; (ii) discloses all information it has about the violation within 30 days of discovering the information; and (iii) at the time it discloses the information about the violation, it is not involved in any criminal, civil, or administrative action arising from the violation.</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Whistleblower Provision</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TN FCA prohibits employers from retaliating against employees. An employee who is discharged, demoted, suspended, threatened, harassed or discriminated against because of lawful acts conducted in furtherance of an action under the law may bring an action seeking two times their back pay plus interest; reinstatement at the seniority level they would have had except for the discrimination; compensation for any special damages sustained because of the discrimination; punitive damages where appropriate; and costs and attorney’s fees for the bringing the action.</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An employee is entitled to the above listed remedies for voluntarily disclosing information to a government or law enforcement agency or acting in furtherance of a false claims action in an action filed or to be filed when the employer had been harassing, threatening with termination or demotion or otherwise coercing the employee into engaging in the fraudulent act.</w:t>
      </w:r>
    </w:p>
    <w:p>
      <w:pPr>
        <w:widowControl w:val="false"/>
        <w:numPr>
          <w:ilvl w:val="1"/>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i/>
          <w:szCs w:val="24"/>
        </w:rPr>
        <w:t xml:space="preserve">Qui Tam</w:t>
      </w:r>
      <w:r>
        <w:rPr>
          <w:rFonts w:ascii="Verdana" w:hAnsi="Verdana" w:eastAsia="Verdana" w:cs="Verdana"/>
          <w:szCs w:val="24"/>
        </w:rPr>
        <w:t xml:space="preserve"> Provision.</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TN FCA allows individuals (“</w:t>
      </w:r>
      <w:r>
        <w:rPr>
          <w:rFonts w:ascii="Verdana" w:hAnsi="Verdana" w:eastAsia="Verdana" w:cs="Verdana"/>
          <w:i/>
          <w:szCs w:val="24"/>
        </w:rPr>
        <w:t xml:space="preserve">qui tam</w:t>
      </w:r>
      <w:r>
        <w:rPr>
          <w:rFonts w:ascii="Verdana" w:hAnsi="Verdana" w:eastAsia="Verdana" w:cs="Verdana"/>
          <w:szCs w:val="24"/>
        </w:rPr>
        <w:t xml:space="preserve"> plaintiffs” or “plaintiffs”) to bring a civil suit against a provider, called a qui tam action, in the name of the Tennessee government for a violation of the TN FCA. If the Tennessee government chooses to join in the lawsuit, it will have primary responsibility for the action. If the Tennessee government chooses not to join, the </w:t>
      </w:r>
      <w:r>
        <w:rPr>
          <w:rFonts w:ascii="Verdana" w:hAnsi="Verdana" w:eastAsia="Verdana" w:cs="Verdana"/>
          <w:i/>
          <w:szCs w:val="24"/>
        </w:rPr>
        <w:t xml:space="preserve">qui tam</w:t>
      </w:r>
      <w:r>
        <w:rPr>
          <w:rFonts w:ascii="Verdana" w:hAnsi="Verdana" w:eastAsia="Verdana" w:cs="Verdana"/>
          <w:szCs w:val="24"/>
        </w:rPr>
        <w:t xml:space="preserve"> plaintiff has the right to conduct the action independent of the Tennessee government.</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In the event the Tennessee government proceeds with the lawsuit, the </w:t>
      </w:r>
      <w:r>
        <w:rPr>
          <w:rFonts w:ascii="Verdana" w:hAnsi="Verdana" w:eastAsia="Verdana" w:cs="Verdana"/>
          <w:i/>
          <w:szCs w:val="24"/>
        </w:rPr>
        <w:t xml:space="preserve">qui tam</w:t>
      </w:r>
      <w:r>
        <w:rPr>
          <w:rFonts w:ascii="Verdana" w:hAnsi="Verdana" w:eastAsia="Verdana" w:cs="Verdana"/>
          <w:szCs w:val="24"/>
        </w:rPr>
        <w:t xml:space="preserve"> plaintiff may receive 25%-33% percent of the proceeds of the action or settlement. If the </w:t>
      </w:r>
      <w:r>
        <w:rPr>
          <w:rFonts w:ascii="Verdana" w:hAnsi="Verdana" w:eastAsia="Verdana" w:cs="Verdana"/>
          <w:i/>
          <w:szCs w:val="24"/>
        </w:rPr>
        <w:t xml:space="preserve">qui tam</w:t>
      </w:r>
      <w:r>
        <w:rPr>
          <w:rFonts w:ascii="Verdana" w:hAnsi="Verdana" w:eastAsia="Verdana" w:cs="Verdana"/>
          <w:szCs w:val="24"/>
        </w:rPr>
        <w:t xml:space="preserve"> plaintiff proceeds with the action without the Tennessee government, the </w:t>
      </w:r>
      <w:r>
        <w:rPr>
          <w:rFonts w:ascii="Verdana" w:hAnsi="Verdana" w:eastAsia="Verdana" w:cs="Verdana"/>
          <w:i/>
          <w:szCs w:val="24"/>
        </w:rPr>
        <w:t xml:space="preserve">qui tam</w:t>
      </w:r>
      <w:r>
        <w:rPr>
          <w:rFonts w:ascii="Verdana" w:hAnsi="Verdana" w:eastAsia="Verdana" w:cs="Verdana"/>
          <w:szCs w:val="24"/>
        </w:rPr>
        <w:t xml:space="preserve"> plaintiff may receive 33%-50% of the recovery. In either case, the </w:t>
      </w:r>
      <w:r>
        <w:rPr>
          <w:rFonts w:ascii="Verdana" w:hAnsi="Verdana" w:eastAsia="Verdana" w:cs="Verdana"/>
          <w:i/>
          <w:szCs w:val="24"/>
        </w:rPr>
        <w:t xml:space="preserve">qui tam</w:t>
      </w:r>
      <w:r>
        <w:rPr>
          <w:rFonts w:ascii="Verdana" w:hAnsi="Verdana" w:eastAsia="Verdana" w:cs="Verdana"/>
          <w:szCs w:val="24"/>
        </w:rPr>
        <w:t xml:space="preserve"> plaintiff may also receive reasonable expenses, plus reasonable attorneys’ fees and costs.</w:t>
      </w:r>
    </w:p>
    <w:p>
      <w:pPr>
        <w:widowControl w:val="false"/>
        <w:numPr>
          <w:ilvl w:val="2"/>
          <w:numId w:val="219"/>
        </w:numPr>
        <w:overflowPunct w:val="false"/>
        <w:autoSpaceDE w:val="false"/>
        <w:autoSpaceDN w:val="false"/>
        <w:adjustRightInd w:val="false"/>
        <w:spacing w:after="0" w:line="250" w:lineRule="auto"/>
        <w:rPr>
          <w:rFonts w:ascii="Verdana" w:hAnsi="Verdana" w:eastAsia="Verdana" w:cs="Verdana"/>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If plaintiff planned/initiated the violation, the plaintiff’s share of the proceeds may be reduced. If plaintiff is found guilty of a crime associated with a violation of the TN FCA, the plaintiff will be dismissed from the lawsuit and denied any share of the award.</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Pr>
          <w:rFonts w:ascii="Verdana" w:hAnsi="Verdana" w:eastAsia="Verdana" w:cs="Verdana"/>
          <w:szCs w:val="24"/>
        </w:rPr>
        <w:t xml:space="preserve">,</w:t>
      </w:r>
      <w:r>
        <w:rPr>
          <w:rFonts w:ascii="Verdana" w:hAnsi="Verdana" w:eastAsia="Verdana" w:cs="Verdana"/>
          <w:szCs w:val="24"/>
        </w:rPr>
        <w:t xml:space="preserve"> </w:t>
      </w:r>
      <w:r>
        <w:rPr>
          <w:rFonts w:ascii="Verdana" w:hAnsi="Verdana" w:eastAsia="Verdana" w:cs="Verdana"/>
          <w:szCs w:val="24"/>
        </w:rPr>
        <w:t xml:space="preserve">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Tennessee’s</w:t>
      </w:r>
      <w:r>
        <w:rPr>
          <w:rFonts w:ascii="Verdana" w:hAnsi="Verdana" w:eastAsia="Verdana" w:cs="Times New Roman"/>
          <w:lang w:bidi="ar-SA"/>
        </w:rPr>
        <w:t xml:space="preserve"> Terminated Provider List available at </w:t>
      </w:r>
      <w:r>
        <w:rPr/>
        <w:fldChar w:fldCharType="begin"/>
      </w:r>
      <w:r>
        <w:rPr/>
        <w:instrText xml:space="preserve">HYPERLINK "https://www.tn.gov/tenncare/fraud-and-abuse/terminated-provider-list.html" </w:instrText>
      </w:r>
      <w:r>
        <w:rPr/>
        <w:fldChar w:fldCharType="separate"/>
      </w:r>
      <w:r>
        <w:rPr>
          <w:rStyle w:val="Hyperlink"/>
          <w:rFonts w:ascii="Verdana" w:hAnsi="Verdana" w:eastAsia="Verdana"/>
          <w:szCs w:val="24"/>
        </w:rPr>
        <w:t xml:space="preserve">https://www.tn.gov/tenncare/fraud-and-abuse/terminated-provider-list.html</w:t>
      </w:r>
      <w:r>
        <w:rPr/>
        <w:fldChar w:fldCharType="end"/>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Before any employee who will be providing direct patient care is hired the Facility shall conduct a background check using the state sex offenders registry, the state abuse registry, and the abuse registries for states in which the prospective employee has lived in the previous 7 years.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326"/>
        </w:numPr>
        <w:spacing/>
        <w:rPr>
          <w:rFonts w:ascii="Verdana" w:hAnsi="Verdana" w:eastAsia="Verdana" w:cs="Times New Roman"/>
          <w:color w:val="FF0000"/>
          <w:sz w:val="24"/>
          <w:szCs w:val="24"/>
          <w:lang w:bidi="ar-SA"/>
        </w:rPr>
      </w:pPr>
      <w:r>
        <w:rPr>
          <w:rFonts w:ascii="Verdana" w:hAnsi="Verdana" w:eastAsia="Verdana" w:cs="Times New Roman"/>
          <w:sz w:val="24"/>
          <w:szCs w:val="24"/>
          <w:lang w:bidi="ar-SA"/>
        </w:rPr>
        <w:t xml:space="preserve">Reviewing the State of Tennessee’s Terminated Provider List available at </w:t>
      </w:r>
      <w:r>
        <w:rPr/>
        <w:fldChar w:fldCharType="begin"/>
      </w:r>
      <w:r>
        <w:rPr/>
        <w:instrText xml:space="preserve">HYPERLINK "https://www.tn.gov/tenncare/fraud-and-abuse/terminated-provider-list.html" </w:instrText>
      </w:r>
      <w:r>
        <w:rPr/>
        <w:fldChar w:fldCharType="separate"/>
      </w:r>
      <w:r>
        <w:rPr>
          <w:rStyle w:val="Hyperlink"/>
          <w:rFonts w:ascii="Verdana" w:hAnsi="Verdana" w:eastAsia="Verdana"/>
          <w:sz w:val="24"/>
          <w:szCs w:val="24"/>
        </w:rPr>
        <w:t xml:space="preserve">https://www.tn.gov/tenncare/fraud-and-abuse/terminated-provider-list.html</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326"/>
        </w:numPr>
        <w:spacing/>
        <w:contextualSpacing/>
        <w:jc w:val="both"/>
        <w:rPr>
          <w:rFonts w:ascii="Verdana" w:hAnsi="Verdana" w:eastAsia="Verdana" w:cs="Times New Roman"/>
          <w:color w:val="FF0000"/>
          <w:sz w:val="24"/>
          <w:szCs w:val="24"/>
          <w:lang w:bidi="ar-SA"/>
        </w:rPr>
      </w:pPr>
      <w:r>
        <w:rPr>
          <w:rFonts w:ascii="Verdana" w:hAnsi="Verdana" w:eastAsia="Verdana" w:cs="Times New Roman"/>
          <w:sz w:val="24"/>
          <w:szCs w:val="24"/>
          <w:lang w:bidi="ar-SA"/>
        </w:rPr>
        <w:t xml:space="preserve">Reviewing the State of </w:t>
      </w:r>
      <w:r>
        <w:rPr>
          <w:rFonts w:ascii="Verdana" w:hAnsi="Verdana" w:eastAsia="Verdana" w:cs="Times New Roman"/>
          <w:b/>
          <w:sz w:val="24"/>
          <w:szCs w:val="24"/>
          <w:lang w:bidi="ar-SA"/>
        </w:rPr>
        <w:t xml:space="preserve">Tennessee’s</w:t>
      </w:r>
      <w:r>
        <w:rPr>
          <w:rFonts w:ascii="Verdana" w:hAnsi="Verdana" w:eastAsia="Verdana" w:cs="Times New Roman"/>
          <w:sz w:val="24"/>
          <w:szCs w:val="24"/>
          <w:lang w:bidi="ar-SA"/>
        </w:rPr>
        <w:t xml:space="preserve"> Terminated Provider List available at </w:t>
      </w:r>
      <w:r>
        <w:rPr/>
        <w:fldChar w:fldCharType="begin"/>
      </w:r>
      <w:r>
        <w:rPr/>
        <w:instrText xml:space="preserve">HYPERLINK "https://www.tn.gov/tenncare/fraud-and-abuse/terminated-provider-list.html" </w:instrText>
      </w:r>
      <w:r>
        <w:rPr/>
        <w:fldChar w:fldCharType="separate"/>
      </w:r>
      <w:r>
        <w:rPr>
          <w:rStyle w:val="Hyperlink"/>
          <w:rFonts w:ascii="Verdana" w:hAnsi="Verdana" w:eastAsia="Verdana"/>
          <w:sz w:val="24"/>
          <w:szCs w:val="24"/>
        </w:rPr>
        <w:t xml:space="preserve">https://www.tn.gov/tenncare/fraud-and-abuse/terminated-provider-list.html</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6"/>
        </w:numPr>
        <w:tabs>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6"/>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6"/>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shall charge the person requesting the medical records per the following:</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Charges shall not exceed twenty dollars ($20.00) for medical records the first five (5) pages or less in length and fifty cents (50cent(s)) per page for each page copied after the first five (5) pages and the actual cost of mailing.</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 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w:t>
      </w:r>
      <w:r>
        <w:rPr>
          <w:rFonts w:ascii="Verdana" w:hAnsi="Verdana" w:eastAsia="Verdana"/>
          <w:sz w:val="20"/>
          <w:szCs w:val="20"/>
        </w:rPr>
        <w:t xml:space="preserve">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spacing w:after="0"/>
        <w:rPr>
          <w:rFonts w:ascii="Verdana" w:hAnsi="Verdana" w:eastAsiaTheme="minorHAnsi" w:cs="Verdana"/>
          <w:szCs w:val="24"/>
        </w:rPr>
      </w:pPr>
      <w:r>
        <w:rPr>
          <w:rFonts w:ascii="Verdana" w:hAnsi="Verdana" w:eastAsiaTheme="minorHAnsi" w:cs="Verdana"/>
          <w:szCs w:val="24"/>
        </w:rPr>
        <w:t xml:space="preserve">CCG 005TNULFA Unexpected Loss of Facility Administrator</w:t>
      </w:r>
    </w:p>
    <w:p>
      <w:pPr>
        <w:spacing w:after="0"/>
        <w:rPr>
          <w:rFonts w:ascii="Verdana" w:hAnsi="Verdana" w:eastAsiaTheme="minorHAnsi" w:cs="Verdana"/>
          <w:szCs w:val="24"/>
        </w:rPr>
      </w:pPr>
      <w:r>
        <w:rPr>
          <w:rFonts w:ascii="Verdana" w:hAnsi="Verdana" w:eastAsiaTheme="minorHAnsi" w:cs="Verdana"/>
          <w:szCs w:val="24"/>
        </w:rPr>
        <w:t xml:space="preserve">Policy and Procedure </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$40</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Pr>
          <w:rFonts w:ascii="Verdana" w:hAnsi="Verdana" w:eastAsia="Verdana"/>
        </w:rPr>
        <w:t xml:space="preserve">$40 in </w:t>
      </w:r>
      <w:r>
        <w:rPr>
          <w:rFonts w:ascii="Verdana" w:hAnsi="Verdana" w:eastAsia="Verdana"/>
        </w:rPr>
        <w:t xml:space="preserve">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0"/>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1800"/>
        <w:contextualSpacing/>
        <w:rPr>
          <w:rFonts w:ascii="Verdana" w:hAnsi="Verdana" w:eastAsia="Verdana"/>
          <w:szCs w:val="24"/>
        </w:rPr>
      </w:pPr>
      <w:r>
        <w:rPr>
          <w:rFonts w:ascii="Verdana" w:hAnsi="Verdana" w:eastAsia="Verdana"/>
          <w:szCs w:val="24"/>
        </w:rPr>
        <w:t xml:space="preserve">Nursing homes and long-term care facilities are exempt from indoor smoking restrictions, provided that the exemption applies only to residents and that residents shall be governed by the smoking policies and procedures established by the facility. Smoke from such areas shall not infiltrate into areas where smoking is prohibited.</w:t>
      </w:r>
    </w:p>
    <w:p>
      <w:pPr>
        <w:pStyle w:val="ListParagraph"/>
        <w:numPr>
          <w:ilvl w:val="0"/>
          <w:numId w:val="748"/>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2" w:name="Bookmark__f_4_vi_c"/>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4"/>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pacing/>
        <w:rPr/>
      </w:pPr>
    </w:p>
    <w:p>
      <w:pPr>
        <w:spacing/>
        <w:rPr/>
      </w:pPr>
    </w:p>
    <w:p>
      <w:pPr>
        <w:spacing/>
        <w:rPr/>
      </w:pPr>
    </w:p>
    <w:p>
      <w:pPr>
        <w:spacing/>
        <w:rPr/>
      </w:pPr>
    </w:p>
    <w:p>
      <w:pPr>
        <w:spacing/>
        <w:rPr/>
      </w:pPr>
    </w:p>
    <w:p>
      <w:pPr>
        <w:spacing/>
        <w:rPr/>
      </w:pPr>
    </w:p>
    <w:p>
      <w:pPr>
        <w:spacing/>
        <w:rPr/>
      </w:pPr>
    </w:p>
    <w:p>
      <w:pPr>
        <w:spacing/>
        <w:rPr/>
      </w:pPr>
    </w:p>
    <w:p>
      <w:pPr>
        <w:spacing/>
        <w:rPr/>
      </w:pPr>
    </w:p>
    <w:p>
      <w:pPr>
        <w:spacing/>
        <w:rPr/>
      </w:pPr>
    </w:p>
    <w:p>
      <w:pPr>
        <w:spacing/>
        <w:rPr/>
      </w:pPr>
    </w:p>
    <w:p>
      <w:pPr>
        <w:spacing/>
        <w:rPr/>
      </w:pPr>
    </w:p>
    <w:p>
      <w:pPr>
        <w:spacing/>
        <w:rPr/>
      </w:pPr>
    </w:p>
    <w:p>
      <w:pPr>
        <w:spacing/>
        <w:rPr/>
      </w:pPr>
    </w:p>
    <w:p>
      <w:pPr>
        <w:spacing/>
        <w:rPr>
          <w:rFonts w:ascii="Verdana" w:hAnsi="Verdana" w:eastAsia="Verdana" w:cs="Times New Roman"/>
          <w:bCs/>
          <w:szCs w:val="24"/>
        </w:rPr>
      </w:pPr>
    </w:p>
    <w:p>
      <w:pPr>
        <w:spacing/>
        <w:rPr/>
      </w:pPr>
    </w:p>
    <w:p>
      <w:pPr>
        <w:spacing/>
        <w:jc w:val="center"/>
        <w:rPr>
          <w:rFonts w:ascii="Verdana" w:hAnsi="Verdana" w:eastAsia="Verdana" w:cs="Times New Roman"/>
          <w:bCs/>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3"/>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3"/>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pacing/>
        <w:jc w:val="center"/>
        <w:rPr>
          <w:rFonts w:ascii="Verdana" w:hAnsi="Verdana" w:eastAsia="Verdana" w:cs="Times New Roman"/>
          <w:bCs/>
          <w:szCs w:val="24"/>
        </w:rPr>
      </w:pPr>
    </w:p>
    <w:p>
      <w:pPr>
        <w:tabs>
          <w:tab w:val="center" w:pos="4680"/>
        </w:tabs>
        <w:spacing/>
        <w:rPr/>
        <w:sectPr>
          <w:footerReference w:type="default" r:id="rId445"/>
          <w:type w:val="nextPage"/>
          <w:pgSz w:w="12240" w:h="15840"/>
          <w:pgMar w:top="1440" w:right="1440" w:bottom="1440" w:left="1440" w:header="720" w:footer="720" w:gutter="0"/>
          <w:pgBorders/>
          <w:pgNumType w:fmt="decimal" w:start="1"/>
          <w:cols w:num="1" w:equalWidth="1" w:space="720"/>
          <w:docGrid w:linePitch="360"/>
        </w:sectPr>
      </w:pPr>
      <w:r>
        <w:rPr/>
        <w:tab/>
        <w:t xml:space="preserve"/>
      </w:r>
    </w:p>
    <w:p>
      <w:pPr>
        <w:widowControl w:val="false"/>
        <w:autoSpaceDE w:val="false"/>
        <w:autoSpaceDN w:val="false"/>
        <w:adjustRightInd w:val="false"/>
        <w:spacing/>
        <w:jc w:val="center"/>
        <w:rPr>
          <w:rFonts w:ascii="Verdana" w:hAnsi="Verdana" w:eastAsia="Verdana" w:cs="Verdana"/>
          <w:b/>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imes New Roman"/>
          <w:b/>
          <w:smallCaps/>
          <w:sz w:val="28"/>
          <w:szCs w:val="28"/>
        </w:rPr>
      </w:pPr>
      <w:bookmarkStart w:id="258" w:name="_Hlk23164540"/>
      <w:r>
        <w:rPr>
          <w:rFonts w:ascii="Verdana" w:hAnsi="Verdana" w:eastAsia="Verdana"/>
          <w:b/>
          <w:smallCaps/>
          <w:sz w:val="28"/>
          <w:szCs w:val="28"/>
        </w:rPr>
        <w:t xml:space="preserve">Unexpected Loss of Facility Administrator</w:t>
      </w:r>
    </w:p>
    <w:p>
      <w:pPr>
        <w:spacing/>
        <w:jc w:val="center"/>
        <w:rPr>
          <w:rFonts w:ascii="Verdana" w:hAnsi="Verdana" w:eastAsia="Verdana"/>
          <w:b/>
          <w:smallCaps/>
          <w:sz w:val="28"/>
          <w:szCs w:val="28"/>
        </w:rPr>
      </w:pP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 </w:t>
      </w:r>
    </w:p>
    <w:bookmarkEnd w:id="258"/>
    <w:p>
      <w:pPr>
        <w:spacing/>
        <w:rPr>
          <w:rFonts w:ascii="Verdana" w:hAnsi="Verdana" w:eastAsia="Verdana" w:cs="Times New Roman"/>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szCs w:val="24"/>
        </w:rPr>
      </w:pPr>
      <w:r>
        <w:rPr>
          <w:rFonts w:ascii="Verdana" w:hAnsi="Verdana" w:eastAsia="Verdana"/>
        </w:rPr>
        <w:t xml:space="preserve">To ensure that Client (the “Facility”), upon the unexpected loss of the administrator, shall ensure a smooth transition to a new administrator.</w:t>
      </w:r>
    </w:p>
    <w:p>
      <w:pPr>
        <w:spacing/>
        <w:rPr>
          <w:rFonts w:ascii="Verdana" w:hAnsi="Verdana" w:eastAsia="Verdana"/>
          <w:b/>
        </w:rPr>
      </w:pPr>
    </w:p>
    <w:p>
      <w:pPr>
        <w:spacing/>
        <w:rPr>
          <w:rFonts w:ascii="Verdana" w:hAnsi="Verdana" w:eastAsia="Verdana"/>
          <w:b/>
        </w:rPr>
      </w:pPr>
      <w:r>
        <w:rPr>
          <w:rFonts w:ascii="Verdana" w:hAnsi="Verdana" w:eastAsia="Verdana"/>
          <w:b/>
        </w:rPr>
        <w:t xml:space="preserve">POLICY</w:t>
      </w:r>
    </w:p>
    <w:p>
      <w:pPr>
        <w:spacing/>
        <w:rPr>
          <w:rFonts w:ascii="Verdana" w:hAnsi="Verdana" w:eastAsiaTheme="minorHAnsi" w:cstheme="minorBidi"/>
        </w:rPr>
      </w:pPr>
      <w:r>
        <w:rPr>
          <w:rFonts w:ascii="Verdana" w:hAnsi="Verdana" w:eastAsia="Verdana"/>
        </w:rPr>
        <w:t xml:space="preserve">It is the Facility’s policy to ensure a smooth transition to a new administrator as </w:t>
      </w:r>
      <w:r>
        <w:rPr>
          <w:rFonts w:ascii="Verdana" w:hAnsi="Verdana" w:eastAsiaTheme="minorHAnsi" w:cstheme="minorBidi"/>
        </w:rPr>
        <w:t xml:space="preserve">required by applicable statutes and regulations.</w:t>
      </w:r>
    </w:p>
    <w:p>
      <w:pPr>
        <w:spacing/>
        <w:rPr>
          <w:rFonts w:ascii="Verdana" w:hAnsi="Verdana" w:eastAsia="Verdana" w:cs="Times New Roman"/>
          <w:szCs w:val="24"/>
        </w:rPr>
      </w:pPr>
    </w:p>
    <w:p>
      <w:pPr>
        <w:spacing/>
        <w:rPr>
          <w:rFonts w:ascii="Verdana" w:hAnsi="Verdana" w:eastAsia="Verdana"/>
          <w:b/>
        </w:rPr>
      </w:pPr>
      <w:r>
        <w:rPr>
          <w:rFonts w:ascii="Verdana" w:hAnsi="Verdana" w:eastAsia="Verdana"/>
          <w:b/>
        </w:rPr>
        <w:t xml:space="preserve">PROCEDURE</w:t>
      </w:r>
    </w:p>
    <w:p>
      <w:pPr>
        <w:spacing w:line="60" w:lineRule="exact"/>
        <w:rPr>
          <w:rFonts w:ascii="Verdana" w:hAnsi="Verdana" w:eastAsia="Arial"/>
        </w:rPr>
      </w:pPr>
    </w:p>
    <w:p>
      <w:pPr>
        <w:pStyle w:val="ListParagraph"/>
        <w:numPr>
          <w:ilvl w:val="0"/>
          <w:numId w:val="856"/>
        </w:numPr>
        <w:spacing w:before="120" w:after="0" w:line="260" w:lineRule="atLeast"/>
        <w:contextualSpacing/>
        <w:jc w:val="both"/>
        <w:rPr>
          <w:rFonts w:ascii="Verdana" w:hAnsi="Verdana" w:eastAsia="Arial"/>
          <w:sz w:val="24"/>
          <w:szCs w:val="24"/>
        </w:rPr>
      </w:pPr>
      <w:bookmarkStart w:id="259" w:name="Bookmark__4"/>
      <w:bookmarkEnd w:id="259"/>
      <w:r>
        <w:rPr>
          <w:rFonts w:ascii="Verdana" w:hAnsi="Verdana" w:eastAsia="Arial"/>
          <w:sz w:val="24"/>
          <w:szCs w:val="24"/>
        </w:rPr>
        <w:t xml:space="preserve">Upon the unexpected loss of the facility administrator, the facility shall proceed according to the following provisions:</w:t>
      </w:r>
    </w:p>
    <w:p>
      <w:pPr>
        <w:pStyle w:val="ListParagraph"/>
        <w:numPr>
          <w:ilvl w:val="0"/>
          <w:numId w:val="857"/>
        </w:numPr>
        <w:spacing w:before="120" w:after="0" w:line="260" w:lineRule="atLeast"/>
        <w:ind w:left="1080"/>
        <w:contextualSpacing/>
        <w:jc w:val="both"/>
        <w:rPr>
          <w:rFonts w:ascii="Verdana" w:hAnsi="Verdana" w:eastAsia="Arial"/>
          <w:sz w:val="24"/>
          <w:szCs w:val="24"/>
        </w:rPr>
      </w:pPr>
      <w:bookmarkStart w:id="260" w:name="Bookmark__4_a"/>
      <w:bookmarkEnd w:id="260"/>
      <w:r>
        <w:rPr>
          <w:rFonts w:ascii="Verdana" w:hAnsi="Verdana" w:eastAsia="Arial"/>
          <w:sz w:val="24"/>
          <w:szCs w:val="24"/>
        </w:rPr>
        <w:t xml:space="preserve">The term ”unexpected loss” means the absence of a nursing home administrator due to serious illness or incapacity, unplanned hospitalization, death, resignation with less than thirty (30) days’ notice or unplanned termination.</w:t>
      </w:r>
      <w:bookmarkStart w:id="261" w:name="Bookmark__4_b"/>
      <w:bookmarkEnd w:id="261"/>
    </w:p>
    <w:p>
      <w:pPr>
        <w:pStyle w:val="ListParagraph"/>
        <w:numPr>
          <w:ilvl w:val="0"/>
          <w:numId w:val="857"/>
        </w:numPr>
        <w:spacing w:before="120" w:after="0" w:line="260" w:lineRule="atLeast"/>
        <w:ind w:left="1080"/>
        <w:contextualSpacing/>
        <w:jc w:val="both"/>
        <w:rPr>
          <w:rFonts w:ascii="Verdana" w:hAnsi="Verdana" w:eastAsia="Arial"/>
          <w:sz w:val="24"/>
          <w:szCs w:val="24"/>
        </w:rPr>
      </w:pPr>
      <w:r>
        <w:rPr>
          <w:rFonts w:ascii="Verdana" w:hAnsi="Verdana" w:eastAsia="Arial"/>
          <w:sz w:val="24"/>
          <w:szCs w:val="24"/>
        </w:rPr>
        <w:t xml:space="preserve">The facility must notify the department within twenty-four (24) hours after notice of the unexpected loss of the administrator. Notification to the department shall identify an individual to be responsible for administration of the facility for the immediate future not to exceed thirty (30) days. This responsible individual need not be licensed as an administrator and may be the facility's director of nursing.</w:t>
      </w:r>
      <w:bookmarkStart w:id="262" w:name="Bookmark__4_c"/>
      <w:bookmarkEnd w:id="262"/>
    </w:p>
    <w:p>
      <w:pPr>
        <w:pStyle w:val="ListParagraph"/>
        <w:numPr>
          <w:ilvl w:val="0"/>
          <w:numId w:val="857"/>
        </w:numPr>
        <w:spacing w:before="120" w:after="0" w:line="260" w:lineRule="atLeast"/>
        <w:ind w:left="1080"/>
        <w:contextualSpacing/>
        <w:jc w:val="both"/>
        <w:rPr>
          <w:rFonts w:ascii="Verdana" w:hAnsi="Verdana" w:eastAsia="Arial"/>
          <w:sz w:val="24"/>
          <w:szCs w:val="24"/>
        </w:rPr>
      </w:pPr>
      <w:r>
        <w:rPr>
          <w:rFonts w:ascii="Verdana" w:hAnsi="Verdana" w:eastAsia="Arial"/>
          <w:sz w:val="24"/>
          <w:szCs w:val="24"/>
        </w:rPr>
        <w:t xml:space="preserve">Within seven (7) days of notice of the unexpected loss, the facility must request a waiver of the appropriate regulations from the board.</w:t>
      </w:r>
      <w:bookmarkStart w:id="263" w:name="Bookmark__4_d"/>
      <w:bookmarkEnd w:id="263"/>
    </w:p>
    <w:p>
      <w:pPr>
        <w:pStyle w:val="ListParagraph"/>
        <w:numPr>
          <w:ilvl w:val="0"/>
          <w:numId w:val="857"/>
        </w:numPr>
        <w:spacing w:before="120" w:after="0" w:line="260" w:lineRule="atLeast"/>
        <w:ind w:left="1080"/>
        <w:contextualSpacing/>
        <w:jc w:val="both"/>
        <w:rPr>
          <w:rFonts w:ascii="Verdana" w:hAnsi="Verdana" w:eastAsia="Arial"/>
          <w:sz w:val="24"/>
          <w:szCs w:val="24"/>
        </w:rPr>
      </w:pPr>
      <w:r>
        <w:rPr>
          <w:rFonts w:ascii="Verdana" w:hAnsi="Verdana" w:eastAsia="Arial"/>
          <w:sz w:val="24"/>
          <w:szCs w:val="24"/>
        </w:rPr>
        <w:t xml:space="preserve">On or before the expiration of thirty (30) days after notice of the unexpected loss, the facility shall appoint a temporary administrator to serve until either a permanent administrator is employed or the request for a waiver is considered by the board, whichever occurs first. The temporary administrator shall be any of the following:</w:t>
      </w:r>
    </w:p>
    <w:p>
      <w:pPr>
        <w:pStyle w:val="ListParagraph"/>
        <w:numPr>
          <w:ilvl w:val="2"/>
          <w:numId w:val="857"/>
        </w:numPr>
        <w:spacing w:before="120" w:after="0" w:line="260" w:lineRule="atLeast"/>
        <w:ind w:left="1530"/>
        <w:contextualSpacing/>
        <w:jc w:val="both"/>
        <w:rPr>
          <w:rFonts w:ascii="Verdana" w:hAnsi="Verdana" w:eastAsia="Arial"/>
          <w:sz w:val="24"/>
          <w:szCs w:val="24"/>
        </w:rPr>
      </w:pPr>
      <w:bookmarkStart w:id="264" w:name="Bookmark__4_d_1"/>
      <w:bookmarkEnd w:id="264"/>
      <w:r>
        <w:rPr>
          <w:rFonts w:ascii="Verdana" w:hAnsi="Verdana" w:eastAsia="Arial"/>
          <w:sz w:val="24"/>
          <w:szCs w:val="24"/>
        </w:rPr>
        <w:t xml:space="preserve">A full-time administrator licensed in Tennessee or any other state;</w:t>
      </w:r>
      <w:bookmarkStart w:id="265" w:name="Bookmark__4_d_2"/>
      <w:bookmarkEnd w:id="265"/>
    </w:p>
    <w:p>
      <w:pPr>
        <w:pStyle w:val="ListParagraph"/>
        <w:numPr>
          <w:ilvl w:val="2"/>
          <w:numId w:val="857"/>
        </w:numPr>
        <w:spacing w:before="120" w:after="0" w:line="260" w:lineRule="atLeast"/>
        <w:ind w:left="1530"/>
        <w:contextualSpacing/>
        <w:jc w:val="both"/>
        <w:rPr>
          <w:rFonts w:ascii="Verdana" w:hAnsi="Verdana" w:eastAsia="Arial"/>
          <w:sz w:val="24"/>
          <w:szCs w:val="24"/>
        </w:rPr>
      </w:pPr>
      <w:r>
        <w:rPr>
          <w:rFonts w:ascii="Verdana" w:hAnsi="Verdana" w:eastAsia="Arial"/>
          <w:sz w:val="24"/>
          <w:szCs w:val="24"/>
        </w:rPr>
        <w:t xml:space="preserve">One (1) or more part-time administrators licensed in Tennessee. Part-time shall not be less than twenty (20) hours per week; or,</w:t>
      </w:r>
      <w:bookmarkStart w:id="266" w:name="Bookmark__4_d_3"/>
      <w:bookmarkEnd w:id="266"/>
    </w:p>
    <w:p>
      <w:pPr>
        <w:pStyle w:val="ListParagraph"/>
        <w:numPr>
          <w:ilvl w:val="2"/>
          <w:numId w:val="857"/>
        </w:numPr>
        <w:spacing w:before="120" w:after="0" w:line="260" w:lineRule="atLeast"/>
        <w:ind w:left="1530"/>
        <w:contextualSpacing/>
        <w:jc w:val="both"/>
        <w:rPr>
          <w:rFonts w:ascii="Verdana" w:hAnsi="Verdana" w:eastAsia="Arial"/>
          <w:sz w:val="24"/>
          <w:szCs w:val="24"/>
        </w:rPr>
      </w:pPr>
      <w:r>
        <w:rPr>
          <w:rFonts w:ascii="Verdana" w:hAnsi="Verdana" w:eastAsia="Arial"/>
          <w:sz w:val="24"/>
          <w:szCs w:val="24"/>
        </w:rPr>
        <w:t xml:space="preserve">A full-time candidate for licensure as a Tennessee administrator who has completed the required training and the application </w:t>
      </w:r>
      <w:r>
        <w:rPr>
          <w:rFonts w:ascii="Verdana" w:hAnsi="Verdana" w:eastAsia="Arial"/>
          <w:sz w:val="24"/>
          <w:szCs w:val="24"/>
        </w:rPr>
        <w:t xml:space="preserve">process. Such candidate shall be scheduled for the next licensure exam and is eligible for the continued administrator role only with the successful completion of that exam.</w:t>
      </w:r>
    </w:p>
    <w:p>
      <w:pPr>
        <w:pStyle w:val="ListParagraph"/>
        <w:numPr>
          <w:ilvl w:val="0"/>
          <w:numId w:val="857"/>
        </w:numPr>
        <w:spacing w:before="120" w:after="0" w:line="260" w:lineRule="atLeast"/>
        <w:ind w:left="1080"/>
        <w:contextualSpacing/>
        <w:jc w:val="both"/>
        <w:rPr>
          <w:rFonts w:ascii="Verdana" w:hAnsi="Verdana" w:eastAsia="Arial"/>
          <w:sz w:val="24"/>
          <w:szCs w:val="24"/>
        </w:rPr>
      </w:pPr>
      <w:bookmarkStart w:id="267" w:name="Bookmark__4_e"/>
      <w:bookmarkEnd w:id="267"/>
      <w:r>
        <w:rPr>
          <w:rFonts w:ascii="Verdana" w:hAnsi="Verdana" w:eastAsia="Arial"/>
          <w:sz w:val="24"/>
          <w:szCs w:val="24"/>
        </w:rPr>
        <w:t xml:space="preserve">The procedures set forth above shall be followed until the next regularly scheduled meeting of the board in which the board considers the facility's application for a waiver. After reviewing the circumstances, the board may grant, refuse or condition a waiver as necessary to protect the health, safety and welfare of the residents in the facility.</w:t>
      </w:r>
      <w:bookmarkStart w:id="268" w:name="Bookmark__4_f"/>
      <w:bookmarkEnd w:id="268"/>
    </w:p>
    <w:p>
      <w:pPr>
        <w:pStyle w:val="ListParagraph"/>
        <w:numPr>
          <w:ilvl w:val="0"/>
          <w:numId w:val="857"/>
        </w:numPr>
        <w:spacing w:before="120" w:after="0" w:line="260" w:lineRule="atLeast"/>
        <w:ind w:left="1080"/>
        <w:contextualSpacing/>
        <w:jc w:val="both"/>
        <w:rPr>
          <w:rFonts w:ascii="Verdana" w:hAnsi="Verdana" w:eastAsia="Arial"/>
          <w:sz w:val="24"/>
          <w:szCs w:val="24"/>
        </w:rPr>
      </w:pPr>
      <w:r>
        <w:rPr>
          <w:rFonts w:ascii="Verdana" w:hAnsi="Verdana" w:eastAsia="Arial"/>
          <w:sz w:val="24"/>
          <w:szCs w:val="24"/>
        </w:rPr>
        <w:t xml:space="preserve">Any facility which follows these procedures shall not be subject to a civil penalty for absence of an administrator at any time preceding the board's consideration of the facility’s request for a waiver.</w:t>
      </w:r>
    </w:p>
    <w:p>
      <w:pPr>
        <w:shd w:val="clear" w:color="auto" w:fill="FFFFFF"/>
        <w:spacing w:after="0" w:line="240" w:lineRule="auto"/>
        <w:rPr>
          <w:rFonts w:ascii="Verdana" w:hAnsi="Verdana" w:eastAsia="Verdana" w:cs="Calibri"/>
          <w:color w:val="FF0000"/>
          <w:szCs w:val="24"/>
        </w:rPr>
      </w:pPr>
    </w:p>
    <w:p>
      <w:pPr>
        <w:shd w:val="clear" w:color="auto" w:fill="FFFFFF"/>
        <w:tabs>
          <w:tab w:val="left" w:pos="1260"/>
        </w:tabs>
        <w:spacing w:after="0" w:line="240" w:lineRule="auto"/>
        <w:rPr>
          <w:rFonts w:ascii="Verdana" w:hAnsi="Verdana" w:eastAsia="Verdana" w:cs="Calibri"/>
          <w:color w:val="212121"/>
          <w:szCs w:val="24"/>
        </w:rPr>
      </w:pPr>
    </w:p>
    <w:sectPr>
      <w:headerReference w:type="default" r:id="rId446"/>
      <w:footerReference w:type="default" r:id="rId447"/>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826750276"/>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0381752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bookmarkStart w:id="270" w:name="_Hlk22736008"/>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bookmarkEnd w:id="270"/>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w:t>
    </w:r>
    <w:r>
      <w:rPr>
        <w:rFonts w:cs="Times New Roman"/>
        <w:sz w:val="12"/>
        <w:szCs w:val="12"/>
      </w:rPr>
      <w:t xml:space="preserve">0</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w:t>
    </w:r>
    <w:r>
      <w:rPr>
        <w:rFonts w:cs="Times New Roman"/>
        <w:sz w:val="12"/>
        <w:szCs w:val="12"/>
      </w:rPr>
      <w:t xml:space="preserve">1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Times New Roman"/>
        <w:sz w:val="12"/>
        <w:szCs w:val="12"/>
      </w:rPr>
      <w:t xml:space="preserve">005TNULFA</w:t>
    </w:r>
    <w:r>
      <w:rPr>
        <w:rFonts w:ascii="Verdana" w:hAnsi="Verdana" w:eastAsia="Verdana"/>
        <w:sz w:val="12"/>
        <w:szCs w:val="12"/>
      </w:rPr>
      <w:t xml:space="preserve"> </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5902581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82855873"/>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4fc08d6d-1b54-40aa-9d85-cd92903d7300" type="##_x0000_t75" o:allowincell="f" style="position:absolute;margin-left:0pt;margin-top:0pt;width:467.2pt;height:293.8pt;mso-position-horizontal-relative:margin;mso-position-vertical-relative:margin;mso-position-horizontal:center;mso-position-vertical:center;z-index:-251580189;visibility:visible">
          <v:imagedata r:id="rId448" gain="19661f" blacklevel="22938f"/>
        </v:shape>
      </w:pict>
    </w:r>
    <w:bookmarkStart w:id="269"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9"/>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ea1087ba-0fdb-41de-a4ab-b4f6c74804fc" type="##_x0000_t75" o:allowincell="f" style="position:absolute;margin-left:0pt;margin-top:0pt;width:467.2pt;height:293.8pt;mso-position-horizontal-relative:margin;mso-position-vertical-relative:margin;mso-position-horizontal:center;mso-position-vertical:center;z-index:-251579165;visibility:visible">
          <v:imagedata r:id="rId448"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c49cc6d6-0e30-468b-b114-4d07d6ea4678" type="##_x0000_t75" o:allowincell="f" style="position:absolute;margin-left:0pt;margin-top:0pt;width:467.2pt;height:293.8pt;mso-position-horizontal-relative:margin;mso-position-vertical-relative:margin;mso-position-horizontal:center;mso-position-vertical:center;z-index:-251578141;visibility:visible">
          <v:imagedata r:id="rId448"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0097E49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2F6BD97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4B1DC1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58F812C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1749F0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3AEAE3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322998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556853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64BEB57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7F511FB4"/>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1D643A0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765E816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6676DE1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64C3BED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0500F3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2C5A76B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796C92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1CA3CC3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7E93EB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color w:val="auto"/>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4C91792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557F555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1F4DA95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685C6C8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165D73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0E606DE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3737ECC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7BFD73E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6BBF6CA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74C49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7C7EA9B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18FC2A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20F08A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7EF5A42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23A522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6AFA3C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3D1D06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2DD8A4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66E2259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54D28E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0095D4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0CE3EB0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430782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383D1DE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6BA6622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62C8F7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092C556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72C78AE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7A2435D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48CD23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0E6E6C2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18A43E4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5247F0F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4351A9D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23EA040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5157450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0E5ECFE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4BA79D9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9">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1">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
    <w:lvlOverride w:ilvl="0">
      <w:startOverride w:val="1"/>
    </w:lvlOverride>
    <w:lvlOverride w:ilvl="1">
      <w:startOverride w:val="1"/>
    </w:lvlOverride>
    <w:lvlOverride w:ilvl="2">
      <w:startOverride w:val="1"/>
    </w:lvlOverride>
    <w:lvlOverride w:ilvl="3">
      <w:startOverride w:val="1"/>
    </w:lvlOverride>
  </w:num>
  <w:num w:numId="823">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90"/>
  <w:proofState w:spelling="clean" w:grammar="clean"/>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9" Type="http://schemas.openxmlformats.org/officeDocument/2006/relationships/styles" Target="styles.xml" /><Relationship Id="rId450" Type="http://schemas.openxmlformats.org/officeDocument/2006/relationships/settings" Target="settings.xml" /><Relationship Id="rId451" Type="http://schemas.openxmlformats.org/officeDocument/2006/relationships/theme" Target="theme/theme1.xml" /><Relationship Id="rId452" Type="http://schemas.openxmlformats.org/officeDocument/2006/relationships/numbering" Target="numbering.xml" /><Relationship Id="rId453"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6" Type="http://schemas.openxmlformats.org/officeDocument/2006/relationships/header" Target="header446.xml" /><Relationship Id="rId454"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5"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8"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7AD79-6614-4BF1-9A5A-82FFAA2EE0A8}">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1707</TotalTime>
  <Pages>531</Pages>
  <Words>142014</Words>
  <Characters>809481</Characters>
  <Application>Microsoft Office Word</Application>
  <DocSecurity>0</DocSecurity>
  <Lines>6745</Lines>
  <Paragraphs>1899</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2019-12-05T18:39:00Z</cp:lastPrinted>
  <cp:revision>37</cp:revision>
  <dcterms:created xsi:type="dcterms:W3CDTF">2019-07-09T16:54:00Z</dcterms:created>
  <dcterms:modified xsi:type="dcterms:W3CDTF">2019-12-13T14:59:00Z</dcterms:modified>
</cp:coreProperties>
</file>