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jc w:val="center"/>
        <w:rPr>
          <w:rFonts w:ascii="Verdana" w:hAnsi="Verdana" w:eastAsia="Verdana" w:cs="Verdana"/>
          <w:b/>
          <w:bCs/>
          <w:smallCaps/>
          <w:sz w:val="28"/>
          <w:szCs w:val="24"/>
        </w:rPr>
      </w:pPr>
      <w:r>
        <w:rPr>
          <w:rFonts w:ascii="Verdana" w:hAnsi="Verdana" w:eastAsia="Verdana" w:cs="Verdana"/>
          <w:b/>
          <w:bCs/>
          <w:smallCaps/>
          <w:sz w:val="28"/>
          <w:szCs w:val="24"/>
        </w:rPr>
        <w:fldChar w:fldCharType="begin"/>
      </w:r>
      <w:r>
        <w:rPr>
          <w:rFonts w:ascii="Verdana" w:hAnsi="Verdana" w:eastAsia="Verdana" w:cs="Verdana"/>
          <w:b/>
          <w:bCs/>
          <w:smallCaps/>
          <w:sz w:val="28"/>
          <w:szCs w:val="24"/>
        </w:rPr>
        <w:instrText xml:space="preserve">DOCVARIABLE {Facility} \* MERGEFORMAT</w:instrText>
      </w:r>
      <w:r>
        <w:rPr>
          <w:rFonts w:ascii="Verdana" w:hAnsi="Verdana" w:eastAsia="Verdana" w:cs="Verdana"/>
          <w:b/>
          <w:bCs/>
          <w:smallCaps/>
          <w:sz w:val="28"/>
          <w:szCs w:val="24"/>
        </w:rPr>
        <w:fldChar w:fldCharType="separate"/>
      </w:r>
      <w:r>
        <w:rPr>
          <w:rFonts w:ascii="Verdana" w:hAnsi="Verdana" w:eastAsia="Verdana" w:cs="Verdana"/>
          <w:b/>
          <w:bCs/>
          <w:smallCaps/>
          <w:sz w:val="28"/>
          <w:szCs w:val="24"/>
        </w:rPr>
        <w:t xml:space="preserve">{Facility}</w:t>
      </w:r>
      <w:r>
        <w:rPr>
          <w:rFonts w:ascii="Verdana" w:hAnsi="Verdana" w:eastAsia="Verdana" w:cs="Verdana"/>
          <w:b/>
          <w:bCs/>
          <w:smallCaps/>
          <w:sz w:val="28"/>
          <w:szCs w:val="24"/>
        </w:rPr>
        <w:fldChar w:fldCharType="end"/>
      </w:r>
    </w:p>
    <w:p>
      <w:pPr>
        <w:spacing w:after="0" w:line="240" w:lineRule="auto"/>
        <w:jc w:val="center"/>
        <w:rPr>
          <w:rFonts w:ascii="Verdana" w:hAnsi="Verdana" w:eastAsia="Verdana" w:cs="Verdana"/>
          <w:b/>
          <w:bCs/>
          <w:smallCaps/>
          <w:sz w:val="28"/>
          <w:szCs w:val="28"/>
        </w:rPr>
      </w:pPr>
      <w:r>
        <w:rPr>
          <w:rFonts w:ascii="Verdana" w:hAnsi="Verdana" w:eastAsia="Verdana" w:cs="Verdana"/>
          <w:b/>
          <w:bCs/>
          <w:smallCaps/>
          <w:sz w:val="28"/>
          <w:szCs w:val="24"/>
        </w:rPr>
        <w:t xml:space="preserve">Compliance and Ethics Program Overview</w:t>
      </w:r>
      <w:r>
        <w:rPr>
          <w:rFonts w:ascii="Verdana" w:hAnsi="Verdana" w:eastAsia="Verdana" w:cs="Verdana"/>
          <w:b/>
          <w:bCs/>
          <w:smallCaps/>
          <w:sz w:val="28"/>
          <w:szCs w:val="28"/>
        </w:rPr>
        <w:t xml:space="preserve"> </w:t>
      </w:r>
    </w:p>
    <w:p>
      <w:pPr>
        <w:spacing w:after="0" w:line="240" w:lineRule="auto"/>
        <w:jc w:val="center"/>
        <w:rPr>
          <w:rFonts w:ascii="Verdana" w:hAnsi="Verdana" w:eastAsia="Verdana" w:cs="Verdana"/>
          <w:b/>
          <w:bCs/>
          <w:smallCaps/>
          <w:sz w:val="28"/>
          <w:szCs w:val="24"/>
        </w:rPr>
      </w:pPr>
      <w:r>
        <w:rPr>
          <w:rFonts w:ascii="Verdana" w:hAnsi="Verdana" w:eastAsia="Verdana" w:cs="Verdana"/>
          <w:b/>
          <w:bCs/>
          <w:smallCaps/>
          <w:sz w:val="28"/>
          <w:szCs w:val="24"/>
        </w:rPr>
        <w:t xml:space="preserve">Policies and Procedures</w:t>
      </w:r>
    </w:p>
    <w:p>
      <w:pPr>
        <w:spacing/>
        <w:jc w:val="center"/>
        <w:rPr>
          <w:rFonts w:ascii="Verdana" w:hAnsi="Verdana" w:eastAsia="Verdana" w:cs="Verdana"/>
          <w:b/>
          <w:smallCaps/>
          <w:sz w:val="28"/>
          <w:szCs w:val="24"/>
        </w:rPr>
      </w:pPr>
      <w:r>
        <w:rPr>
          <w:rFonts w:ascii="Verdana" w:hAnsi="Verdana" w:eastAsia="Verdana" w:cs="Verdana"/>
          <w:b/>
          <w:smallCaps/>
          <w:sz w:val="28"/>
          <w:szCs w:val="24"/>
        </w:rPr>
        <w:t xml:space="preserve">Table of Contents</w:t>
      </w:r>
    </w:p>
    <w:p>
      <w:pPr>
        <w:spacing/>
        <w:jc w:val="left"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00101 Corporate Compliance and Ethics Plan</w:t>
      </w:r>
    </w:p>
    <w:p>
      <w:pPr>
        <w:spacing/>
        <w:jc w:val="left"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00102 Code of Conduct </w:t>
      </w:r>
    </w:p>
    <w:p>
      <w:pPr>
        <w:spacing/>
        <w:jc w:val="left"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00102a Code of Conduct Cover Letter</w:t>
      </w:r>
    </w:p>
    <w:p>
      <w:pPr>
        <w:spacing/>
        <w:jc w:val="left"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00102b Code of Conduct Acknowledgement Form</w:t>
      </w:r>
    </w:p>
    <w:p>
      <w:pPr>
        <w:spacing/>
        <w:jc w:val="left"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00103 Adoption, Amendment, and Modification of the Compliance and Ethics Program</w:t>
      </w:r>
    </w:p>
    <w:p>
      <w:pPr>
        <w:spacing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00104 Corporate Philosophy Statement </w:t>
      </w:r>
    </w:p>
    <w:p>
      <w:pPr>
        <w:spacing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00105 Resolution Designating a Compliance and Ethics Officer</w:t>
      </w:r>
    </w:p>
    <w:p>
      <w:pPr>
        <w:spacing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00106 Resolution Designating a Compliance and Ethics Committee </w:t>
      </w:r>
    </w:p>
    <w:p>
      <w:pPr>
        <w:spacing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00107 Resolution Appointing HIPAA Privacy and Security Officer </w:t>
      </w:r>
    </w:p>
    <w:p>
      <w:pPr>
        <w:spacing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00108 Compliance and Ethics Program Checklist </w:t>
      </w:r>
    </w:p>
    <w:p>
      <w:pPr>
        <w:spacing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00109 Auditing and Monitoring of Compliance and Ethics Issues </w:t>
      </w:r>
    </w:p>
    <w:p>
      <w:pPr>
        <w:spacing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00110 Compliance and Ethics Committee Policy and Procedure </w:t>
      </w:r>
    </w:p>
    <w:p>
      <w:pPr>
        <w:spacing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00111 Associate Education and Training Policy and Procedure</w:t>
      </w:r>
    </w:p>
    <w:p>
      <w:pPr>
        <w:spacing w:after="0"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00112 Role of Compliance and Ethics Officer and Compliance and Ethics Committee Policy and Procedure</w:t>
      </w:r>
    </w:p>
    <w:p>
      <w:pPr>
        <w:spacing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00113 Individual Reporting of Compliance and Ethics Concerns Policy and Procedure</w:t>
      </w:r>
    </w:p>
    <w:p>
      <w:pPr>
        <w:spacing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00113a Compliance and Ethics Reporting Form</w:t>
      </w:r>
    </w:p>
    <w:p>
      <w:pPr>
        <w:spacing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00114 Internal Compliance and Ethics Investigation Policy and Procedure</w:t>
      </w:r>
    </w:p>
    <w:p>
      <w:pPr>
        <w:spacing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00115 Internal Investigation of Violations Checklist</w:t>
      </w:r>
    </w:p>
    <w:p>
      <w:pPr>
        <w:spacing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00115a Compliance and Ethics Reporting Form</w:t>
      </w:r>
    </w:p>
    <w:p>
      <w:pPr>
        <w:spacing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00116 Compliance and Ethics Hotline Policy and Procedure</w:t>
      </w:r>
    </w:p>
    <w:p>
      <w:pPr>
        <w:spacing w:after="0"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00117 Response to Detected Issues and Remediation Policy and Procedure</w:t>
      </w:r>
    </w:p>
    <w:p>
      <w:pPr>
        <w:spacing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00117a Corrective Action Plan Template</w:t>
      </w:r>
    </w:p>
    <w:p>
      <w:pPr>
        <w:spacing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00118 Compliance and Ethics Filing Systems Policy and Procedure</w:t>
      </w:r>
    </w:p>
    <w:p>
      <w:pPr>
        <w:spacing/>
        <w:rPr>
          <w:rFonts w:ascii="Verdana" w:hAnsi="Verdana" w:eastAsia="Verdana" w:cs="Verdana"/>
          <w:szCs w:val="24"/>
        </w:rPr>
      </w:pPr>
      <w:r>
        <w:rPr>
          <w:rFonts w:ascii="Verdana" w:hAnsi="Verdana" w:eastAsia="Verdana" w:cs="Verdana"/>
          <w:szCs w:val="24"/>
        </w:rPr>
        <w:t xml:space="preserve">CCG 00119 Human Resources and Compliance and Ethics Officer Policy and Procedure</w:t>
      </w:r>
    </w:p>
    <w:p>
      <w:pPr>
        <w:spacing/>
        <w:rPr/>
      </w:pPr>
      <w:r>
        <w:rPr>
          <w:rFonts w:ascii="Verdana" w:hAnsi="Verdana" w:eastAsia="Verdana" w:cs="Verdana"/>
          <w:szCs w:val="24"/>
        </w:rPr>
        <w:t xml:space="preserve">CCG 00120 Interaction with The Government Policy and Procedure</w:t>
      </w:r>
    </w:p>
    <w:sectPr>
      <w:type w:val="nextPage"/>
      <w:pgSz w:w="12240" w:h="15840"/>
      <w:pgMar w:top="1152" w:right="1440" w:bottom="1152" w:left="1440" w:header="720" w:footer="720" w:gutter="0"/>
      <w:pgBorders/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0002A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Verdana">
    <w:charset w:val="0"/>
    <w:family w:val="swiss"/>
    <w:pitch w:val="variable"/>
    <w:sig w:usb0="A00006FF" w:usb1="4000205B" w:usb2="00000010" w:usb3="00000000" w:csb0="0000019F" w:csb1="00000000"/>
  </w:font>
  <w:font w:name="Calibri Light">
    <w:charset w:val="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 w:after="80" w:line="276" w:lineRule="auto"/>
      <w:jc w:val="both"/>
    </w:pPr>
    <w:rPr>
      <w:rFonts w:ascii="Times New Roman" w:hAnsi="Times New Roman" w:eastAsia="Times New Roman" w:cs="Arial"/>
      <w:sz w:val="24"/>
      <w:lang w:bidi="he-IL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NoList">
    <w:name w:val="No List"/>
    <w:semiHidden/>
    <w:unhideWhenUsed/>
    <w:rPr/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rPr>
      <w:rFonts w:ascii="Times New Roman" w:hAnsi="Times New Roman" w:eastAsia="Times New Roman" w:cs="Arial"/>
      <w:sz w:val="24"/>
      <w:lang w:bidi="he-IL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rPr>
      <w:rFonts w:ascii="Times New Roman" w:hAnsi="Times New Roman" w:eastAsia="Times New Roman" w:cs="Arial"/>
      <w:sz w:val="24"/>
      <w:lang w:bidi="he-IL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0</TotalTime>
  <Pages>1</Pages>
  <Words>245</Words>
  <Characters>1400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1</cp:revision>
  <dcterms:created xsi:type="dcterms:W3CDTF">2019-10-03T15:10:00Z</dcterms:created>
  <dcterms:modified xsi:type="dcterms:W3CDTF">2019-10-03T15:10:00Z</dcterms:modified>
</cp:coreProperties>
</file>