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1.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8.xml" ContentType="application/vnd.openxmlformats-officedocument.wordprocessingml.footer+xml"/>
  <Override PartName="/word/footer202.xml" ContentType="application/vnd.openxmlformats-officedocument.wordprocessingml.footer+xml"/>
  <Override PartName="/word/footer233.xml" ContentType="application/vnd.openxmlformats-officedocument.wordprocessingml.footer+xml"/>
  <Override PartName="/word/footer255.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9.xml" ContentType="application/vnd.openxmlformats-officedocument.wordprocessingml.footer+xml"/>
  <Override PartName="/word/footer299.xml" ContentType="application/vnd.openxmlformats-officedocument.wordprocessingml.footer+xml"/>
  <Override PartName="/word/footer333.xml" ContentType="application/vnd.openxmlformats-officedocument.wordprocessingml.footer+xml"/>
  <Override PartName="/word/footer348.xml" ContentType="application/vnd.openxmlformats-officedocument.wordprocessingml.footer+xml"/>
  <Override PartName="/word/footer374.xml" ContentType="application/vnd.openxmlformats-officedocument.wordprocessingml.footer+xml"/>
  <Override PartName="/word/footer384.xml" ContentType="application/vnd.openxmlformats-officedocument.wordprocessingml.footer+xml"/>
  <Override PartName="/word/footer391.xml" ContentType="application/vnd.openxmlformats-officedocument.wordprocessingml.footer+xml"/>
  <Override PartName="/word/footer39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7.xml" ContentType="application/vnd.openxmlformats-officedocument.wordprocessingml.header+xml"/>
  <Override PartName="/word/header201.xml" ContentType="application/vnd.openxmlformats-officedocument.wordprocessingml.header+xml"/>
  <Override PartName="/word/header232.xml" ContentType="application/vnd.openxmlformats-officedocument.wordprocessingml.header+xml"/>
  <Override PartName="/word/header254.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8.xml" ContentType="application/vnd.openxmlformats-officedocument.wordprocessingml.header+xml"/>
  <Override PartName="/word/header298.xml" ContentType="application/vnd.openxmlformats-officedocument.wordprocessingml.header+xml"/>
  <Override PartName="/word/header332.xml" ContentType="application/vnd.openxmlformats-officedocument.wordprocessingml.header+xml"/>
  <Override PartName="/word/header347.xml" ContentType="application/vnd.openxmlformats-officedocument.wordprocessingml.header+xml"/>
  <Override PartName="/word/header373.xml" ContentType="application/vnd.openxmlformats-officedocument.wordprocessingml.header+xml"/>
  <Override PartName="/word/header383.xml" ContentType="application/vnd.openxmlformats-officedocument.wordprocessingml.header+xml"/>
  <Override PartName="/word/header390.xml" ContentType="application/vnd.openxmlformats-officedocument.wordprocessingml.header+xml"/>
  <Override PartName="/word/header39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6.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w:t>
      </w:r>
      <w:bookmarkStart w:id="20" w:name="_GoBack"/>
      <w:bookmarkEnd w:id="20"/>
      <w:r>
        <w:rPr>
          <w:rFonts w:ascii="Verdana" w:hAnsi="Verdana" w:eastAsia="Verdana"/>
          <w:szCs w:val="24"/>
        </w:rPr>
        <w:t xml:space="preserve">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w:t>
      </w:r>
      <w:r>
        <w:rPr>
          <w:rFonts w:ascii="Verdana" w:hAnsi="Verdana" w:eastAsia="Verdana"/>
          <w:color w:val="auto"/>
          <w:spacing w:val="0"/>
          <w:szCs w:val="24"/>
        </w:rPr>
        <w:t xml:space="preserve">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6"/>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6"/>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r>
        <w:rPr>
          <w:rFonts w:ascii="Verdana" w:hAnsi="Verdana" w:eastAsia="Verdana" w:cs="Verdana"/>
          <w:b/>
          <w:sz w:val="28"/>
          <w:szCs w:val="28"/>
        </w:rPr>
        <w:t xml:space="preserve"> </w:t>
      </w:r>
    </w:p>
    <w:p>
      <w:pPr>
        <w:widowControl w:val="false"/>
        <w:autoSpaceDE w:val="false"/>
        <w:autoSpaceDN w:val="false"/>
        <w:adjustRightInd w:val="false"/>
        <w:spacing w:after="0" w:line="240" w:lineRule="auto"/>
        <w:jc w:val="center"/>
        <w:rPr>
          <w:rFonts w:ascii="Verdana" w:hAnsi="Verdana" w:eastAsia="Verdana"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ascii="Verdana" w:hAnsi="Verdana" w:eastAsia="Verdana"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ascii="Verdana" w:hAnsi="Verdana" w:eastAsia="Verdana" w:cs="Times New Roman"/>
          <w:smallCaps/>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4" w:lineRule="auto"/>
        <w:ind w:left="10"/>
        <w:rPr>
          <w:rFonts w:ascii="Verdana" w:hAnsi="Verdana" w:eastAsia="Verdana" w:cs="Times New Roman"/>
          <w:szCs w:val="24"/>
        </w:rPr>
      </w:pPr>
      <w:r>
        <w:rPr>
          <w:rFonts w:ascii="Verdana" w:hAnsi="Verdana" w:eastAsia="Verdana" w:cs="Verdana"/>
          <w:szCs w:val="24"/>
        </w:rPr>
        <w:t xml:space="preserve">To ensure compliance with all fraud, waste, and abuse compliance and ethics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9" w:lineRule="auto"/>
        <w:ind w:left="10"/>
        <w:rPr>
          <w:rFonts w:ascii="Verdana" w:hAnsi="Verdana" w:eastAsia="Verdana"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compliance and ethics program and strives to educate its work force on fraud and abuse laws, including the importance of submitting accurate claims and reports to the federal and state governments. The Facility has instituted various procedures to ensure compliance 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PROCEDURE</w:t>
      </w:r>
    </w:p>
    <w:p>
      <w:pPr>
        <w:widowControl w:val="false"/>
        <w:numPr>
          <w:ilvl w:val="0"/>
          <w:numId w:val="807"/>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808"/>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808"/>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808"/>
        </w:numPr>
        <w:tabs>
          <w:tab w:val="num" w:pos="1830"/>
        </w:tabs>
        <w:overflowPunct w:val="false"/>
        <w:autoSpaceDE w:val="false"/>
        <w:autoSpaceDN w:val="false"/>
        <w:adjustRightInd w:val="false"/>
        <w:spacing w:after="0" w:line="249"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808"/>
        </w:numPr>
        <w:tabs>
          <w:tab w:val="num" w:pos="1830"/>
        </w:tabs>
        <w:overflowPunct w:val="false"/>
        <w:autoSpaceDE w:val="false"/>
        <w:autoSpaceDN w:val="false"/>
        <w:adjustRightInd w:val="false"/>
        <w:spacing w:after="0" w:line="261"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808"/>
        </w:numPr>
        <w:tabs>
          <w:tab w:val="num" w:pos="1830"/>
        </w:tabs>
        <w:overflowPunct w:val="false"/>
        <w:autoSpaceDE w:val="false"/>
        <w:autoSpaceDN w:val="false"/>
        <w:adjustRightInd w:val="false"/>
        <w:spacing w:after="0" w:line="264"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808"/>
        </w:numPr>
        <w:tabs>
          <w:tab w:val="num" w:pos="1830"/>
        </w:tabs>
        <w:overflowPunct w:val="false"/>
        <w:autoSpaceDE w:val="false"/>
        <w:autoSpaceDN w:val="false"/>
        <w:adjustRightInd w:val="false"/>
        <w:spacing w:after="0" w:line="264"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808"/>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The Facility’s Compliance and Ethics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80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Compliance and Ethics Officer. All Associates can make a report either openly or anonymously by calling our Compliance and Ethics Hotline at (800) 610-2544.</w:t>
      </w:r>
    </w:p>
    <w:p>
      <w:pPr>
        <w:widowControl w:val="false"/>
        <w:numPr>
          <w:ilvl w:val="1"/>
          <w:numId w:val="809"/>
        </w:numPr>
        <w:overflowPunct w:val="false"/>
        <w:autoSpaceDE w:val="false"/>
        <w:autoSpaceDN w:val="false"/>
        <w:adjustRightInd w:val="false"/>
        <w:spacing w:after="0" w:line="244"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compliance and ethics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809"/>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809"/>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ascii="Verdana" w:hAnsi="Verdana" w:eastAsia="Verdana"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numPr>
          <w:ilvl w:val="0"/>
          <w:numId w:val="81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810"/>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810"/>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81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Provide detailed information about the Federal and</w:t>
      </w:r>
    </w:p>
    <w:p>
      <w:pPr>
        <w:widowControl w:val="false"/>
        <w:numPr>
          <w:ilvl w:val="3"/>
          <w:numId w:val="810"/>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810"/>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810"/>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810"/>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810"/>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810"/>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810"/>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Federal Civil False Claims Act – 31 U.S.C. §§ 3729 – 3733</w:t>
      </w:r>
    </w:p>
    <w:p>
      <w:pPr>
        <w:widowControl w:val="false"/>
        <w:numPr>
          <w:ilvl w:val="1"/>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entitled, and then uses false statements or records in order to retain the money. </w:t>
      </w:r>
    </w:p>
    <w:p>
      <w:pPr>
        <w:widowControl w:val="false"/>
        <w:numPr>
          <w:ilvl w:val="1"/>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Examples of false claims include, but are not limited to: </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or supply that was never provided; </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resulting in an unreturned overpayment. </w:t>
      </w:r>
    </w:p>
    <w:p>
      <w:pPr>
        <w:widowControl w:val="false"/>
        <w:numPr>
          <w:ilvl w:val="1"/>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Penalties </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1"/>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1"/>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Whistleblower Protection (31 U.S.C. §3730(h)) </w:t>
      </w:r>
    </w:p>
    <w:p>
      <w:pPr>
        <w:widowControl w:val="false"/>
        <w:numPr>
          <w:ilvl w:val="2"/>
          <w:numId w:val="8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pStyle w:val="ListParagraph"/>
        <w:widowControl w:val="false"/>
        <w:numPr>
          <w:ilvl w:val="0"/>
          <w:numId w:val="812"/>
        </w:numPr>
        <w:autoSpaceDE w:val="false"/>
        <w:autoSpaceDN w:val="false"/>
        <w:adjustRightInd w:val="false"/>
        <w:spacing w:after="0" w:line="240" w:lineRule="auto"/>
        <w:rPr>
          <w:rFonts w:ascii="Verdana" w:hAnsi="Verdana" w:eastAsia="Verdana" w:cs="Times New Roman"/>
          <w:sz w:val="24"/>
          <w:szCs w:val="24"/>
        </w:rPr>
      </w:pPr>
      <w:r>
        <w:rPr>
          <w:rFonts w:ascii="Verdana" w:hAnsi="Verdana" w:eastAsia="Verdana" w:cs="Verdana"/>
          <w:sz w:val="24"/>
          <w:szCs w:val="24"/>
        </w:rPr>
        <w:t xml:space="preserve">Federal False Statements Statute – 42 U.S.C. § 1320a-7b(a)</w:t>
      </w:r>
    </w:p>
    <w:p>
      <w:pPr>
        <w:widowControl w:val="false"/>
        <w:numPr>
          <w:ilvl w:val="1"/>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United States government funds is subject to significant fines and imprisonment.</w:t>
      </w:r>
    </w:p>
    <w:p>
      <w:pPr>
        <w:widowControl w:val="false"/>
        <w:numPr>
          <w:ilvl w:val="2"/>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813"/>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813"/>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813"/>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814"/>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814"/>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814"/>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814"/>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815"/>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815"/>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and/or imprisonment for up to one (1) year. </w:t>
      </w:r>
    </w:p>
    <w:p>
      <w:pPr>
        <w:pStyle w:val="ListParagraph"/>
        <w:widowControl w:val="false"/>
        <w:numPr>
          <w:ilvl w:val="0"/>
          <w:numId w:val="812"/>
        </w:numPr>
        <w:overflowPunct w:val="false"/>
        <w:autoSpaceDE w:val="false"/>
        <w:autoSpaceDN w:val="false"/>
        <w:adjustRightInd w:val="false"/>
        <w:spacing w:after="0" w:line="261" w:lineRule="auto"/>
        <w:jc w:val="both"/>
        <w:rPr>
          <w:rFonts w:ascii="Verdana" w:hAnsi="Verdana" w:eastAsia="Verdana" w:cs="Times New Roman"/>
          <w:sz w:val="24"/>
          <w:szCs w:val="24"/>
        </w:rPr>
      </w:pPr>
      <w:r>
        <w:rPr>
          <w:rFonts w:ascii="Verdana" w:hAnsi="Verdana" w:eastAsia="Verdana" w:cs="Verdana"/>
          <w:sz w:val="24"/>
          <w:szCs w:val="24"/>
        </w:rPr>
        <w:t xml:space="preserve">Federal Health Care Fraud Statute – 18 U.S.C. § 1347</w:t>
      </w:r>
    </w:p>
    <w:p>
      <w:pPr>
        <w:widowControl w:val="false"/>
        <w:numPr>
          <w:ilvl w:val="1"/>
          <w:numId w:val="812"/>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812"/>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12"/>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812"/>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816"/>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816"/>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816"/>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pStyle w:val="ListParagraph"/>
        <w:widowControl w:val="false"/>
        <w:numPr>
          <w:ilvl w:val="0"/>
          <w:numId w:val="812"/>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Verdana"/>
          <w:sz w:val="24"/>
          <w:szCs w:val="24"/>
        </w:rPr>
        <w:t xml:space="preserve">Federal Criminal False Claims Act – 18 U.S.C.A. §§ 286-287</w:t>
      </w:r>
    </w:p>
    <w:p>
      <w:pPr>
        <w:widowControl w:val="false"/>
        <w:numPr>
          <w:ilvl w:val="1"/>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pStyle w:val="ListParagraph"/>
        <w:widowControl w:val="false"/>
        <w:numPr>
          <w:ilvl w:val="0"/>
          <w:numId w:val="812"/>
        </w:numPr>
        <w:overflowPunct w:val="false"/>
        <w:autoSpaceDE w:val="false"/>
        <w:autoSpaceDN w:val="false"/>
        <w:adjustRightInd w:val="false"/>
        <w:spacing w:after="0" w:line="261" w:lineRule="auto"/>
        <w:rPr>
          <w:rFonts w:ascii="Verdana" w:hAnsi="Verdana" w:eastAsia="Verdana" w:cs="Times New Roman"/>
          <w:sz w:val="24"/>
          <w:szCs w:val="24"/>
        </w:rPr>
      </w:pPr>
      <w:r>
        <w:rPr>
          <w:rFonts w:ascii="Verdana" w:hAnsi="Verdana" w:eastAsia="Verdana" w:cs="Verdana"/>
          <w:sz w:val="24"/>
          <w:szCs w:val="24"/>
        </w:rPr>
        <w:t xml:space="preserve">The Program Fraud Civil Remedies Act (“PFCRA”) – 31 U.S.C. 3801-3812</w:t>
      </w:r>
    </w:p>
    <w:p>
      <w:pPr>
        <w:widowControl w:val="false"/>
        <w:numPr>
          <w:ilvl w:val="1"/>
          <w:numId w:val="812"/>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812"/>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81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817"/>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817"/>
        </w:numPr>
        <w:overflowPunct w:val="false"/>
        <w:autoSpaceDE w:val="false"/>
        <w:autoSpaceDN w:val="false"/>
        <w:adjustRightInd w:val="false"/>
        <w:spacing w:after="0" w:line="261" w:lineRule="auto"/>
        <w:ind w:left="1980"/>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817"/>
        </w:numPr>
        <w:overflowPunct w:val="false"/>
        <w:autoSpaceDE w:val="false"/>
        <w:autoSpaceDN w:val="false"/>
        <w:adjustRightInd w:val="false"/>
        <w:spacing w:after="0" w:line="244" w:lineRule="auto"/>
        <w:ind w:left="1980"/>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817"/>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817"/>
        </w:numPr>
        <w:overflowPunct w:val="false"/>
        <w:autoSpaceDE w:val="false"/>
        <w:autoSpaceDN w:val="false"/>
        <w:adjustRightInd w:val="false"/>
        <w:spacing w:after="0" w:line="249" w:lineRule="auto"/>
        <w:ind w:left="1980"/>
        <w:rPr>
          <w:rFonts w:ascii="Verdana" w:hAnsi="Verdana" w:eastAsia="Verdana"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817"/>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818"/>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81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818"/>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818"/>
        </w:numPr>
        <w:overflowPunct w:val="false"/>
        <w:autoSpaceDE w:val="false"/>
        <w:autoSpaceDN w:val="false"/>
        <w:adjustRightInd w:val="false"/>
        <w:spacing w:after="0" w:line="283"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819"/>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81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819"/>
        </w:numPr>
        <w:overflowPunct w:val="false"/>
        <w:autoSpaceDE w:val="false"/>
        <w:autoSpaceDN w:val="false"/>
        <w:adjustRightInd w:val="false"/>
        <w:spacing w:after="0" w:line="244"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819"/>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819"/>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819"/>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The United States Attorney General may authorize the Secretary of</w:t>
      </w:r>
      <w:r>
        <w:rPr>
          <w:rFonts w:ascii="Verdana" w:hAnsi="Verdana" w:eastAsia="Verdana"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819"/>
        </w:numPr>
        <w:overflowPunct w:val="false"/>
        <w:autoSpaceDE w:val="false"/>
        <w:autoSpaceDN w:val="false"/>
        <w:adjustRightInd w:val="false"/>
        <w:spacing w:after="0" w:line="249" w:lineRule="auto"/>
        <w:ind w:left="126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819"/>
        </w:numPr>
        <w:overflowPunct w:val="false"/>
        <w:autoSpaceDE w:val="false"/>
        <w:autoSpaceDN w:val="false"/>
        <w:adjustRightInd w:val="false"/>
        <w:spacing w:after="0" w:line="249" w:lineRule="auto"/>
        <w:ind w:left="126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Washington Health Care False Claims Act (Wash. Rev. Code § 48.80.010 </w:t>
      </w:r>
      <w:r>
        <w:rPr>
          <w:rFonts w:ascii="Verdana" w:hAnsi="Verdana" w:eastAsia="Verdana" w:cs="Verdana"/>
          <w:i/>
          <w:iCs/>
          <w:sz w:val="24"/>
          <w:szCs w:val="24"/>
        </w:rPr>
        <w:t xml:space="preserve">et seq</w:t>
      </w:r>
      <w:r>
        <w:rPr>
          <w:rFonts w:ascii="Verdana" w:hAnsi="Verdana" w:eastAsia="Verdana" w:cs="Verdana"/>
          <w:sz w:val="24"/>
          <w:szCs w:val="24"/>
        </w:rPr>
        <w:t xml:space="preserve">.)</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Under the Washington Health Care False Claims Act:</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shall not make or present or cause to be made or presented to a health care payer a claim for a health care payment knowing the claim to be false.</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No person shall knowingly present to a health care payer a claim for a health care payment that falsely represents that the goods or services were medically necessary in accordance with professionally accepted standards. Each claim that violates this subsection shall constitute a separate offense.</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No person shall knowingly make a false statement or false representation of a material fact to a health care payer for use in determining rights to a health care payment. Each claim that violates this subsection shall constitute a separate violation.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No person shall conceal the occurrence of any event affecting his or her initial or continued right under a contract, certificate, or policy of insurance to have a payment made by a health care payer for a specified health care service. A person shall not conceal or fail to disclose any information with intent to obtain a health care payment to which the person or any other person is not entitled, or to obtain a health care payment in an amount greater than that which the person or any other person is entitled.</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No provider shall willfully collect or attempt to collect an amount from an insured knowing that to be in violation of an agreement or contract with a health care payor to which the provider is a party.</w:t>
      </w:r>
    </w:p>
    <w:p>
      <w:pPr>
        <w:pStyle w:val="ListParagraph"/>
        <w:widowControl w:val="false"/>
        <w:numPr>
          <w:ilvl w:val="3"/>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who violates the Washington Health Care False Claims Act is guilty of a class C felony punishable under chapter 9A.20 RCW.</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a prosecution under the Washington Health Care False Claims Act, circumstantial evidence may be presented to demonstrate that a false statement or claim was knowingly made. Such evidence may include but shall not be limited to the following circumstances:</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Where a claim for a health care payment is submitted with the person’s actual, facsimile, stamped, typewritten, or similar signature on the form required for the making of a claim for health care payment; and</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Where a claim for a health care payment is submitted by means of computer billing tapes or other electronic means if the person has advised the health care payer in writing that claims for health care payment will be submitted by use of computer billing tapes or other electronic means.</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Penalty for Unlawful Conduct.</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who violates this provision may be found guilty of a class C felony, punishable by up to five years in prison or a fine of up to $10,000.00 or by both prison and such fine. In addition, civil   penalties may be imposed.</w:t>
      </w:r>
    </w:p>
    <w:p>
      <w:pPr>
        <w:pStyle w:val="ListParagraph"/>
        <w:widowControl w:val="false"/>
        <w:numPr>
          <w:ilvl w:val="0"/>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Washington Medicaid Fraud False Claims Act (Wash. Rev. Code § 74.66.005 </w:t>
      </w:r>
      <w:r>
        <w:rPr>
          <w:rFonts w:ascii="Verdana" w:hAnsi="Verdana" w:eastAsia="Verdana" w:cs="Verdana"/>
          <w:i/>
          <w:iCs/>
          <w:sz w:val="24"/>
          <w:szCs w:val="24"/>
        </w:rPr>
        <w:t xml:space="preserve">et seq</w:t>
      </w:r>
      <w:r>
        <w:rPr>
          <w:rFonts w:ascii="Verdana" w:hAnsi="Verdana" w:eastAsia="Verdana" w:cs="Verdana"/>
          <w:sz w:val="24"/>
          <w:szCs w:val="24"/>
        </w:rPr>
        <w:t xml:space="preserve">.).</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is liable to the government entity for a civil penalty of not less than the greater of ten thousand nine hundred fifty-seven dollars or the minimum inflation adjusted penalty amount imposed as provided by 31 U.S.C. Sec. 3729(a) and not more than the greater of twenty-one thousand nine hundred sixteen dollars or the maximum inflation adjusted penalty amount imposed as provided by 31 U.S.C. Sec. 3729(a), plus three times the amount of damages which the government entity sustains because of the act of that person, if the person: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Knowingly presents, or causes to be presented, a false or fraudulent claim for payment or approval;</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Knowingly makes, uses, or causes to be made or used, a false record or statement material to a false or fraudulent claim;</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Conspires to commit one or more of the violations in this subsection (A);</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Has possession, custody, or control of property or money used, or to be used, by the government entity and knowingly delivers, or causes to be delivered, less than all of that money or property;</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Is authorized to make or deliver a document certifying receipt of property used, or to be used, by the government entity and, intending to defraud the government entity, makes or delivers the receipt without completely knowing that the information on the receipt is true;</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Knowingly buys, or receives as a pledge of an obligation or debt, public property from an officer or employee of the government entity who lawfully may not sell or pledge property; or</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Knowingly makes, uses, or causes to be made or used a false record or statement material to an obligation to pay or transmit money or property to the government entity, or knowingly conceals or knowingly and improperly avoids or decreases an obligation to pay or transmit money or property to the government entity.</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court may assess not less than two times the amount of damages which the government entity sustains because of the act of a person, if the court finds that:</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person committing the violation of subsection (A) of this section furnished the Washington state attorney general with all information known to him or her about the violation within thirty days after the date on which he or she first obtained the information;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person fully cooperated with any investigation by the attorney general of the violation; and</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At the time the person furnished the attorney general with the information about the violation, no criminal prosecution, civil action, or administrative action had commenced under this title with respect to the violation, and the person did not have actual knowledge of the existence of an investigation into the violation.</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violating the Washington Medicaid Fraud False Claims Act is liable to the attorney general for the costs of a civil action brought to recover any such penalty or damages.</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Attorney General Investigation.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Attorney General must diligently investigate a violation under the Washington Medicaid Fraud False Claims Act. If the attorney general finds that a person has violated or is violating the Washington Medicaid Fraud False Claims Act, the Attorney General may bring a civil action under this Act against the person.</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i/>
          <w:iCs/>
          <w:sz w:val="24"/>
          <w:szCs w:val="24"/>
        </w:rPr>
        <w:t xml:space="preserve">Qui Tam</w:t>
      </w:r>
      <w:r>
        <w:rPr>
          <w:rFonts w:ascii="Verdana" w:hAnsi="Verdana" w:eastAsia="Verdana" w:cs="Verdana"/>
          <w:sz w:val="24"/>
          <w:szCs w:val="24"/>
        </w:rPr>
        <w:t xml:space="preserve"> Action.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may bring a civil action for a violation of the Washington Medicaid Fraud False Claims Act for the person and for the government entity. The action may be known as a </w:t>
      </w:r>
      <w:r>
        <w:rPr>
          <w:rFonts w:ascii="Verdana" w:hAnsi="Verdana" w:eastAsia="Verdana" w:cs="Verdana"/>
          <w:i/>
          <w:iCs/>
          <w:sz w:val="24"/>
          <w:szCs w:val="24"/>
        </w:rPr>
        <w:t xml:space="preserve">qui tam</w:t>
      </w:r>
      <w:r>
        <w:rPr>
          <w:rFonts w:ascii="Verdana" w:hAnsi="Verdana" w:eastAsia="Verdana" w:cs="Verdana"/>
          <w:sz w:val="24"/>
          <w:szCs w:val="24"/>
        </w:rPr>
        <w:t xml:space="preserve"> action and the person bringing the action as a </w:t>
      </w:r>
      <w:r>
        <w:rPr>
          <w:rFonts w:ascii="Verdana" w:hAnsi="Verdana" w:eastAsia="Verdana" w:cs="Verdana"/>
          <w:i/>
          <w:iCs/>
          <w:sz w:val="24"/>
          <w:szCs w:val="24"/>
        </w:rPr>
        <w:t xml:space="preserve">qui tam</w:t>
      </w:r>
      <w:r>
        <w:rPr>
          <w:rFonts w:ascii="Verdana" w:hAnsi="Verdana" w:eastAsia="Verdana" w:cs="Verdana"/>
          <w:sz w:val="24"/>
          <w:szCs w:val="24"/>
        </w:rPr>
        <w:t xml:space="preserve"> relator. The action must be brought in the name of the government entity. The action may be dismissed only if the court, and the attorney general give written consent to the dismissal and their reason for consenting.</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relator filing an action under the Washington Medicaid Fraud False Claims Act must serve a copy of the complaint and written disclosure of substantially all material evidence and information the person possesses on the attorney general in electronic format. The relator must file the complaint </w:t>
      </w:r>
      <w:r>
        <w:rPr>
          <w:rFonts w:ascii="Verdana" w:hAnsi="Verdana" w:eastAsia="Verdana" w:cs="Verdana"/>
          <w:i/>
          <w:iCs/>
          <w:sz w:val="24"/>
          <w:szCs w:val="24"/>
        </w:rPr>
        <w:t xml:space="preserve">in camera</w:t>
      </w:r>
      <w:r>
        <w:rPr>
          <w:rFonts w:ascii="Verdana" w:hAnsi="Verdana" w:eastAsia="Verdana" w:cs="Verdana"/>
          <w:sz w:val="24"/>
          <w:szCs w:val="24"/>
        </w:rPr>
        <w:t xml:space="preserve">. The complaint must remain under seal for at least sixty days, and may not be served on the defendant until the court so orders. The Attorney General may elect to intervene and proceed with the action within sixty days after it receives both the complaint and the material evidence and information.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attorney general may, for good cause shown, move the court for extensions of the time during which the complaint remains under seal under subsection (b) of this section. The motions may be supported by affidavits or other submissions </w:t>
      </w:r>
      <w:r>
        <w:rPr>
          <w:rFonts w:ascii="Verdana" w:hAnsi="Verdana" w:eastAsia="Verdana" w:cs="Verdana"/>
          <w:i/>
          <w:iCs/>
          <w:sz w:val="24"/>
          <w:szCs w:val="24"/>
        </w:rPr>
        <w:t xml:space="preserve">in camera</w:t>
      </w:r>
      <w:r>
        <w:rPr>
          <w:rFonts w:ascii="Verdana" w:hAnsi="Verdana" w:eastAsia="Verdana" w:cs="Verdana"/>
          <w:sz w:val="24"/>
          <w:szCs w:val="24"/>
        </w:rPr>
        <w:t xml:space="preserve">. The defendant may not be required to respond to any complaint filed under this section until twenty days after the complaint is unsealed and served upon the defendant.</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If the Attorney General does not proceed with the action prior to the expiration of the sixty-day period or any extensions obtained under subsection (c) of this section, then the relator has the right to conduct the action.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When a person brings an action under this section, no person other than the Attorney General may intervene or bring a related action based on the facts underlying the pending action.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If the Attorney General proceeds with the </w:t>
      </w:r>
      <w:r>
        <w:rPr>
          <w:rFonts w:ascii="Verdana" w:hAnsi="Verdana" w:eastAsia="Verdana" w:cs="Verdana"/>
          <w:i/>
          <w:iCs/>
          <w:sz w:val="24"/>
          <w:szCs w:val="24"/>
        </w:rPr>
        <w:t xml:space="preserve">qui tam</w:t>
      </w:r>
      <w:r>
        <w:rPr>
          <w:rFonts w:ascii="Verdana" w:hAnsi="Verdana" w:eastAsia="Verdana" w:cs="Verdana"/>
          <w:sz w:val="24"/>
          <w:szCs w:val="24"/>
        </w:rPr>
        <w:t xml:space="preserve"> action, the Attorney General shall have the primary responsibility for prosecuting the action, and is not bound by an act of the relator. The relator has the right to continue as a party to the action, subject to certain limitations set forth in this Act.</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i/>
          <w:iCs/>
          <w:sz w:val="24"/>
          <w:szCs w:val="24"/>
        </w:rPr>
        <w:t xml:space="preserve">Qui Tam</w:t>
      </w:r>
      <w:r>
        <w:rPr>
          <w:rFonts w:ascii="Verdana" w:hAnsi="Verdana" w:eastAsia="Verdana" w:cs="Verdana"/>
          <w:sz w:val="24"/>
          <w:szCs w:val="24"/>
        </w:rPr>
        <w:t xml:space="preserve"> Award.</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Subject to (b) of this subsection, if the Attorney General proceeds with a </w:t>
      </w:r>
      <w:r>
        <w:rPr>
          <w:rFonts w:ascii="Verdana" w:hAnsi="Verdana" w:eastAsia="Verdana" w:cs="Verdana"/>
          <w:i/>
          <w:iCs/>
          <w:sz w:val="24"/>
          <w:szCs w:val="24"/>
        </w:rPr>
        <w:t xml:space="preserve">qui tam</w:t>
      </w:r>
      <w:r>
        <w:rPr>
          <w:rFonts w:ascii="Verdana" w:hAnsi="Verdana" w:eastAsia="Verdana" w:cs="Verdana"/>
          <w:sz w:val="24"/>
          <w:szCs w:val="24"/>
        </w:rPr>
        <w:t xml:space="preserve"> action, the relator must receive at least fifteen percent but not more than twenty-five percent of the proceeds of the action or settlement of the claim, depending upon the extent to which the relator substantially contributed to the prosecution of the action.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Where the action is one which the court finds to be based primarily on disclosures of specific information, other than information provided by the relator, relating to allegations or transactions in a criminal, civil, or administrative hearing, in a legislative or administrative report, hearing, audit, or investigation, or from the news media, the court may award an amount it considers appropriate, but in no case more than ten percent of the proceeds, taking into account the significance of the information and the role of the relator in advancing the case to litigation.</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payment to a relator under (a) or (b) of this subsection must be made from the proceeds. The relator must also receive an amount for reasonable expenses which the court finds to have been necessarily incurred, plus reasonable attorneys’ fees and costs. All expenses, fees, and costs must be awarded against the defendant.</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If the Attorney General does not proceed with a </w:t>
      </w:r>
      <w:r>
        <w:rPr>
          <w:rFonts w:ascii="Verdana" w:hAnsi="Verdana" w:eastAsia="Verdana" w:cs="Verdana"/>
          <w:i/>
          <w:iCs/>
          <w:sz w:val="24"/>
          <w:szCs w:val="24"/>
        </w:rPr>
        <w:t xml:space="preserve">qui tam</w:t>
      </w:r>
      <w:r>
        <w:rPr>
          <w:rFonts w:ascii="Verdana" w:hAnsi="Verdana" w:eastAsia="Verdana" w:cs="Verdana"/>
          <w:sz w:val="24"/>
          <w:szCs w:val="24"/>
        </w:rPr>
        <w:t xml:space="preserve"> action, the relator shall receive an amount which the court decides is reasonable for collecting the civil penalty and damages. The amount may not be less than twenty-five percent and not more than thirty percent of the proceeds of the action or settlement and must be paid out of the proceeds. The relator must also receive an amount for reasonable expenses, which the court finds to have been necessarily incurred, plus reasonable attorneys’ fees and costs. All expenses, fees, and costs must be awarded against the defendant.</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Whether or not the Attorney General proceeds with the </w:t>
      </w:r>
      <w:r>
        <w:rPr>
          <w:rFonts w:ascii="Verdana" w:hAnsi="Verdana" w:eastAsia="Verdana" w:cs="Verdana"/>
          <w:i/>
          <w:iCs/>
          <w:sz w:val="24"/>
          <w:szCs w:val="24"/>
        </w:rPr>
        <w:t xml:space="preserve">qui</w:t>
      </w:r>
      <w:r>
        <w:rPr>
          <w:rFonts w:ascii="Verdana" w:hAnsi="Verdana" w:eastAsia="Verdana" w:cs="Verdana"/>
          <w:sz w:val="24"/>
          <w:szCs w:val="24"/>
        </w:rPr>
        <w:t xml:space="preserve"> </w:t>
      </w:r>
      <w:r>
        <w:rPr>
          <w:rFonts w:ascii="Verdana" w:hAnsi="Verdana" w:eastAsia="Verdana" w:cs="Verdana"/>
          <w:i/>
          <w:iCs/>
          <w:sz w:val="24"/>
          <w:szCs w:val="24"/>
        </w:rPr>
        <w:t xml:space="preserve">tam</w:t>
      </w:r>
      <w:r>
        <w:rPr>
          <w:rFonts w:ascii="Verdana" w:hAnsi="Verdana" w:eastAsia="Verdana" w:cs="Verdana"/>
          <w:sz w:val="24"/>
          <w:szCs w:val="24"/>
        </w:rPr>
        <w:t xml:space="preserve"> action, if the court finds that the action was brought by a person who planned and initiated the violation of the Washington Medicaid Fraud False Claims Act upon which the action was brought, then the court may, to the extent the court considers appropriate, reduce the share of the proceeds of the action which the person would otherwise receive under subsection a-d of this section, taking into account the role of that person in advancing the case to litigation and any relevant circumstances pertaining to the violation. If the person bringing the action is convicted of criminal conduct arising from his or her role in the violation of the Washington Medicaid Fraud False Claims Act, that person must be dismissed from the civil action and may not receive any share of the proceeds of the action. The dismissal may not prejudice the right of the state to continue the action, represented by the Attorney General.</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If the Attorney General does not proceed with the </w:t>
      </w:r>
      <w:r>
        <w:rPr>
          <w:rFonts w:ascii="Verdana" w:hAnsi="Verdana" w:eastAsia="Verdana" w:cs="Verdana"/>
          <w:i/>
          <w:iCs/>
          <w:sz w:val="24"/>
          <w:szCs w:val="24"/>
        </w:rPr>
        <w:t xml:space="preserve">qui tam</w:t>
      </w:r>
      <w:r>
        <w:rPr>
          <w:rFonts w:ascii="Verdana" w:hAnsi="Verdana" w:eastAsia="Verdana" w:cs="Verdana"/>
          <w:sz w:val="24"/>
          <w:szCs w:val="24"/>
        </w:rPr>
        <w:t xml:space="preserve"> action and the relator conducts the action, the court may award to the defendant reasonable attorneys’ fees and expenses if the defendant prevails in the action and the court finds that the claim of the relator was clearly frivolous, clearly vexatious, or brought primarily for purposes of harassment.</w:t>
      </w:r>
    </w:p>
    <w:p>
      <w:pPr>
        <w:pStyle w:val="ListParagraph"/>
        <w:widowControl w:val="false"/>
        <w:numPr>
          <w:ilvl w:val="1"/>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Restrictions on </w:t>
      </w:r>
      <w:r>
        <w:rPr>
          <w:rFonts w:ascii="Verdana" w:hAnsi="Verdana" w:eastAsia="Verdana" w:cs="Verdana"/>
          <w:i/>
          <w:iCs/>
          <w:sz w:val="24"/>
          <w:szCs w:val="24"/>
        </w:rPr>
        <w:t xml:space="preserve">Qui Tam </w:t>
      </w:r>
      <w:r>
        <w:rPr>
          <w:rFonts w:ascii="Verdana" w:hAnsi="Verdana" w:eastAsia="Verdana" w:cs="Verdana"/>
          <w:sz w:val="24"/>
          <w:szCs w:val="24"/>
        </w:rPr>
        <w:t xml:space="preserve">Suits.</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no event may a person bring a </w:t>
      </w:r>
      <w:r>
        <w:rPr>
          <w:rFonts w:ascii="Verdana" w:hAnsi="Verdana" w:eastAsia="Verdana" w:cs="Verdana"/>
          <w:i/>
          <w:iCs/>
          <w:sz w:val="24"/>
          <w:szCs w:val="24"/>
        </w:rPr>
        <w:t xml:space="preserve">qui tam</w:t>
      </w:r>
      <w:r>
        <w:rPr>
          <w:rFonts w:ascii="Verdana" w:hAnsi="Verdana" w:eastAsia="Verdana" w:cs="Verdana"/>
          <w:sz w:val="24"/>
          <w:szCs w:val="24"/>
        </w:rPr>
        <w:t xml:space="preserve"> action which is based upon allegations or transactions which are the subject of a civil suit or an administrative civil money penalty proceeding in which the state is already a party.</w:t>
      </w:r>
    </w:p>
    <w:p>
      <w:pPr>
        <w:pStyle w:val="ListParagraph"/>
        <w:widowControl w:val="false"/>
        <w:numPr>
          <w:ilvl w:val="2"/>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court must dismiss an action or claim under the Washington Medicaid Fraud False Claims Act, unless opposed by the Attorney General, if substantially the same allegations or transactions as alleged in the action or claim were publicly disclosed:</w:t>
      </w:r>
    </w:p>
    <w:p>
      <w:pPr>
        <w:pStyle w:val="ListParagraph"/>
        <w:widowControl w:val="false"/>
        <w:numPr>
          <w:ilvl w:val="3"/>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a state criminal, civil, or administrative hearing in which the attorney general or other governmental [government] entity is a party;</w:t>
      </w:r>
    </w:p>
    <w:p>
      <w:pPr>
        <w:pStyle w:val="ListParagraph"/>
        <w:widowControl w:val="false"/>
        <w:numPr>
          <w:ilvl w:val="3"/>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a legislative report, or other state report, hearing, audit, or investigation; or</w:t>
      </w:r>
    </w:p>
    <w:p>
      <w:pPr>
        <w:pStyle w:val="ListParagraph"/>
        <w:widowControl w:val="false"/>
        <w:numPr>
          <w:ilvl w:val="3"/>
          <w:numId w:val="81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By the news media;</w:t>
      </w:r>
    </w:p>
    <w:p>
      <w:pPr>
        <w:widowControl w:val="false"/>
        <w:overflowPunct w:val="false"/>
        <w:autoSpaceDE w:val="false"/>
        <w:autoSpaceDN w:val="false"/>
        <w:adjustRightInd w:val="false"/>
        <w:spacing w:after="0" w:line="249" w:lineRule="auto"/>
        <w:ind w:left="2232"/>
        <w:rPr>
          <w:rFonts w:ascii="Verdana" w:hAnsi="Verdana" w:eastAsia="Verdana" w:cs="Verdana"/>
          <w:szCs w:val="24"/>
        </w:rPr>
      </w:pPr>
      <w:r>
        <w:rPr>
          <w:rFonts w:ascii="Verdana" w:hAnsi="Verdana" w:eastAsia="Verdana" w:cs="Verdana"/>
          <w:szCs w:val="24"/>
        </w:rPr>
        <w:t xml:space="preserve">unless the action is brought by the attorney general or the relator is an original source of the information.</w:t>
      </w:r>
    </w:p>
    <w:p>
      <w:pPr>
        <w:pStyle w:val="ListParagraph"/>
        <w:widowControl w:val="false"/>
        <w:numPr>
          <w:ilvl w:val="4"/>
          <w:numId w:val="820"/>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“original source” means an individual who either (</w:t>
      </w:r>
      <w:r>
        <w:rPr>
          <w:rFonts w:ascii="Verdana" w:hAnsi="Verdana" w:eastAsia="Verdana" w:cs="Verdana"/>
          <w:sz w:val="24"/>
          <w:szCs w:val="24"/>
        </w:rPr>
        <w:t xml:space="preserve">i</w:t>
      </w:r>
      <w:r>
        <w:rPr>
          <w:rFonts w:ascii="Verdana" w:hAnsi="Verdana" w:eastAsia="Verdana" w:cs="Verdana"/>
          <w:sz w:val="24"/>
          <w:szCs w:val="24"/>
        </w:rPr>
        <w:t xml:space="preserve">) prior to a public disclosure has voluntarily disclosed to the attorney general the information on which allegations or transactions in a claim are based, or (ii) has knowledge that is independent of, and materially adds to, the publicly disclosed allegations or transactions, and who has voluntarily provided the information to the attorney general before filing an action.</w:t>
      </w:r>
    </w:p>
    <w:p>
      <w:pPr>
        <w:pStyle w:val="ListParagraph"/>
        <w:widowControl w:val="false"/>
        <w:numPr>
          <w:ilvl w:val="1"/>
          <w:numId w:val="820"/>
        </w:numPr>
        <w:overflowPunct w:val="false"/>
        <w:autoSpaceDE w:val="false"/>
        <w:autoSpaceDN w:val="false"/>
        <w:adjustRightInd w:val="false"/>
        <w:spacing w:after="0" w:line="249" w:lineRule="auto"/>
        <w:rPr>
          <w:rFonts w:ascii="Verdana" w:hAnsi="Verdana" w:eastAsia="Verdana" w:cs="Verdana"/>
          <w:sz w:val="24"/>
          <w:szCs w:val="24"/>
        </w:rPr>
      </w:pPr>
      <w:r>
        <w:rPr>
          <w:rFonts w:ascii="Verdana" w:hAnsi="Verdana" w:eastAsia="Verdana" w:cs="Verdana"/>
          <w:sz w:val="24"/>
          <w:szCs w:val="24"/>
        </w:rPr>
        <w:t xml:space="preserve">Whistleblower Relief.</w:t>
      </w:r>
    </w:p>
    <w:p>
      <w:pPr>
        <w:pStyle w:val="ListParagraph"/>
        <w:widowControl w:val="false"/>
        <w:numPr>
          <w:ilvl w:val="2"/>
          <w:numId w:val="821"/>
        </w:numPr>
        <w:overflowPunct w:val="false"/>
        <w:autoSpaceDE w:val="false"/>
        <w:autoSpaceDN w:val="false"/>
        <w:adjustRightInd w:val="false"/>
        <w:spacing w:after="0" w:line="249" w:lineRule="auto"/>
        <w:rPr>
          <w:rFonts w:ascii="Verdana" w:hAnsi="Verdana" w:eastAsia="Verdana" w:cs="Verdana"/>
          <w:sz w:val="24"/>
          <w:szCs w:val="24"/>
        </w:rPr>
      </w:pPr>
      <w:r>
        <w:rPr>
          <w:rFonts w:ascii="Verdana" w:hAnsi="Verdana" w:eastAsia="Verdana" w:cs="Verdana"/>
          <w:sz w:val="24"/>
          <w:szCs w:val="24"/>
        </w:rPr>
        <w:t xml:space="preserve">Any employee, contractor, or agent is entitled to all relief necessary to make that employee, contractor, or agent whole, if that employee, contractor, or agent, is discharged, demoted, suspended, threatened, harassed, or in any other manner discriminated against in the terms and conditions of employment because of lawful acts done by the employee, contractor, agent, or associated others in furtherance of an action under this chapter or other efforts to stop one or more violations of the Washington Medicaid Fraud False Claims Act.</w:t>
      </w:r>
    </w:p>
    <w:p>
      <w:pPr>
        <w:pStyle w:val="ListParagraph"/>
        <w:widowControl w:val="false"/>
        <w:numPr>
          <w:ilvl w:val="2"/>
          <w:numId w:val="821"/>
        </w:numPr>
        <w:overflowPunct w:val="false"/>
        <w:autoSpaceDE w:val="false"/>
        <w:autoSpaceDN w:val="false"/>
        <w:adjustRightInd w:val="false"/>
        <w:spacing w:after="0" w:line="249" w:lineRule="auto"/>
        <w:rPr>
          <w:rFonts w:ascii="Verdana" w:hAnsi="Verdana" w:eastAsia="Verdana" w:cs="Verdana"/>
          <w:sz w:val="24"/>
          <w:szCs w:val="24"/>
        </w:rPr>
      </w:pPr>
      <w:r>
        <w:rPr>
          <w:rFonts w:ascii="Verdana" w:hAnsi="Verdana" w:eastAsia="Verdana" w:cs="Verdana"/>
          <w:sz w:val="24"/>
          <w:szCs w:val="24"/>
        </w:rPr>
        <w:t xml:space="preserve">Relief must include reinstatement with the same seniority status that employee, contractor, or agent would have had but for the discrimination, two times the amount of back pay, interest on the back pay, and compensation for any special damages sustained as a result of the discrimination, including litigation costs and reasonable attorneys’ fees, and any and all relief available under RCW 49.60.030(2). An action under this subsection may be brought in the appropriate superior court of the state of Washington for the relief provided in this subsection.</w:t>
      </w:r>
    </w:p>
    <w:p>
      <w:pPr>
        <w:pStyle w:val="ListParagraph"/>
        <w:widowControl w:val="false"/>
        <w:numPr>
          <w:ilvl w:val="2"/>
          <w:numId w:val="821"/>
        </w:numPr>
        <w:overflowPunct w:val="false"/>
        <w:autoSpaceDE w:val="false"/>
        <w:autoSpaceDN w:val="false"/>
        <w:adjustRightInd w:val="false"/>
        <w:spacing w:after="0" w:line="249" w:lineRule="auto"/>
        <w:rPr>
          <w:rFonts w:ascii="Verdana" w:hAnsi="Verdana" w:eastAsia="Verdana" w:cs="Verdana"/>
          <w:sz w:val="24"/>
          <w:szCs w:val="24"/>
        </w:rPr>
      </w:pPr>
      <w:r>
        <w:rPr>
          <w:rFonts w:ascii="Verdana" w:hAnsi="Verdana" w:eastAsia="Verdana" w:cs="Verdana"/>
          <w:sz w:val="24"/>
          <w:szCs w:val="24"/>
        </w:rPr>
        <w:t xml:space="preserve">A civil action under this section may not be brought more than three years after the date when the retaliation occurred.</w:t>
      </w:r>
    </w:p>
    <w:p>
      <w:pPr>
        <w:pStyle w:val="ListParagraph"/>
        <w:widowControl w:val="false"/>
        <w:numPr>
          <w:ilvl w:val="0"/>
          <w:numId w:val="821"/>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Public Assistance Fraud (Wash. Rev. Code §§ 74.09.210-230).</w:t>
      </w:r>
    </w:p>
    <w:p>
      <w:pPr>
        <w:pStyle w:val="ListParagraph"/>
        <w:widowControl w:val="false"/>
        <w:numPr>
          <w:ilvl w:val="1"/>
          <w:numId w:val="82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Under Washington’s public assistance laws, no person, firm, corporation, partnership, association, agency, institution, or other legal entity, shall, on behalf of himself or herself or others, obtain or attempt to obtain public assistance benefits or payments in a greater amount than that to which entitled by means of:</w:t>
      </w:r>
    </w:p>
    <w:p>
      <w:pPr>
        <w:pStyle w:val="ListParagraph"/>
        <w:widowControl w:val="false"/>
        <w:numPr>
          <w:ilvl w:val="2"/>
          <w:numId w:val="82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willful false statement;</w:t>
      </w:r>
    </w:p>
    <w:p>
      <w:pPr>
        <w:pStyle w:val="ListParagraph"/>
        <w:widowControl w:val="false"/>
        <w:numPr>
          <w:ilvl w:val="2"/>
          <w:numId w:val="82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By willful misrepresentation, or by concealment of any material facts; or</w:t>
      </w:r>
    </w:p>
    <w:p>
      <w:pPr>
        <w:pStyle w:val="ListParagraph"/>
        <w:widowControl w:val="false"/>
        <w:numPr>
          <w:ilvl w:val="2"/>
          <w:numId w:val="822"/>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By other fraudulent scheme or device, including, but not limited to:</w:t>
      </w:r>
    </w:p>
    <w:p>
      <w:pPr>
        <w:pStyle w:val="ListParagraph"/>
        <w:widowControl w:val="false"/>
        <w:numPr>
          <w:ilvl w:val="3"/>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Billing for services, drugs, supplies, or equipment that were unfurnished, of lower quality, or a substitution or misrepresentation of items billed; or</w:t>
      </w:r>
    </w:p>
    <w:p>
      <w:pPr>
        <w:pStyle w:val="ListParagraph"/>
        <w:widowControl w:val="false"/>
        <w:numPr>
          <w:ilvl w:val="3"/>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Repeated billing for purportedly covered items, which were not in fact so covered.</w:t>
      </w:r>
    </w:p>
    <w:p>
      <w:pPr>
        <w:pStyle w:val="ListParagraph"/>
        <w:widowControl w:val="false"/>
        <w:numPr>
          <w:ilvl w:val="2"/>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person or entity knowingly violating any of the provisions of this subsection shall be liable for repayment of any excess benefits or payments received, plus interest at the rate and in the manner provided in RCW 43.20B.695. Such person or other entity shall further, in addition to any other penalties provided by law, be subject to civil penalties. The director or the Attorney General may assess civil penalties in an amount not to exceed three times the amount of such excess benefits or payments: provided, that these civil penalties shall not apply to any acts or omissions occurring prior to September 1, 1979. RCW 43.20A.215 governs notice of a civil fine assessed by the director and provides the right to an adjudicative proceeding.</w:t>
      </w:r>
    </w:p>
    <w:p>
      <w:pPr>
        <w:pStyle w:val="ListParagraph"/>
        <w:widowControl w:val="false"/>
        <w:numPr>
          <w:ilvl w:val="1"/>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Penalty for Unlawful Conduct.</w:t>
      </w:r>
    </w:p>
    <w:p>
      <w:pPr>
        <w:pStyle w:val="ListParagraph"/>
        <w:widowControl w:val="false"/>
        <w:numPr>
          <w:ilvl w:val="2"/>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who violates this provision may be found guilty of a class C felony, punishable by up to five years in prison or a fine of up to $10,000.00-$25,000.00 or by both prison and such fine. In addition, civil penalties may be imposed.  A person who violates this provision may also be required to repay any excess benefits received from the state, plus interest, in addition to civil penalties up to three times the amount of the excess benefits.</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Whistleblower Protection (Wash. Rev. Code § 43.70.075; Wash. Admin. Code §§ 246-15-010 </w:t>
      </w:r>
      <w:r>
        <w:rPr>
          <w:rFonts w:ascii="Verdana" w:hAnsi="Verdana" w:eastAsia="Verdana" w:cs="Verdana"/>
          <w:i/>
          <w:iCs/>
          <w:sz w:val="24"/>
          <w:szCs w:val="24"/>
        </w:rPr>
        <w:t xml:space="preserve">et seq</w:t>
      </w:r>
      <w:r>
        <w:rPr>
          <w:rFonts w:ascii="Verdana" w:hAnsi="Verdana" w:eastAsia="Verdana" w:cs="Verdana"/>
          <w:sz w:val="24"/>
          <w:szCs w:val="24"/>
        </w:rPr>
        <w:t xml:space="preserve">.).</w:t>
      </w:r>
    </w:p>
    <w:p>
      <w:pPr>
        <w:pStyle w:val="ListParagraph"/>
        <w:widowControl w:val="false"/>
        <w:numPr>
          <w:ilvl w:val="1"/>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Under Washington law, the identity of a whistleblower (which is defined as a consumer, employee, or health care professional including a health care provider as defined in RCW 7.70.020(1) or member of a medical staff at a health care facility, who in good faith reports alleged quality of care concerns to the department of health or initiates, participates, or cooperates in any investigation or administrative proceeding) must remain confidential if that whistleblower:</w:t>
      </w:r>
    </w:p>
    <w:p>
      <w:pPr>
        <w:pStyle w:val="ListParagraph"/>
        <w:widowControl w:val="false"/>
        <w:numPr>
          <w:ilvl w:val="2"/>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Complains, in good faith, to the Department of Health (“DOH”) about the improper quality of care by a health care provider, or in a health care facility;</w:t>
      </w:r>
    </w:p>
    <w:p>
      <w:pPr>
        <w:pStyle w:val="ListParagraph"/>
        <w:widowControl w:val="false"/>
        <w:numPr>
          <w:ilvl w:val="3"/>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Improper quality of care means any practice, procedure, action, or failure to act that violates any state law or rule of the applicable state health licensing authority under Title 18 RCW or chapters 70.41, 70.96A, 70.127, 70.175, 71.05, 71.12, and 71.24 RCW, and enforced by the DOH. Improper quality of care does not include good faith personnel actions related to employee performance or actions taken according to established terms and conditions of employment. Good faith personnel action will not prevent investigations of alleged improper quality of care.</w:t>
      </w:r>
    </w:p>
    <w:p>
      <w:pPr>
        <w:pStyle w:val="ListParagraph"/>
        <w:widowControl w:val="false"/>
        <w:numPr>
          <w:ilvl w:val="2"/>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Initiates in good faith any investigation or administrative proceeding about a complaint of improper quality of care made to the DOH under relevant DOH laws and regulations; or</w:t>
      </w:r>
    </w:p>
    <w:p>
      <w:pPr>
        <w:pStyle w:val="ListParagraph"/>
        <w:widowControl w:val="false"/>
        <w:numPr>
          <w:ilvl w:val="2"/>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Submits a notification or report of an adverse event or an incident, in good faith, to the DOH under RCW 70.56.020 or to the independent entity under RCW 70.56.040.</w:t>
      </w:r>
    </w:p>
    <w:p>
      <w:pPr>
        <w:pStyle w:val="ListParagraph"/>
        <w:widowControl w:val="false"/>
        <w:numPr>
          <w:ilvl w:val="1"/>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provisions of RCW 4.24.500 through 4.24.520, providing certain protections to persons who communicate to government agencies, shall apply to complaints and notifications or reports of adverse events or incidents filed under this section. The identity of the whistleblower shall remain confidential unless the department determines that the complaint, initiation, notification, or report was not made or done in good faith.</w:t>
      </w:r>
    </w:p>
    <w:p>
      <w:pPr>
        <w:pStyle w:val="ListParagraph"/>
        <w:widowControl w:val="false"/>
        <w:numPr>
          <w:ilvl w:val="1"/>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 employee who is a whistleblower and who as a result of being a whistleblower has been subjected to workplace reprisal or retaliatory action has the remedies provided under chapter 49.60 RCW.</w:t>
      </w:r>
    </w:p>
    <w:p>
      <w:pPr>
        <w:pStyle w:val="ListParagraph"/>
        <w:widowControl w:val="false"/>
        <w:numPr>
          <w:ilvl w:val="1"/>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whistleblower who is not an employee and who as a result of being a whistleblower has been subjected to reprisal or retaliatory action may initiate a civil action in a court of competent jurisdiction to either enjoin further violations, recover actual damages sustained by the whistleblower, or both, and recover the cost of the suit including reasonable attorneys’ fees. The court shall award reasonable attorneys’ fees in favor of the respondent if the civil action was initiated by a whistleblower who is not an employee and the court finds that the respondent has not engaged in the alleged reprisal or retaliatory action and that the complaint was frivolous, unreasonable, or groundless.</w:t>
      </w:r>
    </w:p>
    <w:p>
      <w:pPr>
        <w:pStyle w:val="ListParagraph"/>
        <w:widowControl w:val="false"/>
        <w:numPr>
          <w:ilvl w:val="2"/>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Reprisal or retaliatory action means but is not limited to: Denial of adequate staff to perform duties; frequent staff changes; frequent and undesirable office changes; refusal to assign meaningful work; unwarranted and unsubstantiated report of misconduct pursuant to Title 18 RCW; letters of reprimand or unsatisfactory performance evaluations; demotion; reduction in pay; denial of promotion; suspension; dismissal; denial of employment; a supervisor or superior encouraging coworkers to behave in a hostile manner toward the whistleblower; and the revocation, suspension, or reduction of medical staff membership or privileges without following a medical staff sanction process.</w:t>
      </w:r>
    </w:p>
    <w:p>
      <w:pPr>
        <w:pStyle w:val="ListParagraph"/>
        <w:widowControl w:val="false"/>
        <w:numPr>
          <w:ilvl w:val="1"/>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civil action under this section may not be brought more than two years after the date when the retaliation occurred.</w:t>
      </w:r>
    </w:p>
    <w:p>
      <w:pPr>
        <w:pStyle w:val="ListParagraph"/>
        <w:widowControl w:val="false"/>
        <w:numPr>
          <w:ilvl w:val="1"/>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Rights and responsibilities--Whistleblower and the DOH</w:t>
      </w:r>
    </w:p>
    <w:p>
      <w:pPr>
        <w:pStyle w:val="ListParagraph"/>
        <w:widowControl w:val="false"/>
        <w:numPr>
          <w:ilvl w:val="2"/>
          <w:numId w:val="82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person who in good faith communicates a complaint or information is:</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Immune from civil liability on claims based upon that communication to the department under RCW 4.24.510;</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Entitled to recover costs and reasonable attorneys' fees incurred in establishing a defense under RCW 4.24.510 if prevailing upon the defense; and</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Afforded the protections and remedies of the human rights commission pursuant to chapter 49.60 RCW. The DOH will refer whistleblowers expressing concern about reprisal or retaliatory action to the human rights commission.</w:t>
      </w:r>
    </w:p>
    <w:p>
      <w:pPr>
        <w:pStyle w:val="ListParagraph"/>
        <w:widowControl w:val="false"/>
        <w:numPr>
          <w:ilvl w:val="2"/>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DOH will protect the identity of the whistleblower by revealing it only:</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To appropriate department staff or disciplining authority member;</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By court order; or</w:t>
      </w:r>
    </w:p>
    <w:p>
      <w:pPr>
        <w:pStyle w:val="ListParagraph"/>
        <w:widowControl w:val="false"/>
        <w:numPr>
          <w:ilvl w:val="3"/>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If the complaint is not in good faith.</w:t>
      </w:r>
    </w:p>
    <w:p>
      <w:pPr>
        <w:pStyle w:val="ListParagraph"/>
        <w:widowControl w:val="false"/>
        <w:numPr>
          <w:ilvl w:val="0"/>
          <w:numId w:val="825"/>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Liability of Persons Willfully Obtaining Erroneous Payments; Civil Penalties (Wash. Rev. Code § 51.48.250).</w:t>
      </w:r>
    </w:p>
    <w:p>
      <w:pPr>
        <w:pStyle w:val="ListParagraph"/>
        <w:widowControl w:val="false"/>
        <w:numPr>
          <w:ilvl w:val="1"/>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No person, firm, corporation, partnership, association, agency, institution, or other legal entity, but not including an industrially injured recipient of health service, shall, on behalf of himself or herself or others, obtain or attempt to obtain payments under this chapter in a greater amount than that to which entitled by means of:</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willful false statement;</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Willful misrepresentation, or by concealment of any material facts; or</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Other fraudulent scheme or device, including, but not limited to:</w:t>
      </w:r>
    </w:p>
    <w:p>
      <w:pPr>
        <w:pStyle w:val="ListParagraph"/>
        <w:widowControl w:val="false"/>
        <w:numPr>
          <w:ilvl w:val="3"/>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Billing for services, drugs, supplies, or equipment that were not furnished, of lower quality, or a substitution or misrepresentation of items billed; or</w:t>
      </w:r>
    </w:p>
    <w:p>
      <w:pPr>
        <w:pStyle w:val="ListParagraph"/>
        <w:widowControl w:val="false"/>
        <w:numPr>
          <w:ilvl w:val="3"/>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Repeated billing for purportedly covered items, which were not in fact so covered.</w:t>
      </w:r>
    </w:p>
    <w:p>
      <w:pPr>
        <w:pStyle w:val="ListParagraph"/>
        <w:widowControl w:val="false"/>
        <w:numPr>
          <w:ilvl w:val="1"/>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person, firm, corporation, partnership, association, agency, institution, or other legal entity knowingly violating any of the provisions of subsection A of this section shall be liable for repayment of any excess payments received, plus interest on the amount of the excess benefits or payments at the rate of one percent each month for the period from the date upon which payment was made to the date upon which repayment is made to the state. Such person or other entity shall further, in addition to any other penalties provided by law, be subject to civil penalties. The director of the department of labor and industries may assess civil penalties in an amount not to exceed the greater of one thousand dollars or three times the amount of such excess benefits or payments: provided, that these civil penalties shall not apply to any acts or omissions occurring prior to April 1, 1986.</w:t>
      </w:r>
    </w:p>
    <w:p>
      <w:pPr>
        <w:pStyle w:val="ListParagraph"/>
        <w:widowControl w:val="false"/>
        <w:numPr>
          <w:ilvl w:val="0"/>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Kickbacks, bribes, and rebates — Representation fees — Criminal liability — Exceptions (Wash. Code § 51.48.280).</w:t>
      </w:r>
    </w:p>
    <w:p>
      <w:pPr>
        <w:pStyle w:val="ListParagraph"/>
        <w:widowControl w:val="false"/>
        <w:numPr>
          <w:ilvl w:val="1"/>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It is a class C felony for any person, firm, corporation, partnership, association, agency, institution, or other legal entity to solicit or receive any remuneration (including any kickback, bribe, or rebate) directly or indirectly, overtly or covertly, in cash or in kind:</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return for referring an individual to a person for the furnishing or arranging for the furnishing of any item or service for which payment may be made in whole or in part under this chapter; or </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return for purchasing, leasing, ordering, or arranging for or recommending purchasing, leasing, or ordering any goods, facility, service, or item for which payment may be made in whole or in part under this chapter.</w:t>
      </w:r>
    </w:p>
    <w:p>
      <w:pPr>
        <w:pStyle w:val="ListParagraph"/>
        <w:widowControl w:val="false"/>
        <w:numPr>
          <w:ilvl w:val="1"/>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It is a class C felony for any person, firm, corporation, partnership, association, agency, institution, or other legal entity to offer or pay any remuneration (including any kickback, bribe, or rebate) directly or indirectly, overtly or covertly, in cash or in kind to any person to induce such person:</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To refer an individual to a person for the furnishing or arranging for the furnishing of any item or service for which payment may be made, in whole or in part, under this chapter; or</w:t>
      </w:r>
    </w:p>
    <w:p>
      <w:pPr>
        <w:pStyle w:val="ListParagraph"/>
        <w:widowControl w:val="false"/>
        <w:numPr>
          <w:ilvl w:val="2"/>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To purchase, lease, order, or arrange for or recommend purchasing, leasing, or ordering any goods, facility, service, or item for which payment may be made in whole or in part under this chapter.</w:t>
      </w:r>
    </w:p>
    <w:p>
      <w:pPr>
        <w:pStyle w:val="ListParagraph"/>
        <w:widowControl w:val="false"/>
        <w:numPr>
          <w:ilvl w:val="1"/>
          <w:numId w:val="826"/>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health services provider who (a) provides a health care service to a claimant, while acting as the claimant’s representative for the purpose of obtaining authorization for the services, and (b) charges a percentage of the claimant’s benefits or other fee for acting as the claimant’s representative under this title is guilty of a gross misdemeanor.</w:t>
      </w:r>
    </w:p>
    <w:p>
      <w:pPr>
        <w:pStyle w:val="ListParagraph"/>
        <w:widowControl w:val="false"/>
        <w:numPr>
          <w:ilvl w:val="1"/>
          <w:numId w:val="826"/>
        </w:numPr>
        <w:overflowPunct w:val="false"/>
        <w:autoSpaceDE w:val="false"/>
        <w:autoSpaceDN w:val="false"/>
        <w:adjustRightInd w:val="false"/>
        <w:spacing w:after="0" w:line="249" w:lineRule="auto"/>
        <w:jc w:val="both"/>
        <w:rPr>
          <w:rFonts w:ascii="Verdana" w:hAnsi="Verdana" w:eastAsia="Verdana" w:cs="Verdana"/>
          <w:sz w:val="24"/>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 w:val="24"/>
          <w:szCs w:val="24"/>
        </w:rPr>
        <w:t xml:space="preserve">Any fine imposed as a result of a violation of subsection A, B, or C, of this section shall not be in an amount more than twenty-five thousand dollars, except as authorized by RCW 9A.20.030.</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w:t>
      </w:r>
      <w:r>
        <w:rPr>
          <w:rFonts w:ascii="Verdana" w:hAnsi="Verdana" w:eastAsia="Verdana" w:cs="Verdana"/>
          <w:szCs w:val="24"/>
        </w:rPr>
        <w:t xml:space="preserve">, </w:t>
      </w:r>
      <w:r>
        <w:rPr>
          <w:rFonts w:ascii="Verdana" w:hAnsi="Verdana" w:eastAsia="Verdana" w:cs="Verdana"/>
          <w:szCs w:val="24"/>
        </w:rPr>
        <w:t xml:space="preserve">,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27"/>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2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2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2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2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28"/>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misrepresentation of the resident’s status, the submission of false claims and potential enforcement actions.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2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2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2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29"/>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w:t>
      </w:r>
      <w:r>
        <w:rPr>
          <w:rFonts w:ascii="Verdana" w:hAnsi="Verdana" w:eastAsia="Verdana" w:cs="Times New Roman"/>
          <w:b/>
          <w:bCs/>
          <w:lang w:bidi="ar-SA"/>
        </w:rPr>
        <w:t xml:space="preserve">Washington</w:t>
      </w:r>
      <w:r>
        <w:rPr>
          <w:rFonts w:ascii="Verdana" w:hAnsi="Verdana" w:eastAsia="Verdana" w:cs="Times New Roman"/>
          <w:lang w:bidi="ar-SA"/>
        </w:rPr>
        <w:t xml:space="preserve"> Provider Termination and Exclusion List available at</w:t>
      </w:r>
      <w:r>
        <w:rPr>
          <w:rFonts w:ascii="Verdana" w:hAnsi="Verdana" w:eastAsia="Verdana" w:cs="Times New Roman"/>
          <w:color w:val="FF0000"/>
          <w:lang w:bidi="ar-SA"/>
        </w:rPr>
        <w:t xml:space="preserve"> </w:t>
      </w:r>
      <w:r>
        <w:rPr/>
        <w:fldChar w:fldCharType="begin"/>
      </w:r>
      <w:r>
        <w:rPr/>
        <w:instrText xml:space="preserve">HYPERLINK "https://www.hca.wa.gov/billers-providers-partners/apple-health-medicaid-providers/provider-termination-and-exclusion-list" </w:instrText>
      </w:r>
      <w:r>
        <w:rPr/>
        <w:fldChar w:fldCharType="separate"/>
      </w:r>
      <w:r>
        <w:rPr>
          <w:rStyle w:val="Hyperlink"/>
          <w:rFonts w:ascii="Verdana" w:hAnsi="Verdana" w:eastAsia="Verdana"/>
          <w:lang w:bidi="ar-SA"/>
        </w:rPr>
        <w:t xml:space="preserve">https://www.hca.wa.gov/billers-providers-partners/apple-health-medicaid-providers/provider-termination-and-exclusion-list</w:t>
      </w:r>
      <w:r>
        <w:rPr/>
        <w:fldChar w:fldCharType="end"/>
      </w:r>
      <w:r>
        <w:rPr>
          <w:rFonts w:ascii="Verdana" w:hAnsi="Verdana" w:eastAsia="Verdana" w:cs="Times New Roman"/>
          <w:color w:val="FF0000"/>
          <w:lang w:bidi="ar-SA"/>
        </w:rPr>
        <w:t xml:space="preserv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FF0000"/>
          <w:lang w:bidi="ar-SA"/>
        </w:rPr>
      </w:pPr>
      <w:r>
        <w:rPr>
          <w:rFonts w:ascii="Verdana" w:hAnsi="Verdana" w:eastAsia="Verdana" w:cs="Times New Roman"/>
          <w:lang w:bidi="ar-SA"/>
        </w:rPr>
        <w:t xml:space="preserve">Reviewing the Washington Provider Termination and Exclusion List available at </w:t>
      </w:r>
      <w:r>
        <w:rPr/>
        <w:fldChar w:fldCharType="begin"/>
      </w:r>
      <w:r>
        <w:rPr/>
        <w:instrText xml:space="preserve">HYPERLINK "https://www.hca.wa.gov/billers-providers-partners/apple-health-medicaid-providers/provider-termination-and-exclusion-list" </w:instrText>
      </w:r>
      <w:r>
        <w:rPr/>
        <w:fldChar w:fldCharType="separate"/>
      </w:r>
      <w:r>
        <w:rPr>
          <w:rStyle w:val="Hyperlink"/>
          <w:rFonts w:ascii="Verdana" w:hAnsi="Verdana" w:eastAsia="Verdana"/>
          <w:lang w:bidi="ar-SA"/>
        </w:rPr>
        <w:t xml:space="preserve">https://www.hca.wa.gov/billers-providers-partners/apple-health-medicaid-providers/provider-termination-and-exclusion-list</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FF0000"/>
          <w:lang w:bidi="ar-SA"/>
        </w:rPr>
      </w:pPr>
      <w:r>
        <w:rPr>
          <w:rFonts w:ascii="Verdana" w:hAnsi="Verdana" w:eastAsia="Verdana" w:cs="Times New Roman"/>
          <w:lang w:bidi="ar-SA"/>
        </w:rPr>
        <w:t xml:space="preserve">Reviewing the Washington Provider Termination and Exclusion List available at </w:t>
      </w:r>
      <w:r>
        <w:rPr/>
        <w:fldChar w:fldCharType="begin"/>
      </w:r>
      <w:r>
        <w:rPr/>
        <w:instrText xml:space="preserve">HYPERLINK "https://www.hca.wa.gov/billers-providers-partners/apple-health-medicaid-providers/provider-termination-and-exclusion-list" </w:instrText>
      </w:r>
      <w:r>
        <w:rPr/>
        <w:fldChar w:fldCharType="separate"/>
      </w:r>
      <w:r>
        <w:rPr>
          <w:rStyle w:val="Hyperlink"/>
          <w:rFonts w:ascii="Verdana" w:hAnsi="Verdana" w:eastAsia="Verdana"/>
          <w:lang w:bidi="ar-SA"/>
        </w:rPr>
        <w:t xml:space="preserve">https://www.hca.wa.gov/billers-providers-partners/apple-health-medicaid-providers/provider-termination-and-exclusion-list</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spacing w:after="0"/>
        <w:ind w:left="1440"/>
        <w:contextualSpacing/>
        <w:rPr>
          <w:rFonts w:ascii="Verdana" w:hAnsi="Verdana" w:eastAsia="Verdana" w:cs="Times New Roman"/>
          <w:lang w:bidi="ar-SA"/>
        </w:rPr>
      </w:pP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 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 faith reporting of incidents of harassment of any kind, pursuing any harassment claim or cooperating in related investigations.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5"/>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3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3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31"/>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3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3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32"/>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32"/>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sanctioned as a resident care activity can be viewed as compromising the staff-resident relationship. Examples of boundary problems that may occur in social relationships include, but are not limited, to: </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30"/>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33"/>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33"/>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33"/>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30"/>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34"/>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30"/>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35"/>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35"/>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35"/>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5"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36"/>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36"/>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36"/>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3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3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36"/>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36"/>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36"/>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36"/>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facilitate donation and transplantation. </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36"/>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36"/>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36"/>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pPr>
        <w:widowControl w:val="false"/>
        <w:numPr>
          <w:ilvl w:val="0"/>
          <w:numId w:val="836"/>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pPr>
        <w:widowControl w:val="false"/>
        <w:numPr>
          <w:ilvl w:val="1"/>
          <w:numId w:val="83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36"/>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3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36"/>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3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3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3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3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36"/>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36"/>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3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3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36"/>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36"/>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3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3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3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3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36"/>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3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pPr>
        <w:widowControl w:val="false"/>
        <w:numPr>
          <w:ilvl w:val="1"/>
          <w:numId w:val="83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3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3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3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accommodate all reasonable requests. </w:t>
      </w:r>
    </w:p>
    <w:p>
      <w:pPr>
        <w:widowControl w:val="false"/>
        <w:numPr>
          <w:ilvl w:val="0"/>
          <w:numId w:val="836"/>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36"/>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36"/>
        </w:numPr>
        <w:tabs>
          <w:tab w:val="num" w:pos="270"/>
          <w:tab w:val="num" w:pos="36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3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3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36"/>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36"/>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3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footerReference w:type="default" r:id="rId17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37"/>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5"/>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0"/>
          <w:headerReference w:type="even" r:id="rId181"/>
          <w:headerReference w:type="default" r:id="rId18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7"/>
          <w:footerReference w:type="first" r:id="rId188"/>
          <w:headerReference w:type="even" r:id="rId189"/>
          <w:footerReference w:type="even" r:id="rId190"/>
          <w:headerReference w:type="default" r:id="rId191"/>
          <w:footerReference w:type="default" r:id="rId1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1"/>
          <w:footerReference w:type="first" r:id="rId202"/>
          <w:headerReference w:type="even" r:id="rId203"/>
          <w:footerReference w:type="even" r:id="rId204"/>
          <w:headerReference w:type="default" r:id="rId205"/>
          <w:footerReference w:type="default" r:id="rId20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1"/>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1"/>
        </w:numPr>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2"/>
          <w:footerReference w:type="first" r:id="rId233"/>
          <w:headerReference w:type="even" r:id="rId234"/>
          <w:footerReference w:type="even" r:id="rId235"/>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6"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6"/>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3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38"/>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3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38"/>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3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38"/>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38"/>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w:t>
      </w:r>
      <w:r>
        <w:rPr>
          <w:rFonts w:ascii="Verdana" w:hAnsi="Verdana" w:eastAsia="Verdana" w:cs="ArialMTPro"/>
          <w:color w:val="000000"/>
          <w:sz w:val="24"/>
          <w:szCs w:val="24"/>
        </w:rPr>
        <w:t xml:space="preserve">fifteen</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15</w:t>
      </w:r>
      <w:r>
        <w:rPr>
          <w:rFonts w:ascii="Verdana" w:hAnsi="Verdana" w:eastAsia="Verdana" w:cs="ArialMTPro"/>
          <w:color w:val="000000"/>
          <w:sz w:val="24"/>
          <w:szCs w:val="24"/>
        </w:rPr>
        <w:t xml:space="preserve">) days </w:t>
      </w:r>
      <w:r>
        <w:rPr>
          <w:rFonts w:ascii="Verdana" w:hAnsi="Verdana" w:eastAsia="Verdana" w:cs="Times"/>
          <w:sz w:val="24"/>
          <w:szCs w:val="24"/>
        </w:rPr>
        <w:t xml:space="preserve">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540"/>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3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3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3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3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3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color w:val="000000"/>
          <w:sz w:val="24"/>
          <w:szCs w:val="24"/>
        </w:rPr>
        <w:t xml:space="preserve">Preparing an explanation or summary of the PHI, if agreed to </w:t>
      </w:r>
      <w:r>
        <w:rPr>
          <w:rFonts w:ascii="Verdana" w:hAnsi="Verdana" w:eastAsia="Verdana" w:cs="ArialMTPro"/>
          <w:iCs/>
          <w:sz w:val="24"/>
          <w:szCs w:val="24"/>
        </w:rPr>
        <w:t xml:space="preserve">by the requestor, as required.</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Cs w:val="24"/>
        </w:rPr>
        <w:t xml:space="preserve">Facilities may charge $1.17 per page for the first thirty pages and $0.88 per page for all other pages.</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Cs w:val="24"/>
        </w:rPr>
        <w:t xml:space="preserve">Facilities may also charge a $26 clerical fee for searching and handling records. </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Cs w:val="24"/>
        </w:rPr>
        <w:t xml:space="preserve">If the provider personally edits confidential information from the record, as required by statute, the provider can charge the usual fee for a basic office visit.</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39"/>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39"/>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39"/>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39"/>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0"/>
          <w:footerReference w:type="default" r:id="rId26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4"/>
          <w:footerReference w:type="first" r:id="rId265"/>
          <w:headerReference w:type="even" r:id="rId266"/>
          <w:footerReference w:type="even" r:id="rId267"/>
          <w:headerReference w:type="default" r:id="rId268"/>
          <w:footerReference w:type="default" r:id="rId26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7" w:name="c_1_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8" w:name="c_1_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9" w:name="c_1_ii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0" w:name="c_1_i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1" w:name="c_1_v"/>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2" w:name="c_1_vi"/>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3" w:name="i"/>
      <w:bookmarkEnd w:id="43"/>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4" w:name="i_2_vi_B"/>
      <w:bookmarkStart w:id="45" w:name="i_2_ii"/>
      <w:bookmarkEnd w:id="44"/>
      <w:bookmarkEnd w:id="45"/>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6" w:name="i_2_iii"/>
      <w:bookmarkEnd w:id="46"/>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7" w:name="b_2_i"/>
      <w:bookmarkEnd w:id="47"/>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0"/>
          <w:footerReference w:type="first" r:id="rId271"/>
          <w:headerReference w:type="even" r:id="rId272"/>
          <w:footerReference w:type="even" r:id="rId273"/>
          <w:headerReference w:type="default" r:id="rId274"/>
          <w:footerReference w:type="default" r:id="rId2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6"/>
          <w:footerReference w:type="default" r:id="rId27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4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40"/>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4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8"/>
          <w:footerReference w:type="first" r:id="rId299"/>
          <w:headerReference w:type="even" r:id="rId300"/>
          <w:footerReference w:type="even" r:id="rId301"/>
          <w:headerReference w:type="default" r:id="rId302"/>
          <w:footerReference w:type="default" r:id="rId30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41"/>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41"/>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41"/>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41"/>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41"/>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41"/>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41"/>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41"/>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41"/>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41"/>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41"/>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41"/>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4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4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4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4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4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4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4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w:t>
      </w:r>
      <w:r>
        <w:rPr>
          <w:rFonts w:ascii="Verdana" w:hAnsi="Verdana" w:eastAsia="Verdana" w:cs="ArialMTPro"/>
          <w:szCs w:val="24"/>
        </w:rPr>
        <w:t xml:space="preserve">eight</w:t>
      </w:r>
      <w:r>
        <w:rPr>
          <w:rFonts w:ascii="Verdana" w:hAnsi="Verdana" w:eastAsia="Verdana" w:cs="ArialMTPro"/>
          <w:szCs w:val="24"/>
        </w:rPr>
        <w:t xml:space="preserve"> (</w:t>
      </w:r>
      <w:r>
        <w:rPr>
          <w:rFonts w:ascii="Verdana" w:hAnsi="Verdana" w:eastAsia="Verdana" w:cs="ArialMTPro"/>
          <w:szCs w:val="24"/>
        </w:rPr>
        <w:t xml:space="preserve">8</w:t>
      </w:r>
      <w:r>
        <w:rPr>
          <w:rFonts w:ascii="Verdana" w:hAnsi="Verdana" w:eastAsia="Verdana" w:cs="ArialMTPro"/>
          <w:szCs w:val="24"/>
        </w:rPr>
        <w:t xml:space="preserve">)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4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4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4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4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0"/>
          <w:footerReference w:type="default" r:id="rId33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32"/>
          <w:footerReference w:type="first" r:id="rId333"/>
          <w:headerReference w:type="even" r:id="rId334"/>
          <w:footerReference w:type="even" r:id="rId335"/>
          <w:headerReference w:type="default" r:id="rId336"/>
          <w:footerReference w:type="default" r:id="rId337"/>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3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7"/>
          <w:footerReference w:type="first" r:id="rId348"/>
          <w:headerReference w:type="even" r:id="rId349"/>
          <w:footerReference w:type="even" r:id="rId350"/>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7"/>
          <w:footerReference w:type="default" r:id="rId358"/>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44"/>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44"/>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45"/>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45"/>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$50</w:t>
      </w:r>
      <w:r>
        <w:rPr>
          <w:rFonts w:ascii="Verdana" w:hAnsi="Verdana" w:eastAsia="Verdana"/>
        </w:rPr>
        <w:t xml:space="preserve"> </w:t>
      </w:r>
      <w:r>
        <w:rPr>
          <w:rFonts w:ascii="Verdana" w:hAnsi="Verdana" w:eastAsia="Verdana"/>
        </w:rPr>
        <w:t xml:space="preserve">in an </w:t>
      </w:r>
      <w:r>
        <w:rPr>
          <w:rFonts w:ascii="Verdana" w:hAnsi="Verdana" w:eastAsia="Verdana"/>
        </w:rPr>
        <w:t xml:space="preserve">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exceed </w:t>
      </w:r>
      <w:r>
        <w:rPr>
          <w:rFonts w:ascii="Verdana" w:hAnsi="Verdana" w:eastAsia="Verdana"/>
        </w:rPr>
        <w:t xml:space="preserve">$50 </w:t>
      </w:r>
      <w:r>
        <w:rPr>
          <w:rFonts w:ascii="Verdana" w:hAnsi="Verdana" w:eastAsia="Verdana"/>
        </w:rPr>
        <w:t xml:space="preserve">in a non-interest bearing account, interest-bearing account, or petty cash fund.</w:t>
      </w:r>
    </w:p>
    <w:p>
      <w:pPr>
        <w:pStyle w:val="psection-3"/>
        <w:numPr>
          <w:ilvl w:val="0"/>
          <w:numId w:val="845"/>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44"/>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44"/>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4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4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4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84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4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44"/>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4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4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4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4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48"/>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4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49"/>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4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4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4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4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50"/>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5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5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5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5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50"/>
        </w:numPr>
        <w:shd w:val="clear" w:color="auto" w:fill="FFFFFF"/>
        <w:spacing w:before="0" w:beforeAutospacing="0" w:after="150" w:afterAutospacing="0"/>
        <w:jc w:val="both"/>
        <w:rPr>
          <w:rFonts w:ascii="Verdana" w:hAnsi="Verdana" w:eastAsia="Verdan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51"/>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51"/>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51"/>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851"/>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51"/>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51"/>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51"/>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51"/>
        </w:numPr>
        <w:spacing/>
        <w:contextualSpacing/>
        <w:jc w:val="both"/>
        <w:rPr>
          <w:rFonts w:ascii="Verdana" w:hAnsi="Verdana" w:eastAsia="Verdana"/>
          <w:color w:val="FF0000"/>
          <w:sz w:val="24"/>
          <w:szCs w:val="24"/>
        </w:rPr>
      </w:pPr>
      <w:r>
        <w:rPr>
          <w:rFonts w:ascii="Verdana" w:hAnsi="Verdana" w:eastAsia="Verdana"/>
          <w:sz w:val="24"/>
          <w:szCs w:val="24"/>
        </w:rPr>
        <w:t xml:space="preserve">Designated areas must be public spaces and may not include bedrooms.</w:t>
      </w:r>
      <w:r>
        <w:rPr>
          <w:rFonts w:ascii="Verdana" w:hAnsi="Verdana" w:eastAsia="Verdana"/>
          <w:color w:val="FF0000"/>
          <w:sz w:val="24"/>
          <w:szCs w:val="24"/>
        </w:rPr>
        <w:t xml:space="preserve"> </w:t>
      </w:r>
    </w:p>
    <w:p>
      <w:pPr>
        <w:pStyle w:val="ListParagraph"/>
        <w:numPr>
          <w:ilvl w:val="1"/>
          <w:numId w:val="851"/>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51"/>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51"/>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51"/>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51"/>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51"/>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51"/>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51"/>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spacing/>
        <w:ind w:left="1800"/>
        <w:contextualSpacing/>
        <w:rPr>
          <w:rFonts w:ascii="Verdana" w:hAnsi="Verdana" w:eastAsia="Verdana"/>
          <w:szCs w:val="24"/>
        </w:rPr>
      </w:pPr>
      <w:r>
        <w:rPr>
          <w:rFonts w:ascii="Verdana" w:hAnsi="Verdana" w:eastAsia="Verdana"/>
          <w:szCs w:val="24"/>
        </w:rPr>
        <w:t xml:space="preserve">Smoking is not allowed in portions of the building or facility vehicles used by, and open to, the public, including a reasonable minimum distance of 25 feet from entrances, exits, windows that open, and ventilation intakes that serve an enclosed area where smoking is prohibited.  Smoking is also not allowed in any area which employees are required to pass through during the course of employment, including restrooms, conference rooms, break rooms, cafeterias, and 25 feet from any entrance or exit.</w:t>
      </w:r>
    </w:p>
    <w:p>
      <w:pPr>
        <w:pStyle w:val="ListParagraph"/>
        <w:numPr>
          <w:ilvl w:val="0"/>
          <w:numId w:val="851"/>
        </w:numPr>
        <w:spacing/>
        <w:contextualSpacing/>
        <w:jc w:val="both"/>
        <w:rPr>
          <w:rFonts w:ascii="Verdana" w:hAnsi="Verdana" w:eastAsia="Verdana"/>
          <w:color w:val="FF0000"/>
          <w:sz w:val="24"/>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5"/>
          <w:footerReference w:type="default" r:id="rId366"/>
          <w:type w:val="nextPage"/>
          <w:pgSz w:w="12240" w:h="15840"/>
          <w:pgMar w:top="1152" w:right="1440" w:bottom="1152"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52"/>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52"/>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52"/>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52"/>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52"/>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52"/>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52"/>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53"/>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53"/>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53"/>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53"/>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55"/>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3"/>
          <w:footerReference w:type="first" r:id="rId374"/>
          <w:headerReference w:type="even" r:id="rId375"/>
          <w:footerReference w:type="even" r:id="rId376"/>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3"/>
          <w:footerReference w:type="first" r:id="rId384"/>
          <w:headerReference w:type="even" r:id="rId385"/>
          <w:footerReference w:type="even" r:id="rId386"/>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0"/>
          <w:footerReference w:type="first" r:id="rId391"/>
          <w:headerReference w:type="even" r:id="rId392"/>
          <w:footerReference w:type="even" r:id="rId393"/>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5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5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5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57"/>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5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5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5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5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85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5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5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5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5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5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5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5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5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5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5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5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5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5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5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4"/>
        </w:numPr>
        <w:spacing w:before="120" w:line="260" w:lineRule="atLeast"/>
        <w:ind w:left="720"/>
        <w:jc w:val="both"/>
        <w:rPr>
          <w:rFonts w:ascii="Verdana" w:hAnsi="Verdana" w:eastAsia="Verdana"/>
          <w:sz w:val="24"/>
        </w:rPr>
      </w:pPr>
      <w:bookmarkStart w:id="48" w:name="Bookmark__b"/>
      <w:bookmarkEnd w:id="48"/>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9" w:name="Bookmark__b_1"/>
      <w:bookmarkEnd w:id="49"/>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0" w:name="Bookmark__b_2"/>
      <w:bookmarkEnd w:id="50"/>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1" w:name="Bookmark__b_3"/>
      <w:bookmarkEnd w:id="51"/>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2" w:name="Bookmark__b_3_i"/>
      <w:bookmarkEnd w:id="52"/>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3" w:name="Bookmark__b_3_ii"/>
      <w:bookmarkEnd w:id="53"/>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4" w:name="Bookmark__b_4"/>
      <w:bookmarkEnd w:id="54"/>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5" w:name="Bookmark__b_5"/>
      <w:bookmarkEnd w:id="5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6" w:name="Bookmark__b_6"/>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7" w:name="Bookmark__b_7"/>
      <w:bookmarkEnd w:id="5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8" w:name="Bookmark__b_7_i"/>
      <w:bookmarkEnd w:id="5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9" w:name="Bookmark__b_7_i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0" w:name="Bookmark__b_7_iii"/>
      <w:bookmarkEnd w:id="6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4"/>
        </w:numPr>
        <w:spacing w:before="120" w:line="260" w:lineRule="atLeast"/>
        <w:ind w:left="720"/>
        <w:jc w:val="both"/>
        <w:rPr>
          <w:rFonts w:ascii="Verdana" w:hAnsi="Verdana" w:eastAsia="Verdana"/>
          <w:sz w:val="24"/>
        </w:rPr>
      </w:pPr>
      <w:bookmarkStart w:id="61" w:name="Bookmark__c"/>
      <w:bookmarkEnd w:id="61"/>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2" w:name="Bookmark__c_1"/>
      <w:bookmarkEnd w:id="6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3" w:name="Bookmark__c_2"/>
      <w:bookmarkEnd w:id="6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4" w:name="Bookmark__c_2_i"/>
      <w:bookmarkEnd w:id="6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5" w:name="Bookmark__c_2_i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6" w:name="Bookmark__c_2_ii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7" w:name="Bookmark__c_2_iv"/>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8" w:name="Bookmark__c_2_v"/>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9" w:name="Bookmark__c_3"/>
      <w:bookmarkEnd w:id="69"/>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0" w:name="Bookmark__c_3_i"/>
      <w:bookmarkEnd w:id="70"/>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1" w:name="Bookmark__c_3_i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2" w:name="Bookmark__c_3_i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3" w:name="Bookmark__c_4"/>
      <w:bookmarkEnd w:id="7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4" w:name="Bookmark__c_5"/>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5" w:name="Bookmark__c_6"/>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6" w:name="Bookmark__c_7"/>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7" w:name="Bookmark__c_8"/>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8" w:name="Bookmark__d"/>
      <w:bookmarkEnd w:id="78"/>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9" w:name="Bookmark__d_1"/>
      <w:bookmarkEnd w:id="79"/>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0" w:name="Bookmark__d_2"/>
      <w:bookmarkEnd w:id="80"/>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1" w:name="Bookmark__d_3"/>
      <w:bookmarkEnd w:id="81"/>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2" w:name="Bookmark__d_5"/>
      <w:bookmarkEnd w:id="82"/>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3" w:name="Bookmark__e"/>
      <w:bookmarkEnd w:id="83"/>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4" w:name="Bookmark__e_1"/>
      <w:bookmarkEnd w:id="8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5" w:name="Bookmark__e_2"/>
      <w:bookmarkEnd w:id="8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6" w:name="Bookmark__e_3"/>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7" w:name="Bookmark__e_4"/>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8" w:name="Bookmark__e_5"/>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9" w:name="Bookmark__e_6"/>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0" w:name="Bookmark__e_7"/>
      <w:bookmarkEnd w:id="90"/>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1" w:name="Bookmark__e_7_i"/>
      <w:bookmarkEnd w:id="91"/>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2" w:name="Bookmark__e_7_ii"/>
      <w:bookmarkEnd w:id="92"/>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3" w:name="Bookmark__e_7_iii"/>
      <w:bookmarkEnd w:id="93"/>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4" w:name="Bookmark__e_8"/>
      <w:bookmarkEnd w:id="9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5" w:name="Bookmark__f"/>
      <w:bookmarkEnd w:id="95"/>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6" w:name="Bookmark__f_1"/>
      <w:bookmarkEnd w:id="9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7" w:name="Bookmark__f_2"/>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8" w:name="Bookmark__f_3"/>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9" w:name="Bookmark__f_4"/>
      <w:bookmarkEnd w:id="9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0" w:name="Bookmark__f_4_i"/>
      <w:bookmarkEnd w:id="100"/>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1" w:name="Bookmark__f_4_i_a"/>
      <w:bookmarkEnd w:id="101"/>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2" w:name="Bookmark__f_4_i_b"/>
      <w:bookmarkEnd w:id="10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3" w:name="Bookmark__f_4_i_c"/>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4" w:name="Bookmark__f_4_i_d"/>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5" w:name="Bookmark__f_4_i_e"/>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6" w:name="Bookmark__f_4_i_f"/>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7" w:name="Bookmark__f_4_i_g"/>
      <w:bookmarkEnd w:id="10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8" w:name="Bookmark__f_4_ii"/>
      <w:bookmarkEnd w:id="10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9" w:name="Bookmark__f_4_iii"/>
      <w:bookmarkEnd w:id="109"/>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0" w:name="Bookmark__f_4_vi_a"/>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1" w:name="Bookmark__f_4_vi_b"/>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12" w:name="Bookmark__f_4_vi_c"/>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3" w:name="Bookmark__f_4_vi_d"/>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4" w:name="Bookmark__f_5"/>
      <w:bookmarkEnd w:id="11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5" w:name="Bookmark__f_5_ii"/>
      <w:bookmarkEnd w:id="11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6" w:name="Bookmark__f_5_iv_b"/>
      <w:bookmarkEnd w:id="11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7" w:name="Bookmark__f_6"/>
      <w:bookmarkEnd w:id="117"/>
    </w:p>
    <w:p>
      <w:pPr>
        <w:pStyle w:val="Normal0"/>
        <w:numPr>
          <w:ilvl w:val="0"/>
          <w:numId w:val="444"/>
        </w:numPr>
        <w:spacing w:before="120" w:line="260" w:lineRule="atLeast"/>
        <w:ind w:left="1080"/>
        <w:jc w:val="both"/>
        <w:rPr>
          <w:rFonts w:ascii="Verdana" w:hAnsi="Verdana" w:eastAsia="Verdana"/>
          <w:sz w:val="24"/>
        </w:rPr>
      </w:pPr>
      <w:bookmarkStart w:id="118" w:name="Bookmark__f_7"/>
      <w:bookmarkEnd w:id="118"/>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9" w:name="Bookmark__f_8"/>
      <w:bookmarkEnd w:id="11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0" w:name="Bookmark__f_9"/>
      <w:bookmarkEnd w:id="12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1" w:name="Bookmark__f_9_i"/>
      <w:bookmarkEnd w:id="12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2" w:name="Bookmark__f_9_i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3" w:name="Bookmark__f_9_i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4" w:name="Bookmark__f_9_iv"/>
      <w:bookmarkEnd w:id="12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5" w:name="Bookmark__f_10"/>
      <w:bookmarkEnd w:id="12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6" w:name="Bookmark__f_10_i"/>
      <w:bookmarkEnd w:id="12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7" w:name="Bookmark__f_10_ii"/>
      <w:bookmarkEnd w:id="12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8" w:name="Bookmark__f_10_ii_b"/>
      <w:bookmarkEnd w:id="12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9" w:name="Bookmark__f_10_iii"/>
      <w:bookmarkEnd w:id="129"/>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0" w:name="Bookmark__f_10_iii_b"/>
      <w:bookmarkEnd w:id="13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1" w:name="Bookmark__f_10_iii_c"/>
      <w:bookmarkEnd w:id="13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2" w:name="Bookmark__f_10_iv"/>
      <w:bookmarkEnd w:id="13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3" w:name="Bookmark__f_10_iv_a"/>
      <w:bookmarkEnd w:id="13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4" w:name="Bookmark__f_10_iv_b"/>
      <w:bookmarkEnd w:id="13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5" w:name="Bookmark__f_10_v"/>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6" w:name="Bookmark__f_10_vi"/>
      <w:bookmarkEnd w:id="13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7" w:name="Bookmark__f_11"/>
      <w:bookmarkEnd w:id="137"/>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8" w:name="Bookmark__f_11_i"/>
      <w:bookmarkEnd w:id="13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9" w:name="Bookmark__f_11_i_a"/>
      <w:bookmarkEnd w:id="139"/>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0" w:name="Bookmark__f_11_i_b"/>
      <w:bookmarkEnd w:id="140"/>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1" w:name="Bookmark__f_11_i_c"/>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2" w:name="Bookmark__f_11_i_d"/>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3" w:name="Bookmark__f_11_i_e"/>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4" w:name="Bookmark__f_11_i_f"/>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5" w:name="Bookmark__f_11_i_g"/>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6" w:name="Bookmark__f_11_ii"/>
      <w:bookmarkEnd w:id="14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7" w:name="Bookmark__f_11_ii_a"/>
      <w:bookmarkEnd w:id="14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8" w:name="Bookmark__f_11_ii_b"/>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9" w:name="Bookmark__f_11_ii_c"/>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0" w:name="Bookmark__f_11_ii_d"/>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1" w:name="Bookmark__f_11_ii_e"/>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2" w:name="Bookmark__f_11_ii_f"/>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3" w:name="Bookmark__f_11_ii_g"/>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4" w:name="Bookmark__f_11_ii_h"/>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5" w:name="Bookmark__f_11_ii_i"/>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6" w:name="Bookmark__f_11_ii_j"/>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7" w:name="Bookmark__f_11_ii_k"/>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8" w:name="Bookmark__f_11_ii_l"/>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9" w:name="Bookmark__f_11_ii_l_1"/>
      <w:bookmarkEnd w:id="159"/>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0" w:name="Bookmark__f_11_ii_l_2"/>
      <w:bookmarkEnd w:id="160"/>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1" w:name="Bookmark__f_11_iii"/>
      <w:bookmarkEnd w:id="16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2" w:name="Bookmark__g"/>
      <w:bookmarkStart w:id="163" w:name="Bookmark__g_1"/>
      <w:bookmarkEnd w:id="16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4" w:name="Bookmark__g_2"/>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5" w:name="Bookmark__g_2_ii_a"/>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6" w:name="Bookmark__g_2_ii_b"/>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7" w:name="Bookmark__g_2_ii_c"/>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8" w:name="Bookmark__g_3"/>
      <w:bookmarkEnd w:id="168"/>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9" w:name="Bookmark__g_4"/>
      <w:bookmarkEnd w:id="16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0" w:name="Bookmark__g_4_i"/>
      <w:bookmarkEnd w:id="17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1" w:name="Bookmark__g_4_i_a"/>
      <w:bookmarkEnd w:id="171"/>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2" w:name="Bookmark__g_4_i_b"/>
      <w:bookmarkEnd w:id="17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3" w:name="Bookmark__g_4_i_c"/>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4" w:name="Bookmark__g_4_i_d"/>
      <w:bookmarkEnd w:id="17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5" w:name="Bookmark__g_4_ii"/>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6" w:name="Bookmark__g_4_iii"/>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7" w:name="Bookmark__g_4_iv"/>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8" w:name="Bookmark__g_4_v"/>
      <w:bookmarkEnd w:id="178"/>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9" w:name="Bookmark__g_4_vi"/>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0" w:name="Bookmark__g_5"/>
      <w:bookmarkEnd w:id="18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1" w:name="Bookmark__g_5_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2" w:name="Bookmark__g_5_i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3" w:name="Bookmark__g_7"/>
      <w:bookmarkEnd w:id="18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4" w:name="Bookmark__g_7_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5" w:name="Bookmark__g_7_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6" w:name="Bookmark__g_7_i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7" w:name="Bookmark__g_8"/>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8" w:name="Bookmark__g_8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9" w:name="Bookmark__g_8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0" w:name="Bookmark__g_9_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1" w:name="Bookmark__g_9_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2" w:name="Bookmark__g_9_i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3" w:name="Bookmark__g_10"/>
      <w:bookmarkEnd w:id="19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4" w:name="Bookmark__g_10_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5" w:name="Bookmark__g_10_i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6" w:name="Bookmark__g_11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7" w:name="Bookmark__g_11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8" w:name="Bookmark__g_11_i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9" w:name="Bookmark__g_11_iv"/>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0" w:name="Bookmark__g_12"/>
      <w:bookmarkEnd w:id="20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1" w:name="Bookmark__g_12_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2" w:name="Bookmark__g_12_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3" w:name="Bookmark__g_12_i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4" w:name="Bookmark__g_12_i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5" w:name="Bookmark__g_12_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6" w:name="Bookmark__g_13"/>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7" w:name="Bookmark__g_14"/>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8" w:name="Bookmark__g_14_a"/>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9" w:name="Bookmark__g_14_b"/>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0" w:name="Bookmark__g_14_c"/>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1" w:name="Bookmark__g_14_d"/>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2" w:name="Bookmark__g_14_d_ii"/>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3" w:name="Bookmark__g_14_d_iii_a"/>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4" w:name="Bookmark__g_14_d_iii_b"/>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5" w:name="Bookmark__g_15"/>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6" w:name="Bookmark__g_16_ii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7" w:name="Bookmark__g_17"/>
      <w:bookmarkEnd w:id="217"/>
      <w:r>
        <w:rPr>
          <w:rFonts w:ascii="Verdana" w:hAnsi="Verdana" w:eastAsia="Verdana"/>
          <w:color w:val="000000"/>
          <w:sz w:val="24"/>
        </w:rPr>
        <w:t xml:space="preserve">The Facility</w:t>
      </w:r>
      <w:r>
        <w:rPr>
          <w:rFonts w:ascii="Verdana" w:hAnsi="Verdana" w:eastAsia="Verdana"/>
          <w:color w:val="000000"/>
          <w:sz w:val="24"/>
        </w:rPr>
        <w:t xml:space="preserve"> will</w:t>
      </w:r>
      <w:bookmarkStart w:id="218" w:name="Bookmark__g_17_i"/>
      <w:bookmarkEnd w:id="218"/>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9" w:name="Bookmark__g_17_i_a"/>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0" w:name="Bookmark__g_17_i_b"/>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1" w:name="Bookmark__g_17_ii"/>
      <w:bookmarkEnd w:id="221"/>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2" w:name="Bookmark__g_18"/>
      <w:bookmarkEnd w:id="222"/>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3" w:name="Bookmark__g_18_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4" w:name="Bookmark__g_18_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5" w:name="Bookmark__g_18_i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26" w:name="Bookmark__g_18_iv"/>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7" w:name="Bookmark__g_18_v"/>
      <w:bookmarkStart w:id="228" w:name="Bookmark__h"/>
      <w:bookmarkEnd w:id="227"/>
      <w:bookmarkEnd w:id="228"/>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9" w:name="Bookmark__h_1"/>
      <w:bookmarkEnd w:id="229"/>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0" w:name="Bookmark__h_2"/>
      <w:bookmarkEnd w:id="230"/>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1" w:name="Bookmark__h_3_i"/>
      <w:bookmarkEnd w:id="231"/>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2" w:name="Bookmark__h_3_ii"/>
      <w:bookmarkEnd w:id="232"/>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3" w:name="Bookmark__i"/>
      <w:bookmarkEnd w:id="233"/>
    </w:p>
    <w:p>
      <w:pPr>
        <w:pStyle w:val="Normal0"/>
        <w:numPr>
          <w:ilvl w:val="0"/>
          <w:numId w:val="804"/>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4" w:name="Bookmark__i_1"/>
      <w:bookmarkEnd w:id="234"/>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5" w:name="Bookmark__i_1_i"/>
      <w:bookmarkEnd w:id="235"/>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6" w:name="Bookmark__i_2"/>
      <w:bookmarkEnd w:id="236"/>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7" w:name="Bookmark__i_3"/>
      <w:bookmarkEnd w:id="237"/>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8" w:name="Bookmark__i_4"/>
      <w:bookmarkEnd w:id="23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9" w:name="Bookmark__i_5"/>
      <w:bookmarkEnd w:id="23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0" w:name="Bookmark__i_6"/>
      <w:bookmarkEnd w:id="240"/>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1" w:name="Bookmark__i_7"/>
      <w:bookmarkEnd w:id="241"/>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4"/>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2" w:name="Bookmark__j"/>
      <w:bookmarkStart w:id="243" w:name="Bookmark__j_1"/>
      <w:bookmarkEnd w:id="242"/>
      <w:bookmarkEnd w:id="243"/>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4" w:name="Bookmark__j_2"/>
      <w:bookmarkEnd w:id="244"/>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5" w:name="Bookmark__j_4_i"/>
      <w:bookmarkEnd w:id="245"/>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6" w:name="Bookmark__j_4_ii"/>
      <w:bookmarkEnd w:id="246"/>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7" w:name="Bookmark__j_4_iii"/>
      <w:bookmarkEnd w:id="24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8" w:name="Bookmark__j_4_iv"/>
      <w:bookmarkEnd w:id="24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9" w:name="Bookmark__j_4_v"/>
      <w:bookmarkEnd w:id="24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0" w:name="Bookmark__j_4_vi"/>
      <w:bookmarkEnd w:id="250"/>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1" w:name="Bookmark__j_4_vii"/>
      <w:bookmarkEnd w:id="251"/>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2" w:name="Bookmark__k"/>
      <w:bookmarkEnd w:id="252"/>
    </w:p>
    <w:p>
      <w:pPr>
        <w:pStyle w:val="Normal0"/>
        <w:numPr>
          <w:ilvl w:val="0"/>
          <w:numId w:val="804"/>
        </w:numPr>
        <w:spacing w:before="120" w:line="260" w:lineRule="atLeast"/>
        <w:ind w:left="720"/>
        <w:jc w:val="both"/>
        <w:rPr>
          <w:rFonts w:ascii="Verdana" w:hAnsi="Verdana" w:eastAsia="Verdana"/>
          <w:color w:val="000000"/>
          <w:sz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3"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5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5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5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5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5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5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5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5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58"/>
        </w:numPr>
        <w:spacing w:after="160" w:line="256" w:lineRule="auto"/>
        <w:ind w:left="720"/>
        <w:contextualSpacing/>
        <w:jc w:val="both"/>
        <w:rPr>
          <w:rFonts w:ascii="Verdana" w:hAnsi="Verdana" w:eastAsia="Verdana"/>
          <w:color w:val="FF0000"/>
          <w:sz w:val="24"/>
          <w:szCs w:val="24"/>
        </w:rPr>
      </w:pPr>
      <w:bookmarkStart w:id="254"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4"/>
    <w:p>
      <w:pPr>
        <w:pStyle w:val="ListParagraph"/>
        <w:numPr>
          <w:ilvl w:val="0"/>
          <w:numId w:val="85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5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58"/>
        </w:numPr>
        <w:spacing w:after="160" w:line="256" w:lineRule="auto"/>
        <w:ind w:left="720"/>
        <w:contextualSpacing/>
        <w:jc w:val="both"/>
        <w:rPr>
          <w:rFonts w:ascii="Verdana" w:hAnsi="Verdana" w:eastAsia="Verdana"/>
          <w:sz w:val="24"/>
          <w:szCs w:val="24"/>
        </w:rPr>
      </w:pPr>
      <w:bookmarkStart w:id="255" w:name="_Hlk507585456"/>
      <w:r>
        <w:rPr>
          <w:rFonts w:ascii="Verdana" w:hAnsi="Verdana" w:eastAsia="Verdana"/>
          <w:sz w:val="24"/>
          <w:szCs w:val="24"/>
        </w:rPr>
        <w:t xml:space="preserve">The Facility will provide for education of staff concerning its policies and procedures on advance directives.</w:t>
      </w:r>
    </w:p>
    <w:bookmarkEnd w:id="255"/>
    <w:p>
      <w:pPr>
        <w:pStyle w:val="ListParagraph"/>
        <w:numPr>
          <w:ilvl w:val="0"/>
          <w:numId w:val="85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5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5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5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5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3"/>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18"/>
          <w:footerReference w:type="first" r:id="rId419"/>
          <w:headerReference w:type="even" r:id="rId420"/>
          <w:footerReference w:type="even" r:id="rId421"/>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59"/>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5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6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6" w:name="_Hlk20392876"/>
      <w:r>
        <w:rPr>
          <w:rFonts w:ascii="Verdana" w:hAnsi="Verdana" w:eastAsia="Verdana"/>
          <w:bCs/>
          <w:color w:val="333333"/>
          <w:sz w:val="24"/>
          <w:shd w:val="clear" w:color="auto" w:fill="FFFFFF"/>
        </w:rPr>
        <w:t xml:space="preserve">Each resident must remain under the care of a physician</w:t>
      </w:r>
      <w:bookmarkEnd w:id="256"/>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66"/>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66"/>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66"/>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66"/>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67"/>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67"/>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67"/>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66"/>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68"/>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68"/>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68"/>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68"/>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66"/>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66"/>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66"/>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69"/>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69"/>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69"/>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6"/>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70"/>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70"/>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6"/>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66"/>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66"/>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6"/>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66"/>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66"/>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71"/>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7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7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7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7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7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7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7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7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7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7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7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7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7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74"/>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7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7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7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7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7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73"/>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7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7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7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7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7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7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7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7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7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7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7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7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7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7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7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7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71"/>
        </w:numPr>
        <w:shd w:val="clear" w:color="auto" w:fill="FFFFFF"/>
        <w:tabs>
          <w:tab w:val="left" w:pos="1260"/>
        </w:tabs>
        <w:spacing w:before="150" w:after="0" w:line="240" w:lineRule="auto"/>
        <w:contextualSpacing/>
        <w:jc w:val="both"/>
        <w:rPr>
          <w:rFonts w:ascii="Verdana" w:hAnsi="Verdana" w:eastAsia="Verdana" w:cs="Calibri"/>
          <w:color w:val="212121"/>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3"/>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3"/>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7"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7"/>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5"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rPr>
      </w:pPr>
      <w:r>
        <w:rPr>
          <w:rFonts w:ascii="Verdana" w:hAnsi="Verdana" w:eastAsia="Verdana"/>
          <w:sz w:val="22"/>
        </w:rPr>
        <w:t xml:space="preserve">_________________________________________________________________</w:t>
      </w: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Times New Roman"/>
          <w:bCs/>
          <w:sz w:val="24"/>
          <w:szCs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45"/>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33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 00402a     </w:t>
    </w:r>
    <w:sdt>
      <w:sdtPr>
        <w:rPr>
          <w:rFonts w:ascii="Verdana" w:hAnsi="Verdana" w:eastAsia="Verdana"/>
          <w:sz w:val="12"/>
          <w:szCs w:val="12"/>
        </w:rPr>
        <w:id w:val="-1797442248"/>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59671115"/>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3</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00531</w:t>
    </w:r>
    <w:sdt>
      <w:sdtPr>
        <w:rPr>
          <w:rFonts w:ascii="Verdana" w:hAnsi="Verdana" w:eastAsia="Verdana"/>
          <w:sz w:val="12"/>
          <w:szCs w:val="12"/>
        </w:rPr>
        <w:id w:val="194133022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52342955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20</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f662cc54-7233-4123-b960-c5db83021bf3" type="##_x0000_t75" o:allowincell="f" style="position:absolute;margin-left:0pt;margin-top:0pt;width:467.2pt;height:293.8pt;mso-position-horizontal-relative:margin;mso-position-vertical-relative:margin;mso-position-horizontal:center;mso-position-vertical:center;z-index:-251654118;visibility:visible">
          <v:imagedata r:id="rId446" gain="19661f" blacklevel="22938f"/>
        </v:shape>
      </w:pict>
    </w:r>
    <w:bookmarkStart w:id="258"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8"/>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813ac833-8aab-4094-881a-983fc20575bb" type="##_x0000_t75" o:allowincell="f" style="position:absolute;margin-left:0pt;margin-top:0pt;width:467.2pt;height:293.8pt;mso-position-horizontal-relative:margin;mso-position-vertical-relative:margin;mso-position-horizontal:center;mso-position-vertical:center;z-index:-251653094;visibility:visible">
          <v:imagedata r:id="rId446"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1a357510-cf90-466f-b36f-f785deb50162" type="##_x0000_t75" o:allowincell="f" style="position:absolute;margin-left:0pt;margin-top:0pt;width:467.2pt;height:293.8pt;mso-position-horizontal-relative:margin;mso-position-vertical-relative:margin;mso-position-horizontal:center;mso-position-vertical:center;z-index:-251652070;visibility:visible">
          <v:imagedata r:id="rId446"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312FC20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2FD649F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699EEA6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2D47623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7089F20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60914CA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641BAA6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73DFCE3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4A94E4D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24748836"/>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14FD730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54A3AB3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700A2C9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1D4D329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6CEBF68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1E4F54D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1C76365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5E02F0D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39D9249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color w:val="auto"/>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3D060CD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5FFC846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746EFBD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3447DFC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600FAA6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197D72D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6460E16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249F574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7A022C1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4883598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5B54E9D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2F8762A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1BE2CA9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58D8ACD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138EE9F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0D5196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2F32672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21F221C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6177D03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2083744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353A670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1DF2C09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30CF6DF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633A645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2B52C31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3B892CD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09BC733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5307ED7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4C9E0C6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148F05C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0B63712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432228A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5435A7F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053FB19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7796421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2">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9">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7AE89C9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1">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2">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3">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4">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5">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6">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7">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8">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9">
    <w:nsid w:val="3CC0C63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0">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1">
    <w:nsid w:val="7B8E6A3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4">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791"/>
    <w:lvlOverride w:ilvl="0">
      <w:startOverride w:val="1"/>
    </w:lvlOverride>
    <w:lvlOverride w:ilvl="1">
      <w:startOverride w:val="2"/>
    </w:lvlOverride>
    <w:lvlOverride w:ilvl="2">
      <w:startOverride w:val="1"/>
    </w:lvlOverride>
    <w:lvlOverride w:ilvl="3">
      <w:startOverride w:val="1"/>
    </w:lvlOverride>
  </w:num>
  <w:num w:numId="808">
    <w:abstractNumId w:val="0"/>
    <w:lvlOverride w:ilvl="0">
      <w:startOverride w:val="1"/>
    </w:lvlOverride>
    <w:lvlOverride w:ilvl="1">
      <w:startOverride w:val="1"/>
    </w:lvlOverride>
    <w:lvlOverride w:ilvl="2">
      <w:startOverride w:val="1"/>
    </w:lvlOverride>
    <w:lvlOverride w:ilvl="3">
      <w:startOverride w:val="1"/>
    </w:lvlOverride>
  </w:num>
  <w:num w:numId="809">
    <w:abstractNumId w:val="259"/>
    <w:lvlOverride w:ilvl="0">
      <w:startOverride w:val="2"/>
    </w:lvlOverride>
    <w:lvlOverride w:ilvl="1">
      <w:startOverride w:val="1"/>
    </w:lvlOverride>
    <w:lvlOverride w:ilvl="2">
      <w:startOverride w:val="1"/>
    </w:lvlOverride>
    <w:lvlOverride w:ilvl="3">
      <w:startOverride w:val="1"/>
    </w:lvlOverride>
  </w:num>
  <w:num w:numId="810">
    <w:abstractNumId w:val="703"/>
    <w:lvlOverride w:ilvl="0">
      <w:startOverride w:val="1"/>
    </w:lvlOverride>
    <w:lvlOverride w:ilvl="1">
      <w:startOverride w:val="1"/>
    </w:lvlOverride>
    <w:lvlOverride w:ilvl="2">
      <w:startOverride w:val="1"/>
    </w:lvlOverride>
    <w:lvlOverride w:ilvl="3">
      <w:startOverride w:val="1"/>
    </w:lvlOverride>
  </w:num>
  <w:num w:numId="811">
    <w:abstractNumId w:val="487"/>
    <w:lvlOverride w:ilvl="0">
      <w:startOverride w:val="2"/>
    </w:lvlOverride>
    <w:lvlOverride w:ilvl="1">
      <w:startOverride w:val="1"/>
    </w:lvlOverride>
    <w:lvlOverride w:ilvl="2">
      <w:startOverride w:val="1"/>
    </w:lvlOverride>
    <w:lvlOverride w:ilvl="3">
      <w:startOverride w:val="1"/>
    </w:lvlOverride>
  </w:num>
  <w:num w:numId="812">
    <w:abstractNumId w:val="252"/>
    <w:lvlOverride w:ilvl="0">
      <w:startOverride w:val="3"/>
    </w:lvlOverride>
    <w:lvlOverride w:ilvl="1">
      <w:startOverride w:val="1"/>
    </w:lvlOverride>
    <w:lvlOverride w:ilvl="2">
      <w:startOverride w:val="1"/>
    </w:lvlOverride>
    <w:lvlOverride w:ilvl="3">
      <w:startOverride w:val="1"/>
    </w:lvlOverride>
  </w:num>
  <w:num w:numId="813">
    <w:abstractNumId w:val="17"/>
    <w:lvlOverride w:ilvl="0">
      <w:startOverride w:val="1"/>
    </w:lvlOverride>
    <w:lvlOverride w:ilvl="1">
      <w:startOverride w:val="2"/>
    </w:lvlOverride>
    <w:lvlOverride w:ilvl="2">
      <w:startOverride w:val="1"/>
    </w:lvlOverride>
    <w:lvlOverride w:ilvl="3">
      <w:startOverride w:val="1"/>
    </w:lvlOverride>
  </w:num>
  <w:num w:numId="814">
    <w:abstractNumId w:val="8"/>
    <w:lvlOverride w:ilvl="0">
      <w:startOverride w:val="1"/>
    </w:lvlOverride>
    <w:lvlOverride w:ilvl="1">
      <w:startOverride w:val="1"/>
    </w:lvlOverride>
    <w:lvlOverride w:ilvl="2">
      <w:startOverride w:val="2"/>
    </w:lvlOverride>
    <w:lvlOverride w:ilvl="3">
      <w:startOverride w:val="1"/>
    </w:lvlOverride>
  </w:num>
  <w:num w:numId="815">
    <w:abstractNumId w:val="15"/>
    <w:lvlOverride w:ilvl="0">
      <w:startOverride w:val="1"/>
    </w:lvlOverride>
    <w:lvlOverride w:ilvl="1">
      <w:startOverride w:val="3"/>
    </w:lvlOverride>
    <w:lvlOverride w:ilvl="2">
      <w:startOverride w:val="1"/>
    </w:lvlOverride>
    <w:lvlOverride w:ilvl="3">
      <w:startOverride w:val="1"/>
    </w:lvlOverride>
  </w:num>
  <w:num w:numId="816">
    <w:abstractNumId w:val="29"/>
    <w:lvlOverride w:ilvl="0">
      <w:startOverride w:val="1"/>
    </w:lvlOverride>
    <w:lvlOverride w:ilvl="1">
      <w:startOverride w:val="2"/>
    </w:lvlOverride>
    <w:lvlOverride w:ilvl="2">
      <w:startOverride w:val="1"/>
    </w:lvlOverride>
    <w:lvlOverride w:ilvl="3">
      <w:startOverride w:val="1"/>
    </w:lvlOverride>
  </w:num>
  <w:num w:numId="817">
    <w:abstractNumId w:val="165"/>
    <w:lvlOverride w:ilvl="0">
      <w:startOverride w:val="1"/>
    </w:lvlOverride>
    <w:lvlOverride w:ilvl="1">
      <w:startOverride w:val="1"/>
    </w:lvlOverride>
    <w:lvlOverride w:ilvl="2">
      <w:startOverride w:val="1"/>
    </w:lvlOverride>
    <w:lvlOverride w:ilvl="3">
      <w:startOverride w:val="1"/>
    </w:lvlOverride>
  </w:num>
  <w:num w:numId="818">
    <w:abstractNumId w:val="369"/>
    <w:lvlOverride w:ilvl="0">
      <w:startOverride w:val="1"/>
    </w:lvlOverride>
    <w:lvlOverride w:ilvl="1">
      <w:startOverride w:val="1"/>
    </w:lvlOverride>
    <w:lvlOverride w:ilvl="2">
      <w:startOverride w:val="2"/>
    </w:lvlOverride>
    <w:lvlOverride w:ilvl="3">
      <w:startOverride w:val="1"/>
    </w:lvlOverride>
  </w:num>
  <w:num w:numId="819">
    <w:abstractNumId w:val="797"/>
    <w:lvlOverride w:ilvl="0">
      <w:startOverride w:val="1"/>
    </w:lvlOverride>
    <w:lvlOverride w:ilvl="1">
      <w:startOverride w:val="3"/>
    </w:lvlOverride>
    <w:lvlOverride w:ilvl="2">
      <w:startOverride w:val="1"/>
    </w:lvlOverride>
    <w:lvlOverride w:ilvl="3">
      <w:startOverride w:val="1"/>
    </w:lvlOverride>
  </w:num>
  <w:num w:numId="820">
    <w:abstractNumId w:val="181"/>
    <w:lvlOverride w:ilvl="0">
      <w:startOverride w:val="9"/>
    </w:lvlOverride>
    <w:lvlOverride w:ilvl="1">
      <w:startOverride w:val="7"/>
    </w:lvlOverride>
    <w:lvlOverride w:ilvl="2">
      <w:startOverride w:val="2"/>
    </w:lvlOverride>
    <w:lvlOverride w:ilvl="3">
      <w:startOverride w:val="3"/>
    </w:lvlOverride>
    <w:lvlOverride w:ilvl="4">
      <w:startOverride w:val="1"/>
    </w:lvlOverride>
  </w:num>
  <w:num w:numId="821">
    <w:abstractNumId w:val="172"/>
    <w:lvlOverride w:ilvl="0">
      <w:startOverride w:val="9"/>
    </w:lvlOverride>
    <w:lvlOverride w:ilvl="1">
      <w:startOverride w:val="8"/>
    </w:lvlOverride>
    <w:lvlOverride w:ilvl="2">
      <w:startOverride w:val="1"/>
    </w:lvlOverride>
    <w:lvlOverride w:ilvl="3">
      <w:startOverride w:val="3"/>
    </w:lvlOverride>
    <w:lvlOverride w:ilvl="4">
      <w:startOverride w:val="1"/>
    </w:lvlOverride>
  </w:num>
  <w:num w:numId="822">
    <w:abstractNumId w:val="150"/>
    <w:lvlOverride w:ilvl="0">
      <w:startOverride w:val="10"/>
    </w:lvlOverride>
    <w:lvlOverride w:ilvl="1">
      <w:startOverride w:val="1"/>
    </w:lvlOverride>
    <w:lvlOverride w:ilvl="2">
      <w:startOverride w:val="1"/>
    </w:lvlOverride>
    <w:lvlOverride w:ilvl="3">
      <w:startOverride w:val="3"/>
    </w:lvlOverride>
    <w:lvlOverride w:ilvl="4">
      <w:startOverride w:val="1"/>
    </w:lvlOverride>
  </w:num>
  <w:num w:numId="823">
    <w:abstractNumId w:val="184"/>
    <w:lvlOverride w:ilvl="0">
      <w:startOverride w:val="10"/>
    </w:lvlOverride>
    <w:lvlOverride w:ilvl="1">
      <w:startOverride w:val="1"/>
    </w:lvlOverride>
    <w:lvlOverride w:ilvl="2">
      <w:startOverride w:val="3"/>
    </w:lvlOverride>
    <w:lvlOverride w:ilvl="3">
      <w:startOverride w:val="1"/>
    </w:lvlOverride>
    <w:lvlOverride w:ilvl="4">
      <w:startOverride w:val="1"/>
    </w:lvlOverride>
  </w:num>
  <w:num w:numId="824">
    <w:abstractNumId w:val="212"/>
    <w:lvlOverride w:ilvl="0">
      <w:startOverride w:val="11"/>
    </w:lvlOverride>
    <w:lvlOverride w:ilvl="1">
      <w:startOverride w:val="1"/>
    </w:lvlOverride>
    <w:lvlOverride w:ilvl="2">
      <w:startOverride w:val="1"/>
    </w:lvlOverride>
    <w:lvlOverride w:ilvl="3">
      <w:startOverride w:val="1"/>
    </w:lvlOverride>
    <w:lvlOverride w:ilvl="4">
      <w:startOverride w:val="1"/>
    </w:lvlOverride>
  </w:num>
  <w:num w:numId="825">
    <w:abstractNumId w:val="361"/>
    <w:lvlOverride w:ilvl="0">
      <w:startOverride w:val="11"/>
    </w:lvlOverride>
    <w:lvlOverride w:ilvl="1">
      <w:startOverride w:val="6"/>
    </w:lvlOverride>
    <w:lvlOverride w:ilvl="2">
      <w:startOverride w:val="1"/>
    </w:lvlOverride>
    <w:lvlOverride w:ilvl="3">
      <w:startOverride w:val="1"/>
    </w:lvlOverride>
    <w:lvlOverride w:ilvl="4">
      <w:startOverride w:val="1"/>
    </w:lvlOverride>
  </w:num>
  <w:num w:numId="826">
    <w:abstractNumId w:val="456"/>
    <w:lvlOverride w:ilvl="0">
      <w:startOverride w:val="12"/>
    </w:lvlOverride>
    <w:lvlOverride w:ilvl="1">
      <w:startOverride w:val="1"/>
    </w:lvlOverride>
    <w:lvlOverride w:ilvl="2">
      <w:startOverride w:val="1"/>
    </w:lvlOverride>
    <w:lvlOverride w:ilvl="3">
      <w:startOverride w:val="1"/>
    </w:lvlOverride>
    <w:lvlOverride w:ilvl="4">
      <w:startOverride w:val="1"/>
    </w:lvlOverride>
  </w:num>
  <w:num w:numId="827">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2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29">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30">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7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7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37">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39">
    <w:abstractNumId w:val="7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41">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61"/>
    <w:lvlOverride w:ilvl="0">
      <w:startOverride w:val="1"/>
    </w:lvlOverride>
    <w:lvlOverride w:ilvl="1">
      <w:startOverride w:val="1"/>
    </w:lvlOverride>
    <w:lvlOverride w:ilvl="2">
      <w:startOverride w:val="1"/>
    </w:lvlOverride>
    <w:lvlOverride w:ilvl="3">
      <w:startOverride w:val="1"/>
    </w:lvlOverride>
  </w:num>
  <w:num w:numId="843">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7">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9">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0">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1">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2">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3">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4">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5">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6">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8">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9">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0">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1">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2">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3">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4">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5">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proofState w:spelling="clean" w:grammar="dirty"/>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7" Type="http://schemas.openxmlformats.org/officeDocument/2006/relationships/styles" Target="styles.xml" /><Relationship Id="rId448" Type="http://schemas.openxmlformats.org/officeDocument/2006/relationships/settings" Target="settings.xml" /><Relationship Id="rId449" Type="http://schemas.openxmlformats.org/officeDocument/2006/relationships/theme" Target="theme/theme1.xml" /><Relationship Id="rId450" Type="http://schemas.openxmlformats.org/officeDocument/2006/relationships/numbering" Target="numbering.xml" /><Relationship Id="rId451"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1" Type="http://schemas.openxmlformats.org/officeDocument/2006/relationships/header" Target="header181.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8" Type="http://schemas.openxmlformats.org/officeDocument/2006/relationships/footer" Target="footer188.xml" /><Relationship Id="rId202" Type="http://schemas.openxmlformats.org/officeDocument/2006/relationships/footer" Target="footer202.xml" /><Relationship Id="rId233" Type="http://schemas.openxmlformats.org/officeDocument/2006/relationships/footer" Target="footer233.xml" /><Relationship Id="rId255" Type="http://schemas.openxmlformats.org/officeDocument/2006/relationships/footer" Target="footer255.xml" /><Relationship Id="rId265" Type="http://schemas.openxmlformats.org/officeDocument/2006/relationships/footer" Target="footer265.xml" /><Relationship Id="rId271" Type="http://schemas.openxmlformats.org/officeDocument/2006/relationships/footer" Target="footer271.xml" /><Relationship Id="rId279" Type="http://schemas.openxmlformats.org/officeDocument/2006/relationships/footer" Target="footer279.xml" /><Relationship Id="rId299" Type="http://schemas.openxmlformats.org/officeDocument/2006/relationships/footer" Target="footer299.xml" /><Relationship Id="rId333" Type="http://schemas.openxmlformats.org/officeDocument/2006/relationships/footer" Target="footer333.xml" /><Relationship Id="rId348" Type="http://schemas.openxmlformats.org/officeDocument/2006/relationships/footer" Target="footer348.xml" /><Relationship Id="rId374" Type="http://schemas.openxmlformats.org/officeDocument/2006/relationships/footer" Target="footer374.xml" /><Relationship Id="rId384" Type="http://schemas.openxmlformats.org/officeDocument/2006/relationships/footer" Target="footer384.xml" /><Relationship Id="rId391" Type="http://schemas.openxmlformats.org/officeDocument/2006/relationships/footer" Target="footer391.xml" /><Relationship Id="rId397" Type="http://schemas.openxmlformats.org/officeDocument/2006/relationships/footer" Target="footer397.xml" /><Relationship Id="rId419" Type="http://schemas.openxmlformats.org/officeDocument/2006/relationships/footer" Target="footer419.xml" /><Relationship Id="rId425" Type="http://schemas.openxmlformats.org/officeDocument/2006/relationships/footer" Target="footer425.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80" Type="http://schemas.openxmlformats.org/officeDocument/2006/relationships/header" Target="header180.xml" /><Relationship Id="rId187" Type="http://schemas.openxmlformats.org/officeDocument/2006/relationships/header" Target="header187.xml" /><Relationship Id="rId201" Type="http://schemas.openxmlformats.org/officeDocument/2006/relationships/header" Target="header201.xml" /><Relationship Id="rId232" Type="http://schemas.openxmlformats.org/officeDocument/2006/relationships/header" Target="header232.xml" /><Relationship Id="rId254" Type="http://schemas.openxmlformats.org/officeDocument/2006/relationships/header" Target="header254.xml" /><Relationship Id="rId264" Type="http://schemas.openxmlformats.org/officeDocument/2006/relationships/header" Target="header264.xml" /><Relationship Id="rId270" Type="http://schemas.openxmlformats.org/officeDocument/2006/relationships/header" Target="header270.xml" /><Relationship Id="rId278" Type="http://schemas.openxmlformats.org/officeDocument/2006/relationships/header" Target="header278.xml" /><Relationship Id="rId298" Type="http://schemas.openxmlformats.org/officeDocument/2006/relationships/header" Target="header298.xml" /><Relationship Id="rId332" Type="http://schemas.openxmlformats.org/officeDocument/2006/relationships/header" Target="header332.xml" /><Relationship Id="rId347" Type="http://schemas.openxmlformats.org/officeDocument/2006/relationships/header" Target="header347.xml" /><Relationship Id="rId373" Type="http://schemas.openxmlformats.org/officeDocument/2006/relationships/header" Target="header373.xml" /><Relationship Id="rId383" Type="http://schemas.openxmlformats.org/officeDocument/2006/relationships/header" Target="header383.xml" /><Relationship Id="rId390" Type="http://schemas.openxmlformats.org/officeDocument/2006/relationships/header" Target="header390.xml" /><Relationship Id="rId396" Type="http://schemas.openxmlformats.org/officeDocument/2006/relationships/header" Target="header396.xml" /><Relationship Id="rId418" Type="http://schemas.openxmlformats.org/officeDocument/2006/relationships/header" Target="header418.xml" /><Relationship Id="rId424" Type="http://schemas.openxmlformats.org/officeDocument/2006/relationships/header" Target="header424.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79" Type="http://schemas.openxmlformats.org/officeDocument/2006/relationships/footer" Target="footer179.xml" /><Relationship Id="rId184" Type="http://schemas.openxmlformats.org/officeDocument/2006/relationships/footer" Target="footer184.xml" /><Relationship Id="rId186" Type="http://schemas.openxmlformats.org/officeDocument/2006/relationships/footer" Target="footer186.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9" Type="http://schemas.openxmlformats.org/officeDocument/2006/relationships/footer" Target="footer269.xml" /><Relationship Id="rId275" Type="http://schemas.openxmlformats.org/officeDocument/2006/relationships/footer" Target="footer275.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7" Type="http://schemas.openxmlformats.org/officeDocument/2006/relationships/footer" Target="footer337.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23" Type="http://schemas.openxmlformats.org/officeDocument/2006/relationships/footer" Target="footer423.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2" Type="http://schemas.openxmlformats.org/officeDocument/2006/relationships/header" Target="header182.xml" /><Relationship Id="rId183" Type="http://schemas.openxmlformats.org/officeDocument/2006/relationships/header" Target="header183.xml" /><Relationship Id="rId185" Type="http://schemas.openxmlformats.org/officeDocument/2006/relationships/header" Target="header185.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8" Type="http://schemas.openxmlformats.org/officeDocument/2006/relationships/header" Target="header268.xml" /><Relationship Id="rId274" Type="http://schemas.openxmlformats.org/officeDocument/2006/relationships/header" Target="header274.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6" Type="http://schemas.openxmlformats.org/officeDocument/2006/relationships/header" Target="header336.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22" Type="http://schemas.openxmlformats.org/officeDocument/2006/relationships/header" Target="header422.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52"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3" Type="http://schemas.openxmlformats.org/officeDocument/2006/relationships/image" Target="media/image4.wmf" /><Relationship Id="rId389" Type="http://schemas.openxmlformats.org/officeDocument/2006/relationships/image" Target="media/image5.gif" /><Relationship Id="rId444" Type="http://schemas.openxmlformats.org/officeDocument/2006/relationships/image" Target="media/image6.emf" /><Relationship Id="rId453"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6"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0AA8F-10FB-4792-AD6D-CE4B45F33FE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1702</TotalTime>
  <Pages>92</Pages>
  <Words>143875</Words>
  <Characters>820088</Characters>
  <Application>Microsoft Office Word</Application>
  <DocSecurity>0</DocSecurity>
  <Lines>6834</Lines>
  <Paragraphs>1924</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2019-12-05T18:38:00Z</cp:lastPrinted>
  <cp:revision>38</cp:revision>
  <dcterms:created xsi:type="dcterms:W3CDTF">2019-07-09T16:54:00Z</dcterms:created>
  <dcterms:modified xsi:type="dcterms:W3CDTF">2019-12-13T15:01:00Z</dcterms:modified>
</cp:coreProperties>
</file>