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b/>
          <w:bCs/>
          <w:color w:val="C2410C"/>
          <w:sz w:val="38"/>
          <w:szCs w:val="38"/>
        </w:rPr>
        <w:t xml:space="preserve">CLASS-WISE LSRW CURRICULUM &amp;</w:t>
      </w:r>
    </w:p>
    <w:p>
      <w:pPr>
        <w:jc w:val="center"/>
      </w:pPr>
      <w:r>
        <w:rPr>
          <w:b/>
          <w:bCs/>
          <w:color w:val="C2410C"/>
          <w:sz w:val="38"/>
          <w:szCs w:val="38"/>
        </w:rPr>
        <w:t xml:space="preserve">DIFFICULTY SPECIFICATION</w:t>
      </w:r>
    </w:p>
    <w:p>
      <w:pPr>
        <w:spacing w:after="200"/>
      </w:pPr>
    </w:p>
    <w:p>
      <w:pPr>
        <w:jc w:val="center"/>
      </w:pPr>
      <w:r>
        <w:rPr>
          <w:b/>
          <w:bCs/>
          <w:color w:val="F97316"/>
          <w:sz w:val="28"/>
          <w:szCs w:val="28"/>
        </w:rPr>
        <w:t xml:space="preserve">Class 1 to Class 12 — Detailed Level-by-Level Breakdown</w:t>
      </w:r>
    </w:p>
    <w:p>
      <w:pPr>
        <w:spacing w:after="100"/>
      </w:pPr>
    </w:p>
    <w:p>
      <w:pPr>
        <w:jc w:val="center"/>
      </w:pPr>
      <w:r>
        <w:rPr>
          <w:color w:val="6B7280"/>
          <w:sz w:val="21"/>
          <w:szCs w:val="21"/>
        </w:rPr>
        <w:t xml:space="preserve">Annexure to: School English Language Lab (LSRW) System — SRS v2.0</w:t>
      </w:r>
    </w:p>
    <w:p>
      <w:pPr>
        <w:spacing w:after="800"/>
      </w:pPr>
    </w:p>
    <w:p>
      <w:pPr>
        <w:pBdr>
          <w:top w:val="single" w:color="F97316" w:sz="4" w:space="8"/>
        </w:pBdr>
        <w:jc w:val="center"/>
      </w:pPr>
      <w:r>
        <w:t xml:space="preserve"/>
      </w:r>
    </w:p>
    <w:p>
      <w:pPr>
        <w:spacing w:after="200"/>
      </w:pPr>
    </w:p>
    <w:p>
      <w:pPr>
        <w:jc w:val="center"/>
      </w:pPr>
      <w:r>
        <w:rPr>
          <w:color w:val="1F2937"/>
          <w:sz w:val="20"/>
          <w:szCs w:val="20"/>
        </w:rPr>
        <w:t xml:space="preserve">Document Version: 1.0</w:t>
      </w:r>
    </w:p>
    <w:p>
      <w:pPr>
        <w:jc w:val="center"/>
      </w:pPr>
      <w:r>
        <w:rPr>
          <w:color w:val="1F2937"/>
          <w:sz w:val="20"/>
          <w:szCs w:val="20"/>
        </w:rPr>
        <w:t xml:space="preserve">Covers: Listening, Speaking, Reading, Writing — every class, individually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1. Purpose of this Document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The base SRS (v2.0) defined four broad difficulty bands (Junior / Middle / Senior / Senior Secondary). This annexure expands that into a full class-by-class specification — Class 1 through Class 12, individually — so that content, exercise design, and UI/animation intensity are precisely defined at every grade level, with no ambiguity for the design or engineering team.</w:t>
      </w:r>
    </w:p>
    <w:p>
      <w:pPr>
        <w:pBdr>
          <w:left w:val="single" w:color="F97316" w:sz="18" w:space="8"/>
        </w:pBdr>
        <w:shd w:fill="FFF7ED" w:val="clear"/>
        <w:spacing w:after="160" w:line="280"/>
      </w:pPr>
      <w:r>
        <w:rPr>
          <w:i/>
          <w:iCs/>
          <w:color w:val="C2410C"/>
          <w:sz w:val="20"/>
          <w:szCs w:val="20"/>
        </w:rPr>
        <w:t xml:space="preserve">This is a recommended default curriculum structure aligned to typical Indian school English syllabi and CEFR progression. Exact word counts, passage lengths, and topics should be reviewed/approved by the school's English faculty before content production begins.</w:t>
      </w:r>
    </w:p>
    <w:p>
      <w:pPr>
        <w:spacing w:after="15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2. Class-wise Difficulty &amp; CEFR Mapping —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000"/>
        <w:gridCol w:w="3600"/>
      </w:tblGrid>
      <w:tr>
        <w:trPr>
          <w:tblHeader/>
        </w:trPr>
        <w:tc>
          <w:tcPr>
            <w:tcW w:type="dxa" w:w="13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26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 Name</w:t>
            </w:r>
          </w:p>
        </w:tc>
        <w:tc>
          <w:tcPr>
            <w:tcW w:type="dxa" w:w="20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CEFR (approx.)</w:t>
            </w:r>
          </w:p>
        </w:tc>
        <w:tc>
          <w:tcPr>
            <w:tcW w:type="dxa" w:w="36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Animation / UI Intensity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1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Foundational / Pre-Reader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Pre-A1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Maximum — mascot-led, voice-over only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2</w:t>
            </w:r>
          </w:p>
        </w:tc>
        <w:tc>
          <w:tcPr>
            <w:tcW w:type="dxa" w:w="2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Early Reader</w:t>
            </w:r>
          </w:p>
        </w:tc>
        <w:tc>
          <w:tcPr>
            <w:tcW w:type="dxa" w:w="20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Pre-A1 → A1</w:t>
            </w:r>
          </w:p>
        </w:tc>
        <w:tc>
          <w:tcPr>
            <w:tcW w:type="dxa" w:w="3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3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Beginner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A1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 → Moderate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4</w:t>
            </w:r>
          </w:p>
        </w:tc>
        <w:tc>
          <w:tcPr>
            <w:tcW w:type="dxa" w:w="2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Elementary</w:t>
            </w:r>
          </w:p>
        </w:tc>
        <w:tc>
          <w:tcPr>
            <w:tcW w:type="dxa" w:w="20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A1+</w:t>
            </w:r>
          </w:p>
        </w:tc>
        <w:tc>
          <w:tcPr>
            <w:tcW w:type="dxa" w:w="3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5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Elementary+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A2 (entry)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Moderate → Low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6</w:t>
            </w:r>
          </w:p>
        </w:tc>
        <w:tc>
          <w:tcPr>
            <w:tcW w:type="dxa" w:w="2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Pre-Intermediate</w:t>
            </w:r>
          </w:p>
        </w:tc>
        <w:tc>
          <w:tcPr>
            <w:tcW w:type="dxa" w:w="20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A2</w:t>
            </w:r>
          </w:p>
        </w:tc>
        <w:tc>
          <w:tcPr>
            <w:tcW w:type="dxa" w:w="3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7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Intermediate (entry)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A2+ / B1 (entry)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Low, exam-style begins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8</w:t>
            </w:r>
          </w:p>
        </w:tc>
        <w:tc>
          <w:tcPr>
            <w:tcW w:type="dxa" w:w="2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20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B1</w:t>
            </w:r>
          </w:p>
        </w:tc>
        <w:tc>
          <w:tcPr>
            <w:tcW w:type="dxa" w:w="3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Minimal, timed-test mode added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9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Intermediate+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B1+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Minimal, board-pattern tests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10</w:t>
            </w:r>
          </w:p>
        </w:tc>
        <w:tc>
          <w:tcPr>
            <w:tcW w:type="dxa" w:w="2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Upper-Intermediate</w:t>
            </w:r>
          </w:p>
        </w:tc>
        <w:tc>
          <w:tcPr>
            <w:tcW w:type="dxa" w:w="20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B1+ / B2 (entry)</w:t>
            </w:r>
          </w:p>
        </w:tc>
        <w:tc>
          <w:tcPr>
            <w:tcW w:type="dxa" w:w="3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Minimal, full exam simulation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11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Advanced (entry)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B2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Professional, career-oriented</w:t>
            </w:r>
          </w:p>
        </w:tc>
      </w:tr>
      <w:tr>
        <w:tc>
          <w:tcPr>
            <w:tcW w:type="dxa" w:w="13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12</w:t>
            </w:r>
          </w:p>
        </w:tc>
        <w:tc>
          <w:tcPr>
            <w:tcW w:type="dxa" w:w="2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Advanced</w:t>
            </w:r>
          </w:p>
        </w:tc>
        <w:tc>
          <w:tcPr>
            <w:tcW w:type="dxa" w:w="20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B2+</w:t>
            </w:r>
          </w:p>
        </w:tc>
        <w:tc>
          <w:tcPr>
            <w:tcW w:type="dxa" w:w="36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Professional, full benchmarking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3. Class-by-Class Detailed LSRW Curriculum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Each class below specifies exact Listening, Speaking, Reading, and Writing expectations, along with the UI/animation treatment appropriate for that age group.</w:t>
      </w: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1  —  Foundational / Pre-Reader  (CEFR ~Pre-A1)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Maximum animation: mascot guide, voice-over instructions (no text dependency), big colourful tap targets, confetti on every correct answer, no timers.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Single words and animal/object sounds; simple greetings (Hello, Good morning); 10–15 second audio clips paired with pictures. Exercise: tap the picture that matches the sound heard.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Repeat single words after audio playback; say alphabet sounds (phonics); name objects shown in pictures. Recordings are 5–10 seconds, reviewed by teacher only for encouragement, not scored harshly.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Alphabet recognition (A–Z), phonics (A for Apple), picture-word matching, first sight words (cat, dog, sun, ball) — no independent paragraph reading yet.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Letter tracing (A–Z, both cases), simple word copying (3-letter words), draw-and-label-a-picture activities.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2  —  Early Reader  (CEFR ~Pre-A1 → A1)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High animation retained, slightly more text support alongside audio, simple labelled navigation icons introduced.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Simple 2–3 word sentences, short rhymes/poems. Exercise: fill the missing word from picture options; arrange 2–3 story pictures in the order the audio describes.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Say simple sentences ("This is a ball"); recite short rhymes; describe a picture in one sentence.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Simple 3–5 word sentences, short rhyming stories with strong picture support; sight-word bank expands to roughly 100 words.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Copy simple sentences; fill in the missing letter in a word; trace-then-write short words independently.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3  —  Beginner  (CEFR ~A1)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Animation reduced to reward moments only; lesson cards start showing readable instructions alongside icons; streak/badge system introduced.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Short stories (1–2 minutes), simple spoken instructions, daily-routine/weather audio. Exercise types: MCQ, true/false, sequence-the-events.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Describe your daily routine in 2–3 sentences; answer simple questions about a picture or story; short guided role-play (greeting a friend).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Short paragraphs (3–4 sentences) with picture support; guided read-aloud practice with teacher review.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Write 3–4 sentence paragraphs about self/family; simple guided diary entry; intro to basic nouns/verbs and punctuation (capital letters, full stop).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4  —  Elementary  (CEFR ~A1+)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Card-based lesson layout, moderate animation (reward-only), star ratings visible per exercise, weekly progress summary shown to student.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Short conversations between two people, simple announcements. Exercise: fill-in-the-blanks from audio, dictation of simple sentences.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Simple guided dialogues/conversations; describe a picture in 3–4 sentences; formal self-introduction practice.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Paragraph reading (5–6 sentences); comprehension questions; word-meaning matching exercises.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Paragraph writing (5–6 sentences) on familiar topics; introduction to informal letter writing (to a friend).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5  —  Elementary+  (CEFR ~A2 (entry))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Animation minimal, reserved for milestones; structured lesson dashboard; progress charts start appearing on student's own home screen.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Short stories/news for children, multi-speaker dialogues. Exercise: note key details from audio, sequence a multi-step process.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Structured Q&amp;A practice; 1-minute mini-presentation on a familiar topic; simple storytelling.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Passage reading (150–200 words); comprehension including simple inferential questions; active vocabulary building.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Structured paragraph writing; informal letter writing; grammar focus: tenses, prepositions.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6  —  Pre-Intermediate  (CEFR ~A2)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Clean, low-animation layout; performance data visible to the student (not just teacher); class-average comparison introduced gently.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News clips/podcasts made for children, task-based instructions. Exercise: dictation, detailed note-taking from audio.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Introduction to group discussion; simple debate on everyday topics; detailed picture description.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Passage reading (200–250 words); skimming/scanning practice; vocabulary-in-context questions.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Introductory essay writing (100–150 words); introduction to formal letter writing; grammar focus: complex sentence structures.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7  —  Intermediate (entry)  (CEFR ~A2+ / B1 (entry))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Exam-style layout begins to appear alongside practice mode; minimal animation; speed and accuracy metrics tracked per exercise.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Longer conversations/interviews, introductory academic-style listening. Exercise: summarize what was heard in 2–3 sentences.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Participate in a structured debate; extempore speaking (1–2 minutes); introductory mock-interview practice.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Passage reading (250–300 words); critical/analytical questions; inferring meaning of unfamiliar vocabulary from context.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Essay writing (150–200 words); introduction to article writing and report writing.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8  —  Intermediate  (CEFR ~B1)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Fully exam-oriented interface; timer-based practice tests introduced as an optional mode alongside untimed practice.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Academic-style lectures/talks, exposure to varied accents. Exercise: detailed comprehension questions, gap-fill directly from audio.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Formal presentation practice; structured debates; role-play interviews.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Passage reading (300–350 words); analytical comprehension; introduction to literary text extracts.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Essay writing (200–250 words); formal and informal letter writing; notice/message writing.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9  —  Intermediate+  (CEFR ~B1+)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Board-exam-pattern practice tests available; detailed analytics dashboard for the student showing skill-wise trend over the term.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Board-exam-style listening comprehension passages; note-making from extended audio.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Formal group discussion practice; extempore speaking (2–3 minutes); JAM (Just-A-Minute) style sessions.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Passage reading (350–400 words); factual and literary comprehension; unseen-passage practice.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Essay writing (250–300 words); article writing; formal letter writing; analytical paragraph writing.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10  —  Upper-Intermediate  (CEFR ~B1+ / B2 (entry))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Full exam-simulation mode (timed, board-pattern); detailed performance analytics with class/section-average comparison for self-benchmarking.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Advanced listening comprehension in board-exam pattern; interview and lecture excerpt comprehension.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Mock interview practice; formal debates; public-speaking practice sessions.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Passage reading (400–450 words); comprehension, vocabulary, and inference combined; unseen-passage board-pattern practice.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Essay writing (300+ words); formal letter/application writing; report writing; analytical writing.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11  —  Advanced (entry)  (CEFR ~B2)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Professional, near-minimal gamification; career-oriented framing (competitive-exam and interview preparation tone) rather than school-reward tone.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Academic/professional-style listening (lecture and talk excerpts); note-taking and summarizing extended audio.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Advanced debate practice; group discussion (GD) practice for competitive exams; formal presentation skills.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Advanced passages (450–500+ words); critical analysis; editorial/opinion-piece reading practice.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Essay writing (350+ words); article and report writing; formal business-style letter writing; argumentative writing.</w:t>
            </w:r>
          </w:p>
        </w:tc>
      </w:tr>
    </w:tbl>
    <w:p>
      <w:pPr>
        <w:spacing w:after="200"/>
      </w:pPr>
    </w:p>
    <w:p>
      <w:pPr>
        <w:shd w:fill="F97316" w:val="clear"/>
        <w:spacing w:after="60" w:before="320"/>
      </w:pPr>
      <w:r>
        <w:rPr>
          <w:b/>
          <w:bCs/>
          <w:color w:val="FFFFFF"/>
          <w:sz w:val="24"/>
          <w:szCs w:val="24"/>
        </w:rPr>
        <w:t xml:space="preserve">  Class 12  —  Advanced  (CEFR ~B2+)</w:t>
      </w:r>
    </w:p>
    <w:p>
      <w:pPr>
        <w:shd w:fill="FFF7ED" w:val="clear"/>
        <w:spacing w:after="120"/>
      </w:pPr>
      <w:r>
        <w:rPr>
          <w:i/>
          <w:iCs/>
          <w:color w:val="C2410C"/>
          <w:sz w:val="19"/>
          <w:szCs w:val="19"/>
        </w:rPr>
        <w:t xml:space="preserve">  UI / Animation Style: Fully professional dashboard; complete exam-simulation mode; results benchmarking against class, section, and (optionally) school-wide performance.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 Curriculum &amp; Exercise Design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Listening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Competitive-exam-style listening comprehension; interview and lecture comprehension at natural native speaking pace.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Speaking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Mock interviews for college admissions/competitive exams; extempore speaking on abstract topics; formal debate.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Reading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Advanced/editorial passages (500+ words); critical reasoning and comprehension for competitive-exam readiness.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Writing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Essay writing (400+ words) for academic/competitive purposes; formal correspondence; report/article writing; structured long-form writing (e.g. statement-of-purpose style tasks).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4. Content Volume Guidance (per class band)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400"/>
        <w:gridCol w:w="3000"/>
      </w:tblGrid>
      <w:tr>
        <w:trPr>
          <w:tblHeader/>
        </w:trPr>
        <w:tc>
          <w:tcPr>
            <w:tcW w:type="dxa" w:w="16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 Band</w:t>
            </w:r>
          </w:p>
        </w:tc>
        <w:tc>
          <w:tcPr>
            <w:tcW w:type="dxa" w:w="25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Active Vocabulary Target</w:t>
            </w:r>
          </w:p>
        </w:tc>
        <w:tc>
          <w:tcPr>
            <w:tcW w:type="dxa" w:w="24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Listening Clip Length</w:t>
            </w:r>
          </w:p>
        </w:tc>
        <w:tc>
          <w:tcPr>
            <w:tcW w:type="dxa" w:w="30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Reading Passage Length</w:t>
            </w:r>
          </w:p>
        </w:tc>
      </w:tr>
      <w:tr>
        <w:tc>
          <w:tcPr>
            <w:tcW w:type="dxa" w:w="16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1-2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~150-300 words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10-30 seconds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Single sentences / picture-story</w:t>
            </w:r>
          </w:p>
        </w:tc>
      </w:tr>
      <w:tr>
        <w:tc>
          <w:tcPr>
            <w:tcW w:type="dxa" w:w="16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3-5</w:t>
            </w:r>
          </w:p>
        </w:tc>
        <w:tc>
          <w:tcPr>
            <w:tcW w:type="dxa" w:w="25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~300-800 words</w:t>
            </w:r>
          </w:p>
        </w:tc>
        <w:tc>
          <w:tcPr>
            <w:tcW w:type="dxa" w:w="24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30-90 seconds</w:t>
            </w:r>
          </w:p>
        </w:tc>
        <w:tc>
          <w:tcPr>
            <w:tcW w:type="dxa" w:w="30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3-6 sentences → 150-200 words</w:t>
            </w:r>
          </w:p>
        </w:tc>
      </w:tr>
      <w:tr>
        <w:tc>
          <w:tcPr>
            <w:tcW w:type="dxa" w:w="16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6-8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~800-1800 words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1-3 minutes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200-350 words</w:t>
            </w:r>
          </w:p>
        </w:tc>
      </w:tr>
      <w:tr>
        <w:tc>
          <w:tcPr>
            <w:tcW w:type="dxa" w:w="16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9-10</w:t>
            </w:r>
          </w:p>
        </w:tc>
        <w:tc>
          <w:tcPr>
            <w:tcW w:type="dxa" w:w="25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~1800-3000 words</w:t>
            </w:r>
          </w:p>
        </w:tc>
        <w:tc>
          <w:tcPr>
            <w:tcW w:type="dxa" w:w="24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2-4 minutes</w:t>
            </w:r>
          </w:p>
        </w:tc>
        <w:tc>
          <w:tcPr>
            <w:tcW w:type="dxa" w:w="30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350-450 words</w:t>
            </w:r>
          </w:p>
        </w:tc>
      </w:tr>
      <w:tr>
        <w:tc>
          <w:tcPr>
            <w:tcW w:type="dxa" w:w="16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11-12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3000+ words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3-6 minutes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450-500+ words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5. Progression Logic (why difficulty increases this way)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Classes 1-2: build foundational phonics, sight-word recognition, and listening/speaking comfort before any independent reading or writing is expected.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Classes 3-5: shift from picture-dependency to short independent paragraphs; grammar and structured writing begin.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Classes 6-8: introduce analytical comprehension, structured essay/report writing, and exam-style timed practice.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Classes 9-10: align closely with board-exam patterns — this is where accuracy and speed under timed conditions matter most.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Classes 11-12: shift tone from "school learning" to "competitive/professional readiness" — GD/PI practice, formal correspondence, and abstract-topic speaking.</w:t>
      </w:r>
    </w:p>
    <w:p>
      <w:pPr>
        <w:spacing w:after="20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6. Teacher Monitoring Calibration by Band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0"/>
      </w:tblGrid>
      <w:tr>
        <w:trPr>
          <w:tblHeader/>
        </w:trPr>
        <w:tc>
          <w:tcPr>
            <w:tcW w:type="dxa" w:w="17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 Band</w:t>
            </w:r>
          </w:p>
        </w:tc>
        <w:tc>
          <w:tcPr>
            <w:tcW w:type="dxa" w:w="7800"/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 Teacher's Live Monitoring View Emphasizes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1-3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Whether the student is engaged/active at all (attention/idle detection matters more than raw score); simple green/amber/red status per student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4-7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Progress percentage through the current exercise, and flags for students stuck/repeating the same question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8-10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Score trend and timed-test performance; flags for students falling behind class average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Class 11-12</w:t>
            </w:r>
          </w:p>
        </w:tc>
        <w:tc>
          <w:tcPr>
            <w:tcW w:type="dxa" w:w="7800"/>
            <w:shd w:fill="FFF7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Detailed skill-wise breakdown per session, framed around exam/interview readiness metrics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97316" w:sz="6" w:space="4"/>
        </w:pBdr>
        <w:spacing w:after="200" w:before="400"/>
      </w:pPr>
      <w:r>
        <w:rPr>
          <w:b/>
          <w:bCs/>
          <w:color w:val="C2410C"/>
          <w:sz w:val="30"/>
          <w:szCs w:val="30"/>
        </w:rPr>
        <w:t xml:space="preserve">7. Next Step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This document, together with SRS v2.0, gives the engineering and design team everything needed to define per-class content templates and build the class-adaptive rendering logic for the frontend-only demo. Ready to proceed to the detailed Frontend-Only Demo Build Prompt (white + orange theme) incorporating this exact class-wise structure.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2026-08-12T04:56:28.482Z</dcterms:created>
  <dcterms:modified xsi:type="dcterms:W3CDTF">2026-08-12T04:56:28.495Z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