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IMPAQT Isoform Abundance Estimation</w:t>
      </w:r>
    </w:p>
    <w:p>
      <w:pPr>
        <w:pStyle w:val="Normal"/>
        <w:bidi w:val="0"/>
        <w:jc w:val="center"/>
        <w:rPr/>
      </w:pPr>
      <w:r>
        <w:rPr/>
      </w:r>
    </w:p>
    <w:p>
      <w:pPr>
        <w:pStyle w:val="Normal"/>
        <w:bidi w:val="0"/>
        <w:jc w:val="left"/>
        <w:rPr/>
      </w:pPr>
      <w:r>
        <w:rPr>
          <w:color w:val="auto"/>
          <w:u w:val="none"/>
        </w:rPr>
        <w:t xml:space="preserve">MISO: </w:t>
      </w:r>
      <w:r>
        <w:rPr>
          <w:rStyle w:val="InternetLink"/>
          <w:color w:val="auto"/>
          <w:u w:val="none"/>
        </w:rPr>
        <w:t>https://www.nature.com/articles/nmeth.1528#Sec13</w:t>
      </w:r>
    </w:p>
    <w:p>
      <w:pPr>
        <w:pStyle w:val="Normal"/>
        <w:bidi w:val="0"/>
        <w:jc w:val="left"/>
        <w:rPr/>
      </w:pPr>
      <w:r>
        <w:rPr>
          <w:color w:val="auto"/>
          <w:u w:val="none"/>
        </w:rPr>
        <w:t xml:space="preserve">MISO Supps: </w:t>
      </w:r>
      <w:r>
        <w:rPr>
          <w:rStyle w:val="InternetLink"/>
          <w:color w:val="auto"/>
          <w:u w:val="none"/>
        </w:rPr>
        <w:t>https://static-content.springer.com/esm/art%3A10.1038%2Fnmeth.1528/MediaObjects/41592_2010_BFnmeth1528_MOESM151_ESM.pdf</w:t>
      </w:r>
    </w:p>
    <w:p>
      <w:pPr>
        <w:pStyle w:val="Normal"/>
        <w:bidi w:val="0"/>
        <w:jc w:val="left"/>
        <w:rPr>
          <w:color w:val="auto"/>
          <w:u w:val="none"/>
        </w:rPr>
      </w:pPr>
      <w:r>
        <w:rPr>
          <w:color w:val="auto"/>
          <w:u w:val="none"/>
        </w:rPr>
        <w:t>QuantSeq: https://www.nature.com/articles/nmeth.f.376</w:t>
      </w:r>
    </w:p>
    <w:p>
      <w:pPr>
        <w:pStyle w:val="Normal"/>
        <w:bidi w:val="0"/>
        <w:jc w:val="center"/>
        <w:rPr/>
      </w:pPr>
      <w:r>
        <w:rPr/>
      </w:r>
    </w:p>
    <w:p>
      <w:pPr>
        <w:pStyle w:val="Normal"/>
        <w:bidi w:val="0"/>
        <w:jc w:val="left"/>
        <w:rPr/>
      </w:pPr>
      <w:r>
        <w:rPr/>
        <w:t xml:space="preserve">Ok so the issue is that I was saying P(R|GC(I)) impacts estimation and not actually what it represents which is it’s update of read assignment. This is dumb or at least not necessarily our problem. GC bias should probably be used to estimate the prior. </w:t>
      </w:r>
    </w:p>
    <w:p>
      <w:pPr>
        <w:pStyle w:val="Normal"/>
        <w:bidi w:val="0"/>
        <w:jc w:val="left"/>
        <w:rPr/>
      </w:pPr>
      <w:r>
        <w:rPr/>
      </w:r>
    </w:p>
    <w:p>
      <w:pPr>
        <w:pStyle w:val="Normal"/>
        <w:bidi w:val="0"/>
        <w:jc w:val="center"/>
        <w:rPr/>
      </w:pPr>
      <w:r>
        <w:rPr>
          <w:b w:val="false"/>
          <w:bCs w:val="false"/>
          <w:i w:val="false"/>
          <w:iCs w:val="false"/>
        </w:rPr>
        <w:t xml:space="preserve">P( </w:t>
      </w:r>
      <w:r>
        <w:rPr>
          <w:rFonts w:eastAsia="Noto Serif CJK SC" w:cs="Noto Sans Devanagari"/>
          <w:b/>
          <w:bCs/>
          <w:i/>
          <w:iCs/>
        </w:rPr>
        <w:t xml:space="preserve">Ψ </w:t>
      </w:r>
      <w:r>
        <w:rPr>
          <w:b w:val="false"/>
          <w:bCs w:val="false"/>
          <w:i w:val="false"/>
          <w:iCs w:val="false"/>
        </w:rPr>
        <w:t xml:space="preserve">| </w:t>
      </w:r>
      <w:r>
        <w:rPr>
          <w:b/>
          <w:bCs/>
          <w:i/>
          <w:iCs/>
        </w:rPr>
        <w:t>R</w:t>
      </w:r>
      <w:r>
        <w:rPr>
          <w:b w:val="false"/>
          <w:bCs w:val="false"/>
          <w:i w:val="false"/>
          <w:iCs w:val="false"/>
        </w:rPr>
        <w:t xml:space="preserve"> ) =  P( </w:t>
      </w:r>
      <w:r>
        <w:rPr>
          <w:b/>
          <w:bCs/>
          <w:i/>
          <w:iCs/>
        </w:rPr>
        <w:t xml:space="preserve">R </w:t>
      </w:r>
      <w:r>
        <w:rPr>
          <w:b w:val="false"/>
          <w:bCs w:val="false"/>
          <w:i w:val="false"/>
          <w:iCs w:val="false"/>
        </w:rPr>
        <w:t xml:space="preserve">| </w:t>
      </w:r>
      <w:r>
        <w:rPr>
          <w:rFonts w:eastAsia="Noto Serif CJK SC" w:cs="Noto Sans Devanagari"/>
          <w:b/>
          <w:bCs/>
          <w:i/>
          <w:iCs/>
        </w:rPr>
        <w:t>Ψ</w:t>
      </w:r>
      <w:r>
        <w:rPr>
          <w:b/>
          <w:bCs/>
          <w:i/>
          <w:iCs/>
        </w:rPr>
        <w:t xml:space="preserve"> </w:t>
      </w:r>
      <w:r>
        <w:rPr>
          <w:b w:val="false"/>
          <w:bCs w:val="false"/>
          <w:i w:val="false"/>
          <w:iCs w:val="false"/>
        </w:rPr>
        <w:t xml:space="preserve">) *  P( </w:t>
      </w:r>
      <w:r>
        <w:rPr>
          <w:rFonts w:eastAsia="Noto Serif CJK SC" w:cs="Noto Sans Devanagari"/>
          <w:b/>
          <w:bCs/>
          <w:i/>
          <w:iCs/>
        </w:rPr>
        <w:t>Ψ</w:t>
      </w:r>
      <w:r>
        <w:rPr>
          <w:b/>
          <w:bCs/>
          <w:i/>
          <w:iCs/>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 xml:space="preserve">P( </w:t>
      </w:r>
      <w:r>
        <w:rPr>
          <w:b/>
          <w:bCs/>
          <w:i/>
          <w:iCs/>
        </w:rPr>
        <w:t xml:space="preserve">R </w:t>
      </w:r>
      <w:r>
        <w:rPr>
          <w:b w:val="false"/>
          <w:bCs w:val="false"/>
          <w:i w:val="false"/>
          <w:iCs w:val="false"/>
        </w:rPr>
        <w:t>)</w:t>
      </w:r>
    </w:p>
    <w:p>
      <w:pPr>
        <w:pStyle w:val="Normal"/>
        <w:bidi w:val="0"/>
        <w:jc w:val="center"/>
        <w:rPr/>
      </w:pPr>
      <w:r>
        <w:rPr/>
      </w:r>
    </w:p>
    <w:p>
      <w:pPr>
        <w:pStyle w:val="Normal"/>
        <w:bidi w:val="0"/>
        <w:jc w:val="center"/>
        <w:rPr/>
      </w:pPr>
      <w:r>
        <w:rPr>
          <w:b w:val="false"/>
          <w:bCs w:val="false"/>
          <w:i w:val="false"/>
          <w:iCs w:val="false"/>
        </w:rPr>
        <w:t xml:space="preserve">P( </w:t>
      </w:r>
      <w:r>
        <w:rPr>
          <w:b/>
          <w:bCs/>
          <w:i/>
          <w:iCs/>
        </w:rPr>
        <w:t xml:space="preserve">R </w:t>
      </w:r>
      <w:r>
        <w:rPr>
          <w:b w:val="false"/>
          <w:bCs w:val="false"/>
          <w:i w:val="false"/>
          <w:iCs w:val="false"/>
        </w:rPr>
        <w:t xml:space="preserve">| </w:t>
      </w:r>
      <w:r>
        <w:rPr>
          <w:rFonts w:eastAsia="Noto Serif CJK SC" w:cs="Noto Sans Devanagari"/>
          <w:b/>
          <w:bCs/>
          <w:i/>
          <w:iCs/>
        </w:rPr>
        <w:t>Ψ</w:t>
      </w:r>
      <w:r>
        <w:rPr>
          <w:b/>
          <w:bCs/>
          <w:i/>
          <w:iCs/>
        </w:rPr>
        <w:t xml:space="preserve"> </w:t>
      </w:r>
      <w:r>
        <w:rPr>
          <w:b w:val="false"/>
          <w:bCs w:val="false"/>
          <w:i w:val="false"/>
          <w:iCs w:val="false"/>
        </w:rPr>
        <w:t xml:space="preserve">) = P( </w:t>
      </w:r>
      <w:r>
        <w:rPr>
          <w:b/>
          <w:bCs/>
          <w:i/>
          <w:iCs/>
        </w:rPr>
        <w:t>R</w:t>
      </w:r>
      <w:r>
        <w:rPr>
          <w:b w:val="false"/>
          <w:bCs w:val="false"/>
          <w:i w:val="false"/>
          <w:iCs w:val="false"/>
        </w:rPr>
        <w:t xml:space="preserve"> | </w:t>
      </w:r>
      <w:r>
        <w:rPr>
          <w:b/>
          <w:bCs/>
          <w:i/>
          <w:iCs/>
        </w:rPr>
        <w:t xml:space="preserve">I </w:t>
      </w:r>
      <w:r>
        <w:rPr>
          <w:b w:val="false"/>
          <w:bCs w:val="false"/>
          <w:i w:val="false"/>
          <w:iCs w:val="false"/>
        </w:rPr>
        <w:t xml:space="preserve">) * P( </w:t>
      </w:r>
      <w:r>
        <w:rPr>
          <w:b/>
          <w:bCs/>
          <w:i/>
          <w:iCs/>
        </w:rPr>
        <w:t>I</w:t>
      </w:r>
      <w:r>
        <w:rPr>
          <w:b w:val="false"/>
          <w:bCs w:val="false"/>
          <w:i w:val="false"/>
          <w:iCs w:val="false"/>
        </w:rPr>
        <w:t xml:space="preserve"> | </w:t>
      </w:r>
      <w:r>
        <w:rPr>
          <w:rFonts w:eastAsia="Noto Serif CJK SC" w:cs="Noto Sans Devanagari"/>
          <w:b/>
          <w:bCs/>
          <w:i/>
          <w:iCs/>
        </w:rPr>
        <w:t xml:space="preserve">Ψ </w:t>
      </w:r>
      <w:r>
        <w:rPr>
          <w:rFonts w:eastAsia="Noto Serif CJK SC" w:cs="Noto Sans Devanagari"/>
          <w:b w:val="false"/>
          <w:bCs w:val="false"/>
          <w:i w:val="false"/>
          <w:iCs w:val="false"/>
        </w:rPr>
        <w:t>)</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b w:val="false"/>
          <w:bCs w:val="false"/>
          <w:i w:val="false"/>
          <w:iCs w:val="false"/>
        </w:rPr>
        <w:t xml:space="preserve">P( </w:t>
      </w:r>
      <w:r>
        <w:rPr>
          <w:rFonts w:eastAsia="Noto Serif CJK SC" w:cs="Noto Sans Devanagari"/>
          <w:b/>
          <w:bCs/>
          <w:i/>
          <w:iCs/>
        </w:rPr>
        <w:t xml:space="preserve">Ψ </w:t>
      </w:r>
      <w:r>
        <w:rPr>
          <w:b w:val="false"/>
          <w:bCs w:val="false"/>
          <w:i w:val="false"/>
          <w:iCs w:val="false"/>
        </w:rPr>
        <w:t xml:space="preserve">| </w:t>
      </w:r>
      <w:r>
        <w:rPr>
          <w:b/>
          <w:bCs/>
          <w:i/>
          <w:iCs/>
        </w:rPr>
        <w:t>R</w:t>
      </w:r>
      <w:r>
        <w:rPr>
          <w:b w:val="false"/>
          <w:bCs w:val="false"/>
          <w:i w:val="false"/>
          <w:iCs w:val="false"/>
        </w:rPr>
        <w:t xml:space="preserve"> )   =    P( </w:t>
      </w:r>
      <w:r>
        <w:rPr>
          <w:b/>
          <w:bCs/>
          <w:i/>
          <w:iCs/>
        </w:rPr>
        <w:t>R</w:t>
      </w:r>
      <w:r>
        <w:rPr>
          <w:b w:val="false"/>
          <w:bCs w:val="false"/>
          <w:i w:val="false"/>
          <w:iCs w:val="false"/>
        </w:rPr>
        <w:t xml:space="preserve"> | </w:t>
      </w:r>
      <w:r>
        <w:rPr>
          <w:b/>
          <w:bCs/>
          <w:i/>
          <w:iCs/>
        </w:rPr>
        <w:t xml:space="preserve">I </w:t>
      </w:r>
      <w:r>
        <w:rPr>
          <w:b w:val="false"/>
          <w:bCs w:val="false"/>
          <w:i w:val="false"/>
          <w:iCs w:val="false"/>
        </w:rPr>
        <w:t xml:space="preserve">) * P( </w:t>
      </w:r>
      <w:r>
        <w:rPr>
          <w:b/>
          <w:bCs/>
          <w:i/>
          <w:iCs/>
        </w:rPr>
        <w:t>I</w:t>
      </w:r>
      <w:r>
        <w:rPr>
          <w:b w:val="false"/>
          <w:bCs w:val="false"/>
          <w:i w:val="false"/>
          <w:iCs w:val="false"/>
        </w:rPr>
        <w:t xml:space="preserve"> | </w:t>
      </w:r>
      <w:r>
        <w:rPr>
          <w:rFonts w:eastAsia="Noto Serif CJK SC" w:cs="Noto Sans Devanagari"/>
          <w:b/>
          <w:bCs/>
          <w:i/>
          <w:iCs/>
        </w:rPr>
        <w:t xml:space="preserve">Ψ </w:t>
      </w:r>
      <w:r>
        <w:rPr>
          <w:rFonts w:eastAsia="Noto Serif CJK SC" w:cs="Noto Sans Devanagari"/>
          <w:b w:val="false"/>
          <w:bCs w:val="false"/>
          <w:i w:val="false"/>
          <w:iCs w:val="false"/>
        </w:rPr>
        <w:t>)</w:t>
      </w:r>
      <w:r>
        <w:rPr>
          <w:b w:val="false"/>
          <w:bCs w:val="false"/>
          <w:i w:val="false"/>
          <w:iCs w:val="false"/>
        </w:rPr>
        <w:t xml:space="preserve"> *  P( </w:t>
      </w:r>
      <w:r>
        <w:rPr>
          <w:rFonts w:eastAsia="Noto Serif CJK SC" w:cs="Noto Sans Devanagari"/>
          <w:b/>
          <w:bCs/>
          <w:i/>
          <w:iCs/>
        </w:rPr>
        <w:t>Ψ</w:t>
      </w:r>
      <w:r>
        <w:rPr>
          <w:b/>
          <w:bCs/>
          <w:i/>
          <w:iCs/>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 xml:space="preserve">R </w:t>
      </w:r>
      <w:r>
        <w:rPr>
          <w:rFonts w:eastAsia="Noto Serif CJK SC" w:cs="Noto Sans Devanagari"/>
          <w:b w:val="false"/>
          <w:bCs w:val="false"/>
          <w:i w:val="false"/>
          <w:iCs w:val="false"/>
        </w:rPr>
        <w:t>)</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 xml:space="preserve">I </w:t>
      </w:r>
      <w:r>
        <w:rPr>
          <w:rFonts w:eastAsia="Noto Serif CJK SC" w:cs="Noto Sans Devanagari"/>
          <w:b w:val="false"/>
          <w:bCs w:val="false"/>
          <w:i w:val="false"/>
          <w:iCs w:val="false"/>
        </w:rPr>
        <w:t>)  = Some function of it’s distance to the read</w:t>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I</w:t>
      </w:r>
      <w:r>
        <w:rPr>
          <w:rFonts w:eastAsia="Noto Serif CJK SC" w:cs="Noto Sans Devanagari"/>
          <w:b w:val="false"/>
          <w:bCs w:val="false"/>
          <w:i w:val="false"/>
          <w:iCs w:val="false"/>
        </w:rPr>
        <w:t xml:space="preserve"> | </w:t>
      </w:r>
      <w:r>
        <w:rPr>
          <w:rFonts w:eastAsia="Noto Serif CJK SC" w:cs="Noto Sans Devanagari"/>
          <w:b/>
          <w:bCs/>
          <w:i/>
          <w:iCs/>
        </w:rPr>
        <w:t xml:space="preserve">Ψ </w:t>
      </w:r>
      <w:r>
        <w:rPr>
          <w:rFonts w:eastAsia="Noto Serif CJK SC" w:cs="Noto Sans Devanagari"/>
          <w:b w:val="false"/>
          <w:bCs w:val="false"/>
          <w:i w:val="false"/>
          <w:iCs w:val="false"/>
        </w:rPr>
        <w:t>) = Basically the relative expression of the clusters updated for GC bias (will have to model GC bias for this)</w:t>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 xml:space="preserve">Ψ </w:t>
      </w:r>
      <w:r>
        <w:rPr>
          <w:rFonts w:eastAsia="Noto Serif CJK SC" w:cs="Noto Sans Devanagari"/>
          <w:b w:val="false"/>
          <w:bCs w:val="false"/>
          <w:i w:val="false"/>
          <w:iCs w:val="false"/>
        </w:rPr>
        <w:t>) = Uniform Distribution</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tab/>
        <w:t>Let</w:t>
      </w:r>
      <w:r>
        <w:rPr>
          <w:b/>
          <w:bCs/>
          <w:i/>
          <w:iCs/>
        </w:rPr>
        <w:t xml:space="preserve"> I </w:t>
      </w:r>
      <w:r>
        <w:rPr/>
        <w:t xml:space="preserve">represent the abundance of a transcript isoform and </w:t>
      </w:r>
      <w:r>
        <w:rPr>
          <w:b/>
          <w:bCs/>
          <w:i/>
          <w:iCs/>
        </w:rPr>
        <w:t xml:space="preserve">R </w:t>
      </w:r>
      <w:r>
        <w:rPr>
          <w:b w:val="false"/>
          <w:bCs w:val="false"/>
          <w:i w:val="false"/>
          <w:iCs w:val="false"/>
        </w:rPr>
        <w:t xml:space="preserve">represent a read potentially belonging to the isoform </w:t>
      </w:r>
      <w:r>
        <w:rPr>
          <w:b/>
          <w:bCs/>
          <w:i/>
          <w:iCs/>
        </w:rPr>
        <w:t>I</w:t>
      </w:r>
      <w:r>
        <w:rPr>
          <w:b w:val="false"/>
          <w:bCs w:val="false"/>
          <w:i w:val="false"/>
          <w:iCs w:val="false"/>
        </w:rPr>
        <w:t xml:space="preserve">. Intuitively, we know that the true abundance of </w:t>
      </w:r>
      <w:r>
        <w:rPr>
          <w:b/>
          <w:bCs/>
          <w:i/>
          <w:iCs/>
        </w:rPr>
        <w:t xml:space="preserve">I </w:t>
      </w:r>
      <w:r>
        <w:rPr>
          <w:b w:val="false"/>
          <w:bCs w:val="false"/>
          <w:i w:val="false"/>
          <w:iCs w:val="false"/>
        </w:rPr>
        <w:t xml:space="preserve">depends upon the probability that </w:t>
      </w:r>
      <w:r>
        <w:rPr>
          <w:b/>
          <w:bCs/>
          <w:i/>
          <w:iCs/>
        </w:rPr>
        <w:t xml:space="preserve">R </w:t>
      </w:r>
      <w:r>
        <w:rPr>
          <w:b w:val="false"/>
          <w:bCs w:val="false"/>
          <w:i w:val="false"/>
          <w:iCs w:val="false"/>
        </w:rPr>
        <w:t>originated from that isoform. So, from Bayes Rule we get…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pPr>
      <w:r>
        <w:rPr>
          <w:b w:val="false"/>
          <w:bCs w:val="false"/>
          <w:i w:val="false"/>
          <w:iCs w:val="false"/>
        </w:rPr>
        <w:t xml:space="preserve">P( </w:t>
      </w:r>
      <w:r>
        <w:rPr>
          <w:b/>
          <w:bCs/>
          <w:i/>
          <w:iCs/>
        </w:rPr>
        <w:t xml:space="preserve">I </w:t>
      </w:r>
      <w:r>
        <w:rPr>
          <w:b w:val="false"/>
          <w:bCs w:val="false"/>
          <w:i w:val="false"/>
          <w:iCs w:val="false"/>
        </w:rPr>
        <w:t xml:space="preserve">| </w:t>
      </w:r>
      <w:r>
        <w:rPr>
          <w:b/>
          <w:bCs/>
          <w:i/>
          <w:iCs/>
        </w:rPr>
        <w:t>R</w:t>
      </w:r>
      <w:r>
        <w:rPr>
          <w:b w:val="false"/>
          <w:bCs w:val="false"/>
          <w:i w:val="false"/>
          <w:iCs w:val="false"/>
        </w:rPr>
        <w:t xml:space="preserve"> ) =  P( </w:t>
      </w:r>
      <w:r>
        <w:rPr>
          <w:b/>
          <w:bCs/>
          <w:i/>
          <w:iCs/>
        </w:rPr>
        <w:t xml:space="preserve">R </w:t>
      </w:r>
      <w:r>
        <w:rPr>
          <w:b w:val="false"/>
          <w:bCs w:val="false"/>
          <w:i w:val="false"/>
          <w:iCs w:val="false"/>
        </w:rPr>
        <w:t xml:space="preserve">| </w:t>
      </w:r>
      <w:r>
        <w:rPr>
          <w:b/>
          <w:bCs/>
          <w:i/>
          <w:iCs/>
        </w:rPr>
        <w:t xml:space="preserve">I </w:t>
      </w:r>
      <w:r>
        <w:rPr>
          <w:b w:val="false"/>
          <w:bCs w:val="false"/>
          <w:i w:val="false"/>
          <w:iCs w:val="false"/>
        </w:rPr>
        <w:t xml:space="preserve">) * P( </w:t>
      </w:r>
      <w:r>
        <w:rPr>
          <w:b/>
          <w:bCs/>
          <w:i/>
          <w:iCs/>
        </w:rPr>
        <w:t xml:space="preserve">I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 xml:space="preserve">P( </w:t>
      </w:r>
      <w:r>
        <w:rPr>
          <w:b/>
          <w:bCs/>
          <w:i/>
          <w:iCs/>
        </w:rPr>
        <w:t xml:space="preserve">R </w:t>
      </w:r>
      <w:r>
        <w:rPr>
          <w:b w:val="false"/>
          <w:bCs w:val="false"/>
          <w:i w:val="false"/>
          <w:iCs w:val="false"/>
        </w:rPr>
        <w:t>)</w:t>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ab/>
        <w:t xml:space="preserve">Our understanding of the underlying process by which reads are generated from a particular isoform in TAGseq experiments tells that the likelihood of </w:t>
      </w:r>
      <w:r>
        <w:rPr>
          <w:b/>
          <w:bCs/>
          <w:i/>
          <w:iCs/>
        </w:rPr>
        <w:t xml:space="preserve">R </w:t>
      </w:r>
      <w:r>
        <w:rPr>
          <w:b w:val="false"/>
          <w:bCs w:val="false"/>
          <w:i w:val="false"/>
          <w:iCs w:val="false"/>
        </w:rPr>
        <w:t xml:space="preserve">given </w:t>
      </w:r>
      <w:r>
        <w:rPr>
          <w:b/>
          <w:bCs/>
          <w:i/>
          <w:iCs/>
        </w:rPr>
        <w:t xml:space="preserve">I </w:t>
      </w:r>
      <w:r>
        <w:rPr>
          <w:b w:val="false"/>
          <w:bCs w:val="false"/>
          <w:i w:val="false"/>
          <w:iCs w:val="false"/>
        </w:rPr>
        <w:t xml:space="preserve">can be described as </w:t>
      </w:r>
      <w:r>
        <w:rPr>
          <w:b/>
          <w:bCs/>
          <w:i/>
          <w:iCs/>
        </w:rPr>
        <w:t>R</w:t>
      </w:r>
      <w:r>
        <w:rPr>
          <w:b w:val="false"/>
          <w:bCs w:val="false"/>
          <w:i w:val="false"/>
          <w:iCs w:val="false"/>
        </w:rPr>
        <w:t xml:space="preserve">’s dependence on two random variables representing biases introduced during sequencing, namely random priming along the 3’ UTR for a given isoform, which we will denote as </w:t>
      </w:r>
      <w:r>
        <w:rPr>
          <w:b/>
          <w:bCs/>
          <w:i/>
          <w:iCs/>
        </w:rPr>
        <w:t xml:space="preserve">D(I), </w:t>
      </w:r>
      <w:r>
        <w:rPr>
          <w:b w:val="false"/>
          <w:bCs w:val="false"/>
          <w:i w:val="false"/>
          <w:iCs w:val="false"/>
        </w:rPr>
        <w:t xml:space="preserve">and the under-representation of sequences with greater proportions of G and C nucleotides, which we will denote as </w:t>
      </w:r>
      <w:r>
        <w:rPr>
          <w:b/>
          <w:bCs/>
          <w:i/>
          <w:iCs/>
        </w:rPr>
        <w:t>GC(I)</w:t>
      </w:r>
      <w:r>
        <w:rPr>
          <w:b w:val="false"/>
          <w:bCs w:val="false"/>
          <w:i w:val="false"/>
          <w:iCs w:val="false"/>
        </w:rPr>
        <w:t>. So, our likelihood term can be rewritten as…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pPr>
      <w:r>
        <w:rPr>
          <w:b w:val="false"/>
          <w:bCs w:val="false"/>
          <w:i w:val="false"/>
          <w:iCs w:val="false"/>
        </w:rPr>
        <w:t xml:space="preserve">P( </w:t>
      </w:r>
      <w:r>
        <w:rPr>
          <w:b/>
          <w:bCs/>
          <w:i/>
          <w:iCs/>
        </w:rPr>
        <w:t xml:space="preserve">R </w:t>
      </w:r>
      <w:r>
        <w:rPr>
          <w:b w:val="false"/>
          <w:bCs w:val="false"/>
          <w:i w:val="false"/>
          <w:iCs w:val="false"/>
        </w:rPr>
        <w:t xml:space="preserve">| </w:t>
      </w:r>
      <w:r>
        <w:rPr>
          <w:b/>
          <w:bCs/>
          <w:i/>
          <w:iCs/>
        </w:rPr>
        <w:t xml:space="preserve">I </w:t>
      </w:r>
      <w:r>
        <w:rPr>
          <w:b w:val="false"/>
          <w:bCs w:val="false"/>
          <w:i w:val="false"/>
          <w:iCs w:val="false"/>
        </w:rPr>
        <w:t xml:space="preserve">) = P( </w:t>
      </w:r>
      <w:r>
        <w:rPr>
          <w:b/>
          <w:bCs/>
          <w:i/>
          <w:iCs/>
        </w:rPr>
        <w:t>R</w:t>
      </w:r>
      <w:r>
        <w:rPr>
          <w:b w:val="false"/>
          <w:bCs w:val="false"/>
          <w:i w:val="false"/>
          <w:iCs w:val="false"/>
        </w:rPr>
        <w:t xml:space="preserve"> | </w:t>
      </w:r>
      <w:r>
        <w:rPr>
          <w:b/>
          <w:bCs/>
          <w:i/>
          <w:iCs/>
        </w:rPr>
        <w:t>GC(I)</w:t>
      </w:r>
      <w:r>
        <w:rPr>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ab/>
        <w:t xml:space="preserve">Given the rules for joint probabilities, we can rewrite our updated likelihood term as the joint probability of </w:t>
      </w:r>
      <w:r>
        <w:rPr>
          <w:rFonts w:eastAsia="Noto Serif CJK SC" w:cs="Noto Sans Devanagari"/>
          <w:b/>
          <w:bCs/>
          <w:i/>
          <w:iCs/>
        </w:rPr>
        <w:t>R</w:t>
      </w:r>
      <w:r>
        <w:rPr>
          <w:rFonts w:eastAsia="Noto Serif CJK SC" w:cs="Noto Sans Devanagari"/>
          <w:b w:val="false"/>
          <w:bCs w:val="false"/>
          <w:i w:val="false"/>
          <w:iCs w:val="false"/>
        </w:rPr>
        <w:t>,</w:t>
      </w:r>
      <w:r>
        <w:rPr>
          <w:rFonts w:eastAsia="Noto Serif CJK SC" w:cs="Noto Sans Devanagari"/>
          <w:b/>
          <w:bCs/>
          <w:i/>
          <w:iCs/>
        </w:rPr>
        <w:t xml:space="preserve"> GC(I)</w:t>
      </w:r>
      <w:r>
        <w:rPr>
          <w:rFonts w:eastAsia="Noto Serif CJK SC" w:cs="Noto Sans Devanagari"/>
          <w:b w:val="false"/>
          <w:bCs w:val="false"/>
          <w:i w:val="false"/>
          <w:iCs w:val="false"/>
        </w:rPr>
        <w:t xml:space="preserve">, and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GC(I)</w:t>
      </w:r>
      <w:r>
        <w:rPr>
          <w:rFonts w:eastAsia="Noto Serif CJK SC" w:cs="Noto Sans Devanagari"/>
          <w:b w:val="false"/>
          <w:bCs w:val="false"/>
          <w:i w:val="false"/>
          <w:iCs w:val="false"/>
        </w:rPr>
        <w:t xml:space="preserve"> ) * P(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ab/>
        <w:t xml:space="preserve">However, given that </w:t>
      </w:r>
      <w:r>
        <w:rPr>
          <w:rFonts w:eastAsia="Noto Serif CJK SC" w:cs="Noto Sans Devanagari"/>
          <w:b/>
          <w:bCs/>
          <w:i/>
          <w:iCs/>
        </w:rPr>
        <w:t>R</w:t>
      </w:r>
      <w:r>
        <w:rPr>
          <w:rFonts w:eastAsia="Noto Serif CJK SC" w:cs="Noto Sans Devanagari"/>
          <w:b w:val="false"/>
          <w:bCs w:val="false"/>
          <w:i w:val="false"/>
          <w:iCs w:val="false"/>
        </w:rPr>
        <w:t xml:space="preserve"> is conditional on </w:t>
      </w:r>
      <w:r>
        <w:rPr>
          <w:rFonts w:eastAsia="Noto Serif CJK SC" w:cs="Noto Sans Devanagari"/>
          <w:b/>
          <w:bCs/>
          <w:i/>
          <w:iCs/>
        </w:rPr>
        <w:t>GC(I)</w:t>
      </w:r>
      <w:r>
        <w:rPr>
          <w:rFonts w:eastAsia="Noto Serif CJK SC" w:cs="Noto Sans Devanagari"/>
          <w:b w:val="false"/>
          <w:bCs w:val="false"/>
          <w:i w:val="false"/>
          <w:iCs w:val="false"/>
        </w:rPr>
        <w:t xml:space="preserve"> and </w:t>
      </w:r>
      <w:r>
        <w:rPr>
          <w:rFonts w:eastAsia="Noto Serif CJK SC" w:cs="Noto Sans Devanagari"/>
          <w:b/>
          <w:bCs/>
          <w:i/>
          <w:iCs/>
        </w:rPr>
        <w:t>D(I)</w:t>
      </w:r>
      <w:r>
        <w:rPr>
          <w:rFonts w:eastAsia="Noto Serif CJK SC" w:cs="Noto Sans Devanagari"/>
          <w:b w:val="false"/>
          <w:bCs w:val="false"/>
          <w:i w:val="false"/>
          <w:iCs w:val="false"/>
        </w:rPr>
        <w:t xml:space="preserve"> but </w:t>
      </w:r>
      <w:r>
        <w:rPr>
          <w:rFonts w:eastAsia="Noto Serif CJK SC" w:cs="Noto Sans Devanagari"/>
          <w:b/>
          <w:bCs/>
          <w:i/>
          <w:iCs/>
        </w:rPr>
        <w:t>GC(I)</w:t>
      </w:r>
      <w:r>
        <w:rPr>
          <w:rFonts w:eastAsia="Noto Serif CJK SC" w:cs="Noto Sans Devanagari"/>
          <w:b w:val="false"/>
          <w:bCs w:val="false"/>
          <w:i w:val="false"/>
          <w:iCs w:val="false"/>
        </w:rPr>
        <w:t xml:space="preserve"> and </w:t>
      </w:r>
      <w:r>
        <w:rPr>
          <w:rFonts w:eastAsia="Noto Serif CJK SC" w:cs="Noto Sans Devanagari"/>
          <w:b/>
          <w:bCs/>
          <w:i/>
          <w:iCs/>
        </w:rPr>
        <w:t>D(I)</w:t>
      </w:r>
      <w:r>
        <w:rPr>
          <w:rFonts w:eastAsia="Noto Serif CJK SC" w:cs="Noto Sans Devanagari"/>
          <w:b w:val="false"/>
          <w:bCs w:val="false"/>
          <w:i w:val="false"/>
          <w:iCs w:val="false"/>
        </w:rPr>
        <w:t xml:space="preserve"> can be reasonably assumed to be independent, the joint probability of the three events can be rewritten as...</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 * P(</w:t>
      </w:r>
      <w:r>
        <w:rPr>
          <w:rFonts w:eastAsia="Noto Serif CJK SC" w:cs="Noto Sans Devanagari"/>
          <w:b/>
          <w:bCs/>
          <w:i/>
          <w:iCs/>
        </w:rPr>
        <w:t xml:space="preserve"> GC(I) </w:t>
      </w:r>
      <w:r>
        <w:rPr>
          <w:rFonts w:eastAsia="Noto Serif CJK SC" w:cs="Noto Sans Devanagari"/>
          <w:b w:val="false"/>
          <w:bCs w:val="false"/>
          <w:i w:val="false"/>
          <w:iCs w:val="false"/>
        </w:rPr>
        <w:t xml:space="preserve">)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D(I)</w:t>
      </w:r>
      <w:r>
        <w:rPr>
          <w:rFonts w:eastAsia="Noto Serif CJK SC" w:cs="Noto Sans Devanagari"/>
          <w:b w:val="false"/>
          <w:bCs w:val="false"/>
          <w:i w:val="false"/>
          <w:iCs w:val="false"/>
        </w:rPr>
        <w:t xml:space="preserve"> )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Substituting this term back into our joint probability formula, our definition of the likelihood of </w:t>
      </w:r>
      <w:r>
        <w:rPr>
          <w:rFonts w:eastAsia="Noto Serif CJK SC" w:cs="Noto Sans Devanagari"/>
          <w:b/>
          <w:bCs/>
          <w:i/>
          <w:iCs/>
        </w:rPr>
        <w:t xml:space="preserve">R </w:t>
      </w:r>
      <w:r>
        <w:rPr>
          <w:rFonts w:eastAsia="Noto Serif CJK SC" w:cs="Noto Sans Devanagari"/>
          <w:b w:val="false"/>
          <w:bCs w:val="false"/>
          <w:i w:val="false"/>
          <w:iCs w:val="false"/>
        </w:rPr>
        <w:t xml:space="preserve">given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 xml:space="preserve">and </w:t>
      </w:r>
      <w:r>
        <w:rPr>
          <w:rFonts w:eastAsia="Noto Serif CJK SC" w:cs="Noto Sans Devanagari"/>
          <w:b/>
          <w:bCs/>
          <w:i/>
          <w:iCs/>
        </w:rPr>
        <w:t>D(I)</w:t>
      </w:r>
      <w:r>
        <w:rPr>
          <w:rFonts w:eastAsia="Noto Serif CJK SC" w:cs="Noto Sans Devanagari"/>
          <w:b w:val="false"/>
          <w:bCs w:val="false"/>
          <w:i w:val="false"/>
          <w:iCs w:val="false"/>
        </w:rPr>
        <w:t xml:space="preserve"> reduces to…</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Finally, we can rewrite our definition of the posterior probability as…</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b w:val="false"/>
          <w:bCs w:val="false"/>
          <w:i w:val="false"/>
          <w:iCs w:val="false"/>
        </w:rPr>
        <w:t xml:space="preserve">P( </w:t>
      </w:r>
      <w:r>
        <w:rPr>
          <w:b/>
          <w:bCs/>
          <w:i/>
          <w:iCs/>
        </w:rPr>
        <w:t xml:space="preserve">I </w:t>
      </w:r>
      <w:r>
        <w:rPr>
          <w:b w:val="false"/>
          <w:bCs w:val="false"/>
          <w:i w:val="false"/>
          <w:iCs w:val="false"/>
        </w:rPr>
        <w:t xml:space="preserve">| </w:t>
      </w:r>
      <w:r>
        <w:rPr>
          <w:b/>
          <w:bCs/>
          <w:i/>
          <w:iCs/>
        </w:rPr>
        <w:t>R</w:t>
      </w:r>
      <w:r>
        <w:rPr>
          <w:b w:val="false"/>
          <w:bCs w:val="false"/>
          <w:i w:val="false"/>
          <w:iCs w:val="false"/>
        </w:rPr>
        <w:t xml:space="preserve"> )  =   </w:t>
      </w: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w:t>
      </w:r>
      <w:r>
        <w:rPr>
          <w:b w:val="false"/>
          <w:bCs w:val="false"/>
          <w:i w:val="false"/>
          <w:iCs w:val="false"/>
        </w:rPr>
        <w:t xml:space="preserve"> * P( </w:t>
      </w:r>
      <w:r>
        <w:rPr>
          <w:b/>
          <w:bCs/>
          <w:i/>
          <w:iCs/>
        </w:rPr>
        <w:t xml:space="preserve">I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 xml:space="preserve">R </w:t>
      </w:r>
      <w:r>
        <w:rPr>
          <w:rFonts w:eastAsia="Noto Serif CJK SC" w:cs="Noto Sans Devanagari"/>
          <w:b w:val="false"/>
          <w:bCs w:val="false"/>
          <w:i w:val="false"/>
          <w:iCs w:val="false"/>
        </w:rPr>
        <w:t>)</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highlight w:val="none"/>
          <w:shd w:fill="81D41A" w:val="clear"/>
        </w:rPr>
      </w:pPr>
      <w:r>
        <w:rPr>
          <w:rFonts w:eastAsia="Noto Serif CJK SC" w:cs="Noto Sans Devanagari"/>
          <w:b w:val="false"/>
          <w:bCs w:val="false"/>
          <w:i w:val="false"/>
          <w:iCs w:val="false"/>
          <w:shd w:fill="81D41A" w:val="clear"/>
        </w:rPr>
        <w:t>This part is potentially not right, give it some more thought.</w:t>
      </w:r>
    </w:p>
    <w:p>
      <w:pPr>
        <w:pStyle w:val="Normal"/>
        <w:bidi w:val="0"/>
        <w:jc w:val="left"/>
        <w:rPr>
          <w:highlight w:val="none"/>
          <w:shd w:fill="FFFF00" w:val="clear"/>
        </w:rPr>
      </w:pPr>
      <w:r>
        <w:rPr>
          <w:rFonts w:eastAsia="Noto Serif CJK SC" w:cs="Noto Sans Devanagari"/>
          <w:b w:val="false"/>
          <w:bCs w:val="false"/>
          <w:i w:val="false"/>
          <w:iCs w:val="false"/>
          <w:shd w:fill="FFFF00" w:val="clear"/>
        </w:rPr>
        <w:t xml:space="preserve"> </w:t>
      </w:r>
      <w:r>
        <w:rPr>
          <w:rFonts w:eastAsia="Noto Serif CJK SC" w:cs="Noto Sans Devanagari"/>
          <w:b w:val="false"/>
          <w:bCs w:val="false"/>
          <w:i w:val="false"/>
          <w:iCs w:val="false"/>
          <w:shd w:fill="FFFF00" w:val="clear"/>
        </w:rPr>
        <w:t xml:space="preserve">P( </w:t>
      </w:r>
      <w:r>
        <w:rPr>
          <w:rFonts w:eastAsia="Noto Serif CJK SC" w:cs="Noto Sans Devanagari"/>
          <w:b/>
          <w:bCs/>
          <w:i/>
          <w:iCs/>
          <w:shd w:fill="FFFF00" w:val="clear"/>
        </w:rPr>
        <w:t>R</w:t>
      </w:r>
      <w:r>
        <w:rPr>
          <w:rFonts w:eastAsia="Noto Serif CJK SC" w:cs="Noto Sans Devanagari"/>
          <w:b w:val="false"/>
          <w:bCs w:val="false"/>
          <w:i w:val="false"/>
          <w:iCs w:val="false"/>
          <w:shd w:fill="FFFF00" w:val="clear"/>
        </w:rPr>
        <w:t xml:space="preserve"> | </w:t>
      </w:r>
      <w:r>
        <w:rPr>
          <w:rFonts w:eastAsia="Noto Serif CJK SC" w:cs="Noto Sans Devanagari"/>
          <w:b/>
          <w:bCs/>
          <w:i/>
          <w:iCs/>
          <w:shd w:fill="FFFF00" w:val="clear"/>
        </w:rPr>
        <w:t>GC(I</w:t>
      </w:r>
      <w:r>
        <w:rPr>
          <w:rFonts w:eastAsia="Noto Serif CJK SC" w:cs="Noto Sans Devanagari"/>
          <w:b w:val="false"/>
          <w:bCs w:val="false"/>
          <w:i w:val="false"/>
          <w:iCs w:val="false"/>
          <w:shd w:fill="FFFF00" w:val="clear"/>
        </w:rPr>
        <w:t xml:space="preserve">) ) = modeling the GC content of the isoform (cluster of reads) as binomial distribution, what is the likelihood of getting a GC count of the read given the distribution of GC content in the cluster. </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highlight w:val="none"/>
          <w:shd w:fill="auto" w:val="clear"/>
        </w:rPr>
      </w:pPr>
      <w:r>
        <w:rPr>
          <w:rFonts w:eastAsia="Noto Serif CJK SC" w:cs="Noto Sans Devanagari"/>
          <w:b w:val="false"/>
          <w:bCs w:val="false"/>
          <w:i w:val="false"/>
          <w:iCs w:val="false"/>
          <w:shd w:fill="auto" w:val="clear"/>
        </w:rPr>
        <w:t>So potentially, GC is modelled as number of bases that are modeled as G or C (successes). When getting probabilty of successes, we scale the GC% of read by length of cluster to get propotion equivalent.</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highlight w:val="none"/>
          <w:shd w:fill="FFFF00" w:val="clear"/>
        </w:rPr>
      </w:pPr>
      <w:r>
        <w:rPr>
          <w:rFonts w:eastAsia="Noto Serif CJK SC" w:cs="Noto Sans Devanagari"/>
          <w:b w:val="false"/>
          <w:bCs w:val="false"/>
          <w:i w:val="false"/>
          <w:iCs w:val="false"/>
          <w:shd w:fill="FFFF00" w:val="clear"/>
        </w:rPr>
        <w:t>GC(I) ~ Bin(N,P)</w:t>
      </w:r>
    </w:p>
    <w:p>
      <w:pPr>
        <w:pStyle w:val="Normal"/>
        <w:bidi w:val="0"/>
        <w:jc w:val="center"/>
        <w:rPr>
          <w:highlight w:val="none"/>
          <w:shd w:fill="FFFF00" w:val="clear"/>
        </w:rPr>
      </w:pPr>
      <w:r>
        <w:rPr>
          <w:rFonts w:eastAsia="Noto Serif CJK SC" w:cs="Noto Sans Devanagari"/>
          <w:b w:val="false"/>
          <w:bCs w:val="false"/>
          <w:i w:val="false"/>
          <w:iCs w:val="false"/>
          <w:shd w:fill="FFFF00" w:val="clear"/>
        </w:rPr>
        <w:t>N = Length of cluster</w:t>
      </w:r>
    </w:p>
    <w:p>
      <w:pPr>
        <w:pStyle w:val="Normal"/>
        <w:bidi w:val="0"/>
        <w:jc w:val="center"/>
        <w:rPr>
          <w:highlight w:val="none"/>
          <w:shd w:fill="FFFF00" w:val="clear"/>
        </w:rPr>
      </w:pPr>
      <w:r>
        <w:rPr>
          <w:rFonts w:eastAsia="Noto Serif CJK SC" w:cs="Noto Sans Devanagari"/>
          <w:b w:val="false"/>
          <w:bCs w:val="false"/>
          <w:i w:val="false"/>
          <w:iCs w:val="false"/>
          <w:shd w:fill="FFFF00" w:val="clear"/>
        </w:rPr>
        <w:t>P = Probability of getting G or C (% GC)</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 = the likelihood of the read given it’s distance to the bounds of the cluster will be defined as the distance to the bounds of the cluster divided by the sum of the distance to all clusters subtracted from one divided again by the number of clusters - 1. Formula below:</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[ 1 - ( d / </w:t>
      </w:r>
      <w:r>
        <w:rPr>
          <w:rFonts w:eastAsia="Liberation Serif" w:cs="Liberation Serif"/>
          <w:b w:val="false"/>
          <w:bCs w:val="false"/>
          <w:i w:val="false"/>
          <w:iCs w:val="false"/>
        </w:rPr>
        <w:t>∑d</w:t>
      </w:r>
      <w:r>
        <w:rPr>
          <w:rFonts w:eastAsia="Noto Serif CJK SC" w:cs="Noto Sans Devanagari"/>
          <w:b w:val="false"/>
          <w:bCs w:val="false"/>
          <w:i w:val="false"/>
          <w:iCs w:val="false"/>
        </w:rPr>
        <w:t>) ] / [ NumClusters – 1 ]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 xml:space="preserve">I </w:t>
      </w:r>
      <w:r>
        <w:rPr>
          <w:rFonts w:eastAsia="Noto Serif CJK SC" w:cs="Noto Sans Devanagari"/>
          <w:b w:val="false"/>
          <w:bCs w:val="false"/>
          <w:i w:val="false"/>
          <w:iCs w:val="false"/>
        </w:rPr>
        <w:t>) = prior distribution of isoform abundnance that is initially estimated as the ratio of core points in that cluster to the sum of all core points in every isoform. Formula below:</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C</w:t>
      </w:r>
      <w:r>
        <w:rPr>
          <w:rFonts w:eastAsia="Noto Serif CJK SC" w:cs="Noto Sans Devanagari"/>
          <w:b w:val="false"/>
          <w:bCs w:val="false"/>
          <w:i w:val="false"/>
          <w:iCs w:val="false"/>
          <w:vertAlign w:val="subscript"/>
        </w:rPr>
        <w:t xml:space="preserve">i </w:t>
      </w:r>
      <w:r>
        <w:rPr>
          <w:rFonts w:eastAsia="Noto Serif CJK SC" w:cs="Noto Sans Devanagari"/>
          <w:b w:val="false"/>
          <w:bCs w:val="false"/>
          <w:i w:val="false"/>
          <w:iCs w:val="false"/>
          <w:position w:val="0"/>
          <w:sz w:val="24"/>
          <w:sz w:val="24"/>
          <w:vertAlign w:val="baseline"/>
        </w:rPr>
        <w:t xml:space="preserve">/ </w:t>
      </w:r>
      <w:r>
        <w:rPr>
          <w:rFonts w:eastAsia="Liberation Serif" w:cs="Liberation Serif"/>
          <w:b w:val="false"/>
          <w:bCs w:val="false"/>
          <w:i w:val="false"/>
          <w:iCs w:val="false"/>
          <w:position w:val="0"/>
          <w:sz w:val="24"/>
          <w:sz w:val="24"/>
          <w:vertAlign w:val="baseline"/>
        </w:rPr>
        <w:t>∑C</w:t>
      </w:r>
      <w:r>
        <w:rPr>
          <w:rFonts w:eastAsia="Liberation Serif" w:cs="Liberation Serif"/>
          <w:b w:val="false"/>
          <w:bCs w:val="false"/>
          <w:i w:val="false"/>
          <w:iCs w:val="false"/>
          <w:vertAlign w:val="subscript"/>
        </w:rPr>
        <w:t>j</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mc:AlternateContent>
          <mc:Choice Requires="wps">
            <w:drawing>
              <wp:anchor behindDoc="0" distT="1270" distB="635" distL="1270" distR="635" simplePos="0" locked="0" layoutInCell="0" allowOverlap="1" relativeHeight="2">
                <wp:simplePos x="0" y="0"/>
                <wp:positionH relativeFrom="column">
                  <wp:posOffset>810895</wp:posOffset>
                </wp:positionH>
                <wp:positionV relativeFrom="paragraph">
                  <wp:posOffset>94615</wp:posOffset>
                </wp:positionV>
                <wp:extent cx="1056005" cy="1056005"/>
                <wp:effectExtent l="1270" t="1270" r="635" b="635"/>
                <wp:wrapNone/>
                <wp:docPr id="1" name="Shape 1"/>
                <a:graphic xmlns:a="http://schemas.openxmlformats.org/drawingml/2006/main">
                  <a:graphicData uri="http://schemas.microsoft.com/office/word/2010/wordprocessingShape">
                    <wps:wsp>
                      <wps:cNvSpPr/>
                      <wps:spPr>
                        <a:xfrm>
                          <a:off x="0" y="0"/>
                          <a:ext cx="1055880" cy="1055880"/>
                        </a:xfrm>
                        <a:prstGeom prst="ellipse">
                          <a:avLst/>
                        </a:prstGeom>
                        <a:noFill/>
                        <a:ln w="0">
                          <a:solidFill>
                            <a:srgbClr val="3465a4"/>
                          </a:solid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stroked="t" o:allowincell="f" style="position:absolute;margin-left:63.85pt;margin-top:7.45pt;width:83.1pt;height:83.1pt;mso-wrap-style:none;v-text-anchor:middle">
                <v:fill o:detectmouseclick="t" on="false"/>
                <v:stroke color="#3465a4" joinstyle="round" endcap="flat"/>
                <w10:wrap type="none"/>
              </v:oval>
            </w:pict>
          </mc:Fallback>
        </mc:AlternateContent>
        <mc:AlternateContent>
          <mc:Choice Requires="wps">
            <w:drawing>
              <wp:anchor behindDoc="0" distT="1270" distB="635" distL="1270" distR="635" simplePos="0" locked="0" layoutInCell="0" allowOverlap="1" relativeHeight="3">
                <wp:simplePos x="0" y="0"/>
                <wp:positionH relativeFrom="column">
                  <wp:posOffset>1410970</wp:posOffset>
                </wp:positionH>
                <wp:positionV relativeFrom="paragraph">
                  <wp:posOffset>694690</wp:posOffset>
                </wp:positionV>
                <wp:extent cx="1056005" cy="1056005"/>
                <wp:effectExtent l="1270" t="1270" r="635" b="635"/>
                <wp:wrapNone/>
                <wp:docPr id="2" name="Shape 2"/>
                <a:graphic xmlns:a="http://schemas.openxmlformats.org/drawingml/2006/main">
                  <a:graphicData uri="http://schemas.microsoft.com/office/word/2010/wordprocessingShape">
                    <wps:wsp>
                      <wps:cNvSpPr/>
                      <wps:spPr>
                        <a:xfrm>
                          <a:off x="0" y="0"/>
                          <a:ext cx="1055880" cy="1055880"/>
                        </a:xfrm>
                        <a:prstGeom prst="ellipse">
                          <a:avLst/>
                        </a:prstGeom>
                        <a:noFill/>
                        <a:ln w="0">
                          <a:solidFill>
                            <a:srgbClr val="3465a4"/>
                          </a:solidFill>
                        </a:ln>
                      </wps:spPr>
                      <wps:style>
                        <a:lnRef idx="0"/>
                        <a:fillRef idx="0"/>
                        <a:effectRef idx="0"/>
                        <a:fontRef idx="minor"/>
                      </wps:style>
                      <wps:bodyPr/>
                    </wps:wsp>
                  </a:graphicData>
                </a:graphic>
              </wp:anchor>
            </w:drawing>
          </mc:Choice>
          <mc:Fallback>
            <w:pict>
              <v:oval id="shape_0" ID="Shape 2" path="l-2147483648,-2147483643l-2147483628,-2147483627l-2147483648,-2147483643l-2147483626,-2147483625xe" stroked="t" o:allowincell="f" style="position:absolute;margin-left:111.1pt;margin-top:54.7pt;width:83.1pt;height:83.1pt;mso-wrap-style:none;v-text-anchor:middle">
                <v:fill o:detectmouseclick="t" on="false"/>
                <v:stroke color="#3465a4" joinstyle="round" endcap="flat"/>
                <w10:wrap type="none"/>
              </v:oval>
            </w:pict>
          </mc:Fallback>
        </mc:AlternateContent>
        <mc:AlternateContent>
          <mc:Choice Requires="wps">
            <w:drawing>
              <wp:anchor behindDoc="0" distT="1270" distB="635" distL="1270" distR="635" simplePos="0" locked="0" layoutInCell="0" allowOverlap="1" relativeHeight="4">
                <wp:simplePos x="0" y="0"/>
                <wp:positionH relativeFrom="column">
                  <wp:posOffset>2011045</wp:posOffset>
                </wp:positionH>
                <wp:positionV relativeFrom="paragraph">
                  <wp:posOffset>94615</wp:posOffset>
                </wp:positionV>
                <wp:extent cx="1056005" cy="1056005"/>
                <wp:effectExtent l="1270" t="1270" r="635" b="635"/>
                <wp:wrapNone/>
                <wp:docPr id="3" name="Shape 3"/>
                <a:graphic xmlns:a="http://schemas.openxmlformats.org/drawingml/2006/main">
                  <a:graphicData uri="http://schemas.microsoft.com/office/word/2010/wordprocessingShape">
                    <wps:wsp>
                      <wps:cNvSpPr/>
                      <wps:spPr>
                        <a:xfrm>
                          <a:off x="0" y="0"/>
                          <a:ext cx="1055880" cy="1055880"/>
                        </a:xfrm>
                        <a:prstGeom prst="ellipse">
                          <a:avLst/>
                        </a:prstGeom>
                        <a:noFill/>
                        <a:ln w="0">
                          <a:solidFill>
                            <a:srgbClr val="3465a4"/>
                          </a:solidFill>
                        </a:ln>
                      </wps:spPr>
                      <wps:style>
                        <a:lnRef idx="0"/>
                        <a:fillRef idx="0"/>
                        <a:effectRef idx="0"/>
                        <a:fontRef idx="minor"/>
                      </wps:style>
                      <wps:bodyPr/>
                    </wps:wsp>
                  </a:graphicData>
                </a:graphic>
              </wp:anchor>
            </w:drawing>
          </mc:Choice>
          <mc:Fallback>
            <w:pict>
              <v:oval id="shape_0" ID="Shape 3" path="l-2147483648,-2147483643l-2147483628,-2147483627l-2147483648,-2147483643l-2147483626,-2147483625xe" stroked="t" o:allowincell="f" style="position:absolute;margin-left:158.35pt;margin-top:7.45pt;width:83.1pt;height:83.1pt;mso-wrap-style:none;v-text-anchor:middle">
                <v:fill o:detectmouseclick="t" on="false"/>
                <v:stroke color="#3465a4" joinstyle="round" endcap="flat"/>
                <w10:wrap type="none"/>
              </v:oval>
            </w:pict>
          </mc:Fallback>
        </mc:AlternateContent>
        <mc:AlternateContent>
          <mc:Choice Requires="wps">
            <w:drawing>
              <wp:anchor behindDoc="0" distT="0" distB="0" distL="0" distR="0" simplePos="0" locked="0" layoutInCell="0" allowOverlap="1" relativeHeight="5">
                <wp:simplePos x="0" y="0"/>
                <wp:positionH relativeFrom="column">
                  <wp:posOffset>1729105</wp:posOffset>
                </wp:positionH>
                <wp:positionV relativeFrom="paragraph">
                  <wp:posOffset>1086485</wp:posOffset>
                </wp:positionV>
                <wp:extent cx="398145" cy="201295"/>
                <wp:effectExtent l="0" t="0" r="0" b="0"/>
                <wp:wrapNone/>
                <wp:docPr id="4" name="Text Frame 1"/>
                <a:graphic xmlns:a="http://schemas.openxmlformats.org/drawingml/2006/main">
                  <a:graphicData uri="http://schemas.microsoft.com/office/word/2010/wordprocessingShape">
                    <wps:wsp>
                      <wps:cNvSpPr/>
                      <wps:spPr>
                        <a:xfrm>
                          <a:off x="0" y="0"/>
                          <a:ext cx="398160" cy="201240"/>
                        </a:xfrm>
                        <a:prstGeom prst="rect">
                          <a:avLst/>
                        </a:prstGeom>
                        <a:noFill/>
                        <a:ln w="0">
                          <a:noFill/>
                        </a:ln>
                      </wps:spPr>
                      <wps:style>
                        <a:lnRef idx="0"/>
                        <a:fillRef idx="0"/>
                        <a:effectRef idx="0"/>
                        <a:fontRef idx="minor"/>
                      </wps:style>
                      <wps:txbx>
                        <w:txbxContent>
                          <w:p>
                            <w:pPr>
                              <w:pStyle w:val="FrameContents"/>
                              <w:overflowPunct w:val="false"/>
                              <w:jc w:val="center"/>
                              <w:rPr>
                                <w:color w:val="000000"/>
                              </w:rPr>
                            </w:pPr>
                            <w:r>
                              <w:rPr>
                                <w:color w:val="000000"/>
                              </w:rPr>
                              <w:t>R</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36.15pt;margin-top:85.55pt;width:31.3pt;height:15.8pt;mso-wrap-style:square;v-text-anchor:top">
                <v:fill o:detectmouseclick="t" on="false"/>
                <v:stroke color="#3465a4" joinstyle="round" endcap="flat"/>
                <v:textbox>
                  <w:txbxContent>
                    <w:p>
                      <w:pPr>
                        <w:pStyle w:val="FrameContents"/>
                        <w:overflowPunct w:val="false"/>
                        <w:jc w:val="center"/>
                        <w:rPr>
                          <w:color w:val="000000"/>
                        </w:rPr>
                      </w:pPr>
                      <w:r>
                        <w:rPr>
                          <w:color w:val="000000"/>
                        </w:rPr>
                        <w:t>R</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2343785</wp:posOffset>
                </wp:positionH>
                <wp:positionV relativeFrom="paragraph">
                  <wp:posOffset>535940</wp:posOffset>
                </wp:positionV>
                <wp:extent cx="398145" cy="201295"/>
                <wp:effectExtent l="0" t="0" r="0" b="0"/>
                <wp:wrapNone/>
                <wp:docPr id="6" name="Text Frame 2"/>
                <a:graphic xmlns:a="http://schemas.openxmlformats.org/drawingml/2006/main">
                  <a:graphicData uri="http://schemas.microsoft.com/office/word/2010/wordprocessingShape">
                    <wps:wsp>
                      <wps:cNvSpPr/>
                      <wps:spPr>
                        <a:xfrm>
                          <a:off x="0" y="0"/>
                          <a:ext cx="398160" cy="201240"/>
                        </a:xfrm>
                        <a:prstGeom prst="rect">
                          <a:avLst/>
                        </a:prstGeom>
                        <a:noFill/>
                        <a:ln w="0">
                          <a:noFill/>
                        </a:ln>
                      </wps:spPr>
                      <wps:style>
                        <a:lnRef idx="0"/>
                        <a:fillRef idx="0"/>
                        <a:effectRef idx="0"/>
                        <a:fontRef idx="minor"/>
                      </wps:style>
                      <wps:txbx>
                        <w:txbxContent>
                          <w:p>
                            <w:pPr>
                              <w:pStyle w:val="FrameContents"/>
                              <w:overflowPunct w:val="false"/>
                              <w:jc w:val="center"/>
                              <w:rPr>
                                <w:color w:val="000000"/>
                              </w:rPr>
                            </w:pPr>
                            <w:r>
                              <w:rPr>
                                <w:color w:val="000000"/>
                              </w:rPr>
                              <w:t>GC(I)</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184.55pt;margin-top:42.2pt;width:31.3pt;height:15.8pt;mso-wrap-style:square;v-text-anchor:top">
                <v:fill o:detectmouseclick="t" on="false"/>
                <v:stroke color="#3465a4" joinstyle="round" endcap="flat"/>
                <v:textbox>
                  <w:txbxContent>
                    <w:p>
                      <w:pPr>
                        <w:pStyle w:val="FrameContents"/>
                        <w:overflowPunct w:val="false"/>
                        <w:jc w:val="center"/>
                        <w:rPr>
                          <w:color w:val="000000"/>
                        </w:rPr>
                      </w:pPr>
                      <w:r>
                        <w:rPr>
                          <w:color w:val="000000"/>
                        </w:rPr>
                        <w:t>GC(I)</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1079500</wp:posOffset>
                </wp:positionH>
                <wp:positionV relativeFrom="paragraph">
                  <wp:posOffset>493395</wp:posOffset>
                </wp:positionV>
                <wp:extent cx="398145" cy="201295"/>
                <wp:effectExtent l="0" t="0" r="0" b="0"/>
                <wp:wrapNone/>
                <wp:docPr id="8" name="Text Frame 3"/>
                <a:graphic xmlns:a="http://schemas.openxmlformats.org/drawingml/2006/main">
                  <a:graphicData uri="http://schemas.microsoft.com/office/word/2010/wordprocessingShape">
                    <wps:wsp>
                      <wps:cNvSpPr/>
                      <wps:spPr>
                        <a:xfrm>
                          <a:off x="0" y="0"/>
                          <a:ext cx="398160" cy="201240"/>
                        </a:xfrm>
                        <a:prstGeom prst="rect">
                          <a:avLst/>
                        </a:prstGeom>
                        <a:noFill/>
                        <a:ln w="0">
                          <a:noFill/>
                        </a:ln>
                      </wps:spPr>
                      <wps:style>
                        <a:lnRef idx="0"/>
                        <a:fillRef idx="0"/>
                        <a:effectRef idx="0"/>
                        <a:fontRef idx="minor"/>
                      </wps:style>
                      <wps:txbx>
                        <w:txbxContent>
                          <w:p>
                            <w:pPr>
                              <w:pStyle w:val="FrameContents"/>
                              <w:overflowPunct w:val="false"/>
                              <w:jc w:val="center"/>
                              <w:rPr>
                                <w:color w:val="000000"/>
                              </w:rPr>
                            </w:pPr>
                            <w:r>
                              <w:rPr>
                                <w:color w:val="000000"/>
                              </w:rPr>
                              <w:t>D(I)</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85pt;margin-top:38.85pt;width:31.3pt;height:15.8pt;mso-wrap-style:square;v-text-anchor:top">
                <v:fill o:detectmouseclick="t" on="false"/>
                <v:stroke color="#3465a4" joinstyle="round" endcap="flat"/>
                <v:textbox>
                  <w:txbxContent>
                    <w:p>
                      <w:pPr>
                        <w:pStyle w:val="FrameContents"/>
                        <w:overflowPunct w:val="false"/>
                        <w:jc w:val="center"/>
                        <w:rPr>
                          <w:color w:val="000000"/>
                        </w:rPr>
                      </w:pPr>
                      <w:r>
                        <w:rPr>
                          <w:color w:val="000000"/>
                        </w:rPr>
                        <w:t>D(I)</w:t>
                      </w:r>
                    </w:p>
                  </w:txbxContent>
                </v:textbox>
                <w10:wrap type="none"/>
              </v:rect>
            </w:pict>
          </mc:Fallback>
        </mc:AlternateConten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LibreOffice/7.3.7.2$Linux_X86_64 LibreOffice_project/30$Build-2</Application>
  <AppVersion>15.0000</AppVersion>
  <Pages>4</Pages>
  <Words>719</Words>
  <Characters>3046</Characters>
  <CharactersWithSpaces>3979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2024-11-23T14:19:54Z</dcterms:created>
  <dc:creator/>
  <dc:description/>
  <dc:language>en-US</dc:language>
  <cp:lastModifiedBy/>
  <dcterms:modified xsi:type="dcterms:W3CDTF">2024-11-25T15:41:29Z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