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82" w:rsidRPr="0040457D" w:rsidRDefault="00305904">
      <w:pPr>
        <w:rPr>
          <w:b/>
        </w:rPr>
      </w:pPr>
      <w:r w:rsidRPr="0040457D">
        <w:rPr>
          <w:b/>
        </w:rPr>
        <w:t>Modeling DSC Experiments</w:t>
      </w:r>
    </w:p>
    <w:p w:rsidR="00305904" w:rsidRDefault="00305904"/>
    <w:p w:rsidR="0040457D" w:rsidRDefault="0040457D">
      <w:pPr>
        <w:rPr>
          <w:u w:val="single"/>
        </w:rPr>
      </w:pPr>
      <w:r w:rsidRPr="0040457D">
        <w:rPr>
          <w:u w:val="single"/>
        </w:rPr>
        <w:t>Dynamic Model</w:t>
      </w:r>
    </w:p>
    <w:p w:rsidR="0040457D" w:rsidRPr="0040457D" w:rsidRDefault="0040457D">
      <w:pPr>
        <w:rPr>
          <w:u w:val="single"/>
        </w:rPr>
      </w:pPr>
    </w:p>
    <w:p w:rsidR="00305904" w:rsidRDefault="00305904">
      <w:r>
        <w:t>We have simulated the evolution of the organic/water DSC experiments with a system of prognostic equations describing the concentrations of the bulk and vapor masses as well as the temperature. The model explicitly represents mass transfer from the condensed to the vapor phase but does not represent solid-liquid transitions of any kind. Input for the model includes physical properties of the constituents and the experimental heating rate. The physical</w:t>
      </w:r>
    </w:p>
    <w:p w:rsidR="00305904" w:rsidRDefault="00305904">
      <w:r>
        <w:t xml:space="preserve">We have found the model able to reproduce the temperature profile from the experiments, but unable to reproduce the heat capacity trends (Fig. 1). One possible explanation is that the model is missing the solid-liquid transitions that the experimental bulk heat capacity trend detects, thus supporting the experimental hypothesis. However, for this work we have assumed liquid heat capacity values </w:t>
      </w:r>
      <w:r w:rsidR="00EB1424">
        <w:t xml:space="preserve">that are </w:t>
      </w:r>
      <w:r>
        <w:t xml:space="preserve">constant </w:t>
      </w:r>
      <w:r w:rsidR="00EB1424">
        <w:t>with temperature and increase linearly with carbon number. This is somewhat guesswork, and we are interested in determining more realistic heat capacity values with the aid of SAR.</w:t>
      </w:r>
      <w:r w:rsidR="00247E6D">
        <w:t xml:space="preserve"> Another interesting study will be to add a solid phase along with melting enthalpy to try to fit the energy of this phase transition to the experimental results.</w:t>
      </w:r>
      <w:bookmarkStart w:id="0" w:name="_GoBack"/>
      <w:bookmarkEnd w:id="0"/>
    </w:p>
    <w:p w:rsidR="0040457D" w:rsidRDefault="0040457D"/>
    <w:p w:rsidR="00EB1424" w:rsidRDefault="00EB1424"/>
    <w:p w:rsidR="00EB1424" w:rsidRDefault="0040457D">
      <w:r>
        <w:rPr>
          <w:noProof/>
        </w:rPr>
        <w:drawing>
          <wp:inline distT="0" distB="0" distL="0" distR="0" wp14:anchorId="25419C65" wp14:editId="61199426">
            <wp:extent cx="2845077"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Temp.tif"/>
                    <pic:cNvPicPr/>
                  </pic:nvPicPr>
                  <pic:blipFill rotWithShape="1">
                    <a:blip r:embed="rId5" cstate="print">
                      <a:extLst>
                        <a:ext uri="{28A0092B-C50C-407E-A947-70E740481C1C}">
                          <a14:useLocalDpi xmlns:a14="http://schemas.microsoft.com/office/drawing/2010/main" val="0"/>
                        </a:ext>
                      </a:extLst>
                    </a:blip>
                    <a:srcRect t="7802"/>
                    <a:stretch/>
                  </pic:blipFill>
                  <pic:spPr bwMode="auto">
                    <a:xfrm>
                      <a:off x="0" y="0"/>
                      <a:ext cx="2851350" cy="2481960"/>
                    </a:xfrm>
                    <a:prstGeom prst="rect">
                      <a:avLst/>
                    </a:prstGeom>
                    <a:ln>
                      <a:noFill/>
                    </a:ln>
                    <a:extLst>
                      <a:ext uri="{53640926-AAD7-44D8-BBD7-CCE9431645EC}">
                        <a14:shadowObscured xmlns:a14="http://schemas.microsoft.com/office/drawing/2010/main"/>
                      </a:ext>
                    </a:extLst>
                  </pic:spPr>
                </pic:pic>
              </a:graphicData>
            </a:graphic>
          </wp:inline>
        </w:drawing>
      </w:r>
      <w:r w:rsidR="00EB1424">
        <w:rPr>
          <w:noProof/>
        </w:rPr>
        <w:drawing>
          <wp:inline distT="0" distB="0" distL="0" distR="0">
            <wp:extent cx="2834986"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Cp.tif"/>
                    <pic:cNvPicPr/>
                  </pic:nvPicPr>
                  <pic:blipFill rotWithShape="1">
                    <a:blip r:embed="rId6" cstate="print">
                      <a:extLst>
                        <a:ext uri="{28A0092B-C50C-407E-A947-70E740481C1C}">
                          <a14:useLocalDpi xmlns:a14="http://schemas.microsoft.com/office/drawing/2010/main" val="0"/>
                        </a:ext>
                      </a:extLst>
                    </a:blip>
                    <a:srcRect t="7829"/>
                    <a:stretch/>
                  </pic:blipFill>
                  <pic:spPr bwMode="auto">
                    <a:xfrm>
                      <a:off x="0" y="0"/>
                      <a:ext cx="2835453" cy="2467381"/>
                    </a:xfrm>
                    <a:prstGeom prst="rect">
                      <a:avLst/>
                    </a:prstGeom>
                    <a:ln>
                      <a:noFill/>
                    </a:ln>
                    <a:extLst>
                      <a:ext uri="{53640926-AAD7-44D8-BBD7-CCE9431645EC}">
                        <a14:shadowObscured xmlns:a14="http://schemas.microsoft.com/office/drawing/2010/main"/>
                      </a:ext>
                    </a:extLst>
                  </pic:spPr>
                </pic:pic>
              </a:graphicData>
            </a:graphic>
          </wp:inline>
        </w:drawing>
      </w:r>
    </w:p>
    <w:p w:rsidR="0040457D" w:rsidRDefault="0040457D">
      <w:pPr>
        <w:rPr>
          <w:b/>
          <w:sz w:val="20"/>
        </w:rPr>
      </w:pPr>
    </w:p>
    <w:p w:rsidR="0040457D" w:rsidRPr="0040457D" w:rsidRDefault="0040457D">
      <w:pPr>
        <w:rPr>
          <w:sz w:val="20"/>
        </w:rPr>
      </w:pPr>
      <w:proofErr w:type="gramStart"/>
      <w:r>
        <w:rPr>
          <w:b/>
          <w:sz w:val="20"/>
        </w:rPr>
        <w:t>Figure 1.</w:t>
      </w:r>
      <w:proofErr w:type="gramEnd"/>
      <w:r>
        <w:rPr>
          <w:sz w:val="20"/>
        </w:rPr>
        <w:t xml:space="preserve"> </w:t>
      </w:r>
      <w:proofErr w:type="gramStart"/>
      <w:r>
        <w:rPr>
          <w:sz w:val="20"/>
        </w:rPr>
        <w:t xml:space="preserve">Temperature and heat capacity in the DSC for the </w:t>
      </w:r>
      <w:proofErr w:type="spellStart"/>
      <w:r>
        <w:rPr>
          <w:sz w:val="20"/>
        </w:rPr>
        <w:t>CappaMix</w:t>
      </w:r>
      <w:proofErr w:type="spellEnd"/>
      <w:r>
        <w:rPr>
          <w:sz w:val="20"/>
        </w:rPr>
        <w:t xml:space="preserve"> without water.</w:t>
      </w:r>
      <w:proofErr w:type="gramEnd"/>
      <w:r>
        <w:rPr>
          <w:sz w:val="20"/>
        </w:rPr>
        <w:t xml:space="preserve"> The features of the heat capacity trend are not reproduced by the model.</w:t>
      </w:r>
    </w:p>
    <w:p w:rsidR="00305904" w:rsidRDefault="00305904"/>
    <w:p w:rsidR="0040457D" w:rsidRDefault="0040457D"/>
    <w:p w:rsidR="0040457D" w:rsidRPr="0040457D" w:rsidRDefault="0040457D">
      <w:pPr>
        <w:rPr>
          <w:u w:val="single"/>
        </w:rPr>
      </w:pPr>
      <w:r w:rsidRPr="0040457D">
        <w:rPr>
          <w:u w:val="single"/>
        </w:rPr>
        <w:t>Equilibrium Calculation</w:t>
      </w:r>
    </w:p>
    <w:p w:rsidR="0040457D" w:rsidRDefault="0040457D"/>
    <w:p w:rsidR="00305904" w:rsidRDefault="0040457D">
      <w:r>
        <w:t>Noting these issues, we performed a simple partitioning calculation with pure-component vapor pressures (assuming that mixing effects would act to lower vapor pressure further) to predict whether or not significant evaporation would even be expected in this system. Table 1 demonstrates the strong driving force towards the condensed phase just from a straight-forward ideal partitioning argument. This analysis agrees with the observation of zero net mass loss from the DSC throughout the experiment.</w:t>
      </w:r>
    </w:p>
    <w:p w:rsidR="0040457D" w:rsidRDefault="0040457D"/>
    <w:p w:rsidR="0040457D" w:rsidRDefault="0040457D"/>
    <w:p w:rsidR="0040457D" w:rsidRDefault="0040457D" w:rsidP="0040457D">
      <w:proofErr w:type="gramStart"/>
      <w:r w:rsidRPr="0040457D">
        <w:rPr>
          <w:b/>
        </w:rPr>
        <w:t>Table 1.</w:t>
      </w:r>
      <w:proofErr w:type="gramEnd"/>
      <w:r>
        <w:t xml:space="preserve"> </w:t>
      </w:r>
      <w:r>
        <w:t>Pure Component Condensed Mass Fraction:</w:t>
      </w:r>
    </w:p>
    <w:tbl>
      <w:tblPr>
        <w:tblW w:w="8975" w:type="dxa"/>
        <w:jc w:val="center"/>
        <w:tblInd w:w="9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58"/>
        <w:gridCol w:w="1418"/>
        <w:gridCol w:w="1418"/>
        <w:gridCol w:w="1275"/>
        <w:gridCol w:w="1701"/>
        <w:gridCol w:w="1305"/>
      </w:tblGrid>
      <w:tr w:rsidR="0040457D" w:rsidRPr="007E58DB" w:rsidTr="004402C2">
        <w:trPr>
          <w:trHeight w:val="255"/>
          <w:jc w:val="center"/>
        </w:trPr>
        <w:tc>
          <w:tcPr>
            <w:tcW w:w="1858" w:type="dxa"/>
            <w:tcBorders>
              <w:top w:val="single" w:sz="12" w:space="0" w:color="auto"/>
              <w:left w:val="nil"/>
              <w:bottom w:val="single" w:sz="12" w:space="0" w:color="auto"/>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
        </w:tc>
        <w:tc>
          <w:tcPr>
            <w:tcW w:w="1418" w:type="dxa"/>
            <w:tcBorders>
              <w:top w:val="single" w:sz="12" w:space="0" w:color="auto"/>
              <w:bottom w:val="single" w:sz="12" w:space="0" w:color="auto"/>
            </w:tcBorders>
            <w:vAlign w:val="center"/>
          </w:tcPr>
          <w:p w:rsidR="0040457D" w:rsidRDefault="0040457D" w:rsidP="004C76E2">
            <w:pPr>
              <w:jc w:val="center"/>
              <w:rPr>
                <w:rFonts w:ascii="Arial" w:hAnsi="Arial" w:cs="Arial"/>
                <w:b/>
                <w:bCs/>
                <w:color w:val="000000"/>
                <w:sz w:val="20"/>
                <w:szCs w:val="20"/>
              </w:rPr>
            </w:pPr>
            <w:r>
              <w:rPr>
                <w:rFonts w:ascii="Arial" w:hAnsi="Arial" w:cs="Arial"/>
                <w:b/>
                <w:bCs/>
                <w:color w:val="000000"/>
                <w:sz w:val="20"/>
                <w:szCs w:val="20"/>
              </w:rPr>
              <w:t>Vapor Pressure (</w:t>
            </w:r>
            <w:proofErr w:type="spellStart"/>
            <w:r>
              <w:rPr>
                <w:rFonts w:ascii="Arial" w:hAnsi="Arial" w:cs="Arial"/>
                <w:b/>
                <w:bCs/>
                <w:color w:val="000000"/>
                <w:sz w:val="20"/>
                <w:szCs w:val="20"/>
              </w:rPr>
              <w:t>atm</w:t>
            </w:r>
            <w:proofErr w:type="spellEnd"/>
            <w:r>
              <w:rPr>
                <w:rFonts w:ascii="Arial" w:hAnsi="Arial" w:cs="Arial"/>
                <w:b/>
                <w:bCs/>
                <w:color w:val="000000"/>
                <w:sz w:val="20"/>
                <w:szCs w:val="20"/>
              </w:rPr>
              <w:t>)</w:t>
            </w:r>
          </w:p>
        </w:tc>
        <w:tc>
          <w:tcPr>
            <w:tcW w:w="1418" w:type="dxa"/>
            <w:tcBorders>
              <w:top w:val="single" w:sz="12" w:space="0" w:color="auto"/>
              <w:bottom w:val="single" w:sz="12" w:space="0" w:color="auto"/>
            </w:tcBorders>
            <w:shd w:val="clear" w:color="auto" w:fill="auto"/>
            <w:noWrap/>
            <w:vAlign w:val="center"/>
            <w:hideMark/>
          </w:tcPr>
          <w:p w:rsidR="0040457D"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Liquid Mass</w:t>
            </w:r>
          </w:p>
          <w:p w:rsidR="0040457D" w:rsidRPr="007E58DB"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(mg)</w:t>
            </w:r>
          </w:p>
        </w:tc>
        <w:tc>
          <w:tcPr>
            <w:tcW w:w="1275" w:type="dxa"/>
            <w:tcBorders>
              <w:top w:val="single" w:sz="12" w:space="0" w:color="auto"/>
              <w:bottom w:val="single" w:sz="12" w:space="0" w:color="auto"/>
            </w:tcBorders>
            <w:shd w:val="clear" w:color="auto" w:fill="auto"/>
            <w:noWrap/>
            <w:vAlign w:val="center"/>
            <w:hideMark/>
          </w:tcPr>
          <w:p w:rsidR="0040457D"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Liquid Vol</w:t>
            </w:r>
            <w:r>
              <w:rPr>
                <w:rFonts w:ascii="Arial" w:eastAsia="Times New Roman" w:hAnsi="Arial" w:cs="Arial"/>
                <w:b/>
                <w:color w:val="000000"/>
                <w:sz w:val="20"/>
                <w:szCs w:val="20"/>
              </w:rPr>
              <w:t>.</w:t>
            </w:r>
          </w:p>
          <w:p w:rsidR="0040457D" w:rsidRPr="007E58DB"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(cm</w:t>
            </w:r>
            <w:r w:rsidRPr="007E58DB">
              <w:rPr>
                <w:rFonts w:ascii="Arial" w:eastAsia="Times New Roman" w:hAnsi="Arial" w:cs="Arial"/>
                <w:b/>
                <w:color w:val="000000"/>
                <w:sz w:val="20"/>
                <w:szCs w:val="20"/>
                <w:vertAlign w:val="superscript"/>
              </w:rPr>
              <w:t>3</w:t>
            </w:r>
            <w:r w:rsidRPr="007E58DB">
              <w:rPr>
                <w:rFonts w:ascii="Arial" w:eastAsia="Times New Roman" w:hAnsi="Arial" w:cs="Arial"/>
                <w:b/>
                <w:color w:val="000000"/>
                <w:sz w:val="20"/>
                <w:szCs w:val="20"/>
              </w:rPr>
              <w:t>)</w:t>
            </w:r>
          </w:p>
        </w:tc>
        <w:tc>
          <w:tcPr>
            <w:tcW w:w="1701" w:type="dxa"/>
            <w:tcBorders>
              <w:top w:val="single" w:sz="12" w:space="0" w:color="auto"/>
              <w:bottom w:val="single" w:sz="12" w:space="0" w:color="auto"/>
            </w:tcBorders>
            <w:shd w:val="clear" w:color="auto" w:fill="auto"/>
            <w:noWrap/>
            <w:vAlign w:val="center"/>
            <w:hideMark/>
          </w:tcPr>
          <w:p w:rsidR="0040457D" w:rsidRPr="007E58DB" w:rsidRDefault="0040457D" w:rsidP="004C76E2">
            <w:pPr>
              <w:jc w:val="center"/>
              <w:rPr>
                <w:rFonts w:ascii="Arial" w:eastAsia="Times New Roman" w:hAnsi="Arial" w:cs="Arial"/>
                <w:b/>
                <w:color w:val="000000"/>
                <w:sz w:val="20"/>
                <w:szCs w:val="20"/>
                <w:vertAlign w:val="superscript"/>
              </w:rPr>
            </w:pPr>
            <w:r w:rsidRPr="007E58DB">
              <w:rPr>
                <w:rFonts w:ascii="Arial" w:eastAsia="Times New Roman" w:hAnsi="Arial" w:cs="Arial"/>
                <w:b/>
                <w:color w:val="000000"/>
                <w:sz w:val="20"/>
                <w:szCs w:val="20"/>
              </w:rPr>
              <w:t>Mass Concentration (mg m</w:t>
            </w:r>
            <w:r w:rsidRPr="007E58DB">
              <w:rPr>
                <w:rFonts w:ascii="Arial" w:eastAsia="Times New Roman" w:hAnsi="Arial" w:cs="Arial"/>
                <w:b/>
                <w:color w:val="000000"/>
                <w:sz w:val="20"/>
                <w:szCs w:val="20"/>
                <w:vertAlign w:val="superscript"/>
              </w:rPr>
              <w:t>-3</w:t>
            </w:r>
            <w:r w:rsidRPr="007E58DB">
              <w:rPr>
                <w:rFonts w:ascii="Arial" w:eastAsia="Times New Roman" w:hAnsi="Arial" w:cs="Arial"/>
                <w:b/>
                <w:color w:val="000000"/>
                <w:sz w:val="20"/>
                <w:szCs w:val="20"/>
              </w:rPr>
              <w:t>)</w:t>
            </w:r>
            <w:r>
              <w:rPr>
                <w:rFonts w:ascii="Arial" w:eastAsia="Times New Roman" w:hAnsi="Arial" w:cs="Arial"/>
                <w:b/>
                <w:color w:val="000000"/>
                <w:sz w:val="20"/>
                <w:szCs w:val="20"/>
                <w:vertAlign w:val="superscript"/>
              </w:rPr>
              <w:t>*</w:t>
            </w:r>
          </w:p>
        </w:tc>
        <w:tc>
          <w:tcPr>
            <w:tcW w:w="1305" w:type="dxa"/>
            <w:tcBorders>
              <w:top w:val="single" w:sz="12" w:space="0" w:color="auto"/>
              <w:bottom w:val="single" w:sz="12" w:space="0" w:color="auto"/>
              <w:right w:val="nil"/>
            </w:tcBorders>
            <w:shd w:val="clear" w:color="auto" w:fill="auto"/>
            <w:noWrap/>
            <w:vAlign w:val="center"/>
            <w:hideMark/>
          </w:tcPr>
          <w:p w:rsidR="0040457D" w:rsidRPr="007E58DB"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Condensed Mass Fraction</w:t>
            </w:r>
          </w:p>
        </w:tc>
      </w:tr>
      <w:tr w:rsidR="0040457D" w:rsidRPr="007E58DB" w:rsidTr="004402C2">
        <w:trPr>
          <w:trHeight w:val="255"/>
          <w:jc w:val="center"/>
        </w:trPr>
        <w:tc>
          <w:tcPr>
            <w:tcW w:w="1858" w:type="dxa"/>
            <w:tcBorders>
              <w:top w:val="single" w:sz="12" w:space="0" w:color="auto"/>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Malonic</w:t>
            </w:r>
            <w:proofErr w:type="spellEnd"/>
            <w:r w:rsidRPr="007E58DB">
              <w:rPr>
                <w:rFonts w:ascii="Arial" w:eastAsia="Times New Roman" w:hAnsi="Arial" w:cs="Arial"/>
                <w:color w:val="000000"/>
                <w:sz w:val="20"/>
                <w:szCs w:val="20"/>
              </w:rPr>
              <w:t xml:space="preserve"> Acid</w:t>
            </w:r>
          </w:p>
        </w:tc>
        <w:tc>
          <w:tcPr>
            <w:tcW w:w="1418" w:type="dxa"/>
            <w:tcBorders>
              <w:top w:val="single" w:sz="12" w:space="0" w:color="auto"/>
            </w:tcBorders>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6.61E-09</w:t>
            </w:r>
          </w:p>
        </w:tc>
        <w:tc>
          <w:tcPr>
            <w:tcW w:w="1418" w:type="dxa"/>
            <w:tcBorders>
              <w:top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0.72</w:t>
            </w:r>
          </w:p>
        </w:tc>
        <w:tc>
          <w:tcPr>
            <w:tcW w:w="1275" w:type="dxa"/>
            <w:tcBorders>
              <w:top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4.42E-04</w:t>
            </w:r>
          </w:p>
        </w:tc>
        <w:tc>
          <w:tcPr>
            <w:tcW w:w="1701" w:type="dxa"/>
            <w:tcBorders>
              <w:top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8.89E+06</w:t>
            </w:r>
          </w:p>
        </w:tc>
        <w:tc>
          <w:tcPr>
            <w:tcW w:w="1305" w:type="dxa"/>
            <w:tcBorders>
              <w:top w:val="single" w:sz="12" w:space="0" w:color="auto"/>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r w:rsidRPr="007E58DB">
              <w:rPr>
                <w:rFonts w:ascii="Arial" w:eastAsia="Times New Roman" w:hAnsi="Arial" w:cs="Arial"/>
                <w:color w:val="000000"/>
                <w:sz w:val="20"/>
                <w:szCs w:val="20"/>
              </w:rPr>
              <w:t>Succinic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3.1E-09</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0.81</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5.20E-04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1.01E+07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1.00</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Glutaric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1.73E-09</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0.91</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6.36E-04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1.13E+07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Adipic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9.7E-10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1.00</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7.39E-04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1.25E+07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Pimelic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5.51E-10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1.10</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8.59E-04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1.37E+07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Suberic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3.15E-10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1.20</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9.41E-04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1.49E+07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Azelaic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1.81E-10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1.29</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1.26E-03</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1.61E+07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Sebacic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1.05E-10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1.39</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1.15E-03</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1.73E+07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Dodecanoic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1.72E-09</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1.58</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1.80E-03</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1.96E+07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0457D">
        <w:trPr>
          <w:trHeight w:val="255"/>
          <w:jc w:val="center"/>
        </w:trPr>
        <w:tc>
          <w:tcPr>
            <w:tcW w:w="1858" w:type="dxa"/>
            <w:tcBorders>
              <w:left w:val="nil"/>
              <w:bottom w:val="single" w:sz="12" w:space="0" w:color="auto"/>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r w:rsidRPr="007E58DB">
              <w:rPr>
                <w:rFonts w:ascii="Arial" w:eastAsia="Times New Roman" w:hAnsi="Arial" w:cs="Arial"/>
                <w:color w:val="000000"/>
                <w:sz w:val="20"/>
                <w:szCs w:val="20"/>
              </w:rPr>
              <w:t>Total</w:t>
            </w:r>
          </w:p>
        </w:tc>
        <w:tc>
          <w:tcPr>
            <w:tcW w:w="1418" w:type="dxa"/>
            <w:tcBorders>
              <w:bottom w:val="single" w:sz="12" w:space="0" w:color="auto"/>
            </w:tcBorders>
          </w:tcPr>
          <w:p w:rsidR="0040457D" w:rsidRDefault="0040457D" w:rsidP="004C76E2">
            <w:pPr>
              <w:jc w:val="center"/>
              <w:rPr>
                <w:rFonts w:ascii="Arial" w:hAnsi="Arial" w:cs="Arial"/>
                <w:color w:val="000000"/>
                <w:sz w:val="20"/>
                <w:szCs w:val="20"/>
              </w:rPr>
            </w:pPr>
          </w:p>
        </w:tc>
        <w:tc>
          <w:tcPr>
            <w:tcW w:w="1418" w:type="dxa"/>
            <w:tcBorders>
              <w:bottom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10.00</w:t>
            </w:r>
          </w:p>
        </w:tc>
        <w:tc>
          <w:tcPr>
            <w:tcW w:w="1275" w:type="dxa"/>
            <w:tcBorders>
              <w:bottom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8.05E-03</w:t>
            </w:r>
          </w:p>
        </w:tc>
        <w:tc>
          <w:tcPr>
            <w:tcW w:w="1701" w:type="dxa"/>
            <w:tcBorders>
              <w:bottom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1.24E+08</w:t>
            </w:r>
          </w:p>
        </w:tc>
        <w:tc>
          <w:tcPr>
            <w:tcW w:w="1305" w:type="dxa"/>
            <w:tcBorders>
              <w:bottom w:val="single" w:sz="12" w:space="0" w:color="auto"/>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1.00</w:t>
            </w:r>
          </w:p>
        </w:tc>
      </w:tr>
    </w:tbl>
    <w:p w:rsidR="0040457D" w:rsidRPr="007159A9" w:rsidRDefault="0040457D" w:rsidP="0040457D">
      <w:r>
        <w:rPr>
          <w:vertAlign w:val="superscript"/>
        </w:rPr>
        <w:t>*</w:t>
      </w:r>
      <w:r>
        <w:t xml:space="preserve">Assume cell volume is approximately </w:t>
      </w:r>
      <w:proofErr w:type="gramStart"/>
      <w:r>
        <w:t>10x</w:t>
      </w:r>
      <w:proofErr w:type="gramEnd"/>
      <w:r>
        <w:t xml:space="preserve"> larger than liquid volume</w:t>
      </w:r>
    </w:p>
    <w:p w:rsidR="0040457D" w:rsidRDefault="0040457D"/>
    <w:p w:rsidR="0040457D" w:rsidRDefault="0040457D"/>
    <w:p w:rsidR="00305904" w:rsidRDefault="00305904"/>
    <w:p w:rsidR="0040457D" w:rsidRDefault="0040457D"/>
    <w:p w:rsidR="0040457D" w:rsidRDefault="0040457D"/>
    <w:p w:rsidR="0040457D" w:rsidRDefault="0040457D"/>
    <w:p w:rsidR="0040457D" w:rsidRDefault="0040457D"/>
    <w:p w:rsidR="0040457D" w:rsidRDefault="0040457D">
      <w:pPr>
        <w:rPr>
          <w:b/>
        </w:rPr>
      </w:pPr>
      <w:r>
        <w:rPr>
          <w:b/>
        </w:rPr>
        <w:br w:type="page"/>
      </w:r>
    </w:p>
    <w:p w:rsidR="007A6882" w:rsidRPr="0040457D" w:rsidRDefault="0040457D">
      <w:pPr>
        <w:rPr>
          <w:b/>
        </w:rPr>
      </w:pPr>
      <w:r w:rsidRPr="0040457D">
        <w:rPr>
          <w:b/>
        </w:rPr>
        <w:lastRenderedPageBreak/>
        <w:t xml:space="preserve">Data </w:t>
      </w:r>
      <w:r>
        <w:rPr>
          <w:b/>
        </w:rPr>
        <w:t>and Calculations of</w:t>
      </w:r>
      <w:r w:rsidRPr="0040457D">
        <w:rPr>
          <w:b/>
        </w:rPr>
        <w:t xml:space="preserve"> </w:t>
      </w:r>
      <w:r>
        <w:rPr>
          <w:b/>
        </w:rPr>
        <w:t>Equilibrium</w:t>
      </w:r>
      <w:r w:rsidR="007A6882" w:rsidRPr="0040457D">
        <w:rPr>
          <w:b/>
        </w:rPr>
        <w:t xml:space="preserve"> for </w:t>
      </w:r>
      <w:proofErr w:type="spellStart"/>
      <w:r w:rsidR="007A6882" w:rsidRPr="0040457D">
        <w:rPr>
          <w:b/>
        </w:rPr>
        <w:t>Cappa</w:t>
      </w:r>
      <w:proofErr w:type="spellEnd"/>
      <w:r w:rsidR="007A6882" w:rsidRPr="0040457D">
        <w:rPr>
          <w:b/>
        </w:rPr>
        <w:t xml:space="preserve"> Mixture</w:t>
      </w:r>
    </w:p>
    <w:p w:rsidR="007A6882" w:rsidRDefault="007A6882"/>
    <w:p w:rsidR="007A6882" w:rsidRDefault="007A6882">
      <w:r>
        <w:t>Physical Properties of Mixture:</w:t>
      </w:r>
    </w:p>
    <w:p w:rsidR="007A6882" w:rsidRDefault="007A6882"/>
    <w:tbl>
      <w:tblPr>
        <w:tblW w:w="8804" w:type="dxa"/>
        <w:jc w:val="center"/>
        <w:tblInd w:w="93"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858"/>
        <w:gridCol w:w="1134"/>
        <w:gridCol w:w="1276"/>
        <w:gridCol w:w="1134"/>
        <w:gridCol w:w="1134"/>
        <w:gridCol w:w="1134"/>
        <w:gridCol w:w="1134"/>
      </w:tblGrid>
      <w:tr w:rsidR="007159A9" w:rsidTr="0068212C">
        <w:trPr>
          <w:trHeight w:val="765"/>
          <w:jc w:val="center"/>
        </w:trPr>
        <w:tc>
          <w:tcPr>
            <w:tcW w:w="1858" w:type="dxa"/>
            <w:tcBorders>
              <w:top w:val="single" w:sz="12" w:space="0" w:color="auto"/>
              <w:left w:val="nil"/>
              <w:bottom w:val="single" w:sz="12" w:space="0" w:color="auto"/>
            </w:tcBorders>
            <w:shd w:val="clear" w:color="auto" w:fill="auto"/>
            <w:vAlign w:val="center"/>
            <w:hideMark/>
          </w:tcPr>
          <w:p w:rsidR="007E58DB" w:rsidRDefault="007E58DB" w:rsidP="007159A9">
            <w:pPr>
              <w:rPr>
                <w:rFonts w:ascii="Arial" w:hAnsi="Arial" w:cs="Arial"/>
                <w:b/>
                <w:bCs/>
                <w:color w:val="000000"/>
                <w:sz w:val="20"/>
                <w:szCs w:val="20"/>
              </w:rPr>
            </w:pPr>
            <w:r>
              <w:rPr>
                <w:rFonts w:ascii="Arial" w:hAnsi="Arial" w:cs="Arial"/>
                <w:b/>
                <w:bCs/>
                <w:color w:val="000000"/>
                <w:sz w:val="20"/>
                <w:szCs w:val="20"/>
              </w:rPr>
              <w:t>Compound</w:t>
            </w:r>
          </w:p>
        </w:tc>
        <w:tc>
          <w:tcPr>
            <w:tcW w:w="1134" w:type="dxa"/>
            <w:tcBorders>
              <w:top w:val="single" w:sz="12" w:space="0" w:color="auto"/>
              <w:bottom w:val="single" w:sz="12" w:space="0" w:color="auto"/>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MW</w:t>
            </w:r>
          </w:p>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(g mol-1)</w:t>
            </w:r>
          </w:p>
        </w:tc>
        <w:tc>
          <w:tcPr>
            <w:tcW w:w="1276" w:type="dxa"/>
            <w:tcBorders>
              <w:top w:val="single" w:sz="12" w:space="0" w:color="auto"/>
              <w:bottom w:val="single" w:sz="12" w:space="0" w:color="auto"/>
            </w:tcBorders>
            <w:shd w:val="clear" w:color="auto" w:fill="auto"/>
            <w:vAlign w:val="center"/>
            <w:hideMark/>
          </w:tcPr>
          <w:p w:rsidR="007E58DB" w:rsidRPr="007C19D1" w:rsidRDefault="007E58DB" w:rsidP="007159A9">
            <w:pPr>
              <w:jc w:val="center"/>
              <w:rPr>
                <w:rFonts w:ascii="Arial" w:hAnsi="Arial" w:cs="Arial"/>
                <w:b/>
                <w:bCs/>
                <w:color w:val="000000"/>
                <w:sz w:val="20"/>
                <w:szCs w:val="20"/>
                <w:vertAlign w:val="superscript"/>
              </w:rPr>
            </w:pPr>
            <w:r>
              <w:rPr>
                <w:rFonts w:ascii="Arial" w:hAnsi="Arial" w:cs="Arial"/>
                <w:b/>
                <w:bCs/>
                <w:color w:val="000000"/>
                <w:sz w:val="20"/>
                <w:szCs w:val="20"/>
              </w:rPr>
              <w:t>Enthalpy (kJ mol-1)</w:t>
            </w:r>
            <w:r w:rsidR="007C19D1">
              <w:rPr>
                <w:rFonts w:ascii="Arial" w:hAnsi="Arial" w:cs="Arial"/>
                <w:b/>
                <w:bCs/>
                <w:color w:val="000000"/>
                <w:sz w:val="20"/>
                <w:szCs w:val="20"/>
                <w:vertAlign w:val="superscript"/>
              </w:rPr>
              <w:t>a</w:t>
            </w:r>
          </w:p>
        </w:tc>
        <w:tc>
          <w:tcPr>
            <w:tcW w:w="1134" w:type="dxa"/>
            <w:tcBorders>
              <w:top w:val="single" w:sz="12" w:space="0" w:color="auto"/>
              <w:bottom w:val="single" w:sz="12" w:space="0" w:color="auto"/>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Vapor Pressure (</w:t>
            </w:r>
            <w:proofErr w:type="spellStart"/>
            <w:r>
              <w:rPr>
                <w:rFonts w:ascii="Arial" w:hAnsi="Arial" w:cs="Arial"/>
                <w:b/>
                <w:bCs/>
                <w:color w:val="000000"/>
                <w:sz w:val="20"/>
                <w:szCs w:val="20"/>
              </w:rPr>
              <w:t>atm</w:t>
            </w:r>
            <w:proofErr w:type="spellEnd"/>
            <w:r>
              <w:rPr>
                <w:rFonts w:ascii="Arial" w:hAnsi="Arial" w:cs="Arial"/>
                <w:b/>
                <w:bCs/>
                <w:color w:val="000000"/>
                <w:sz w:val="20"/>
                <w:szCs w:val="20"/>
              </w:rPr>
              <w:t>)</w:t>
            </w:r>
          </w:p>
        </w:tc>
        <w:tc>
          <w:tcPr>
            <w:tcW w:w="1134" w:type="dxa"/>
            <w:tcBorders>
              <w:top w:val="single" w:sz="12" w:space="0" w:color="auto"/>
              <w:bottom w:val="single" w:sz="12" w:space="0" w:color="auto"/>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Density</w:t>
            </w:r>
          </w:p>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(g cm-3)</w:t>
            </w:r>
          </w:p>
        </w:tc>
        <w:tc>
          <w:tcPr>
            <w:tcW w:w="1134" w:type="dxa"/>
            <w:tcBorders>
              <w:top w:val="single" w:sz="12" w:space="0" w:color="auto"/>
              <w:bottom w:val="single" w:sz="12" w:space="0" w:color="auto"/>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Mole Fraction</w:t>
            </w:r>
          </w:p>
        </w:tc>
        <w:tc>
          <w:tcPr>
            <w:tcW w:w="1134" w:type="dxa"/>
            <w:tcBorders>
              <w:top w:val="single" w:sz="12" w:space="0" w:color="auto"/>
              <w:bottom w:val="single" w:sz="12" w:space="0" w:color="auto"/>
              <w:right w:val="nil"/>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Mass Fraction</w:t>
            </w:r>
          </w:p>
        </w:tc>
      </w:tr>
      <w:tr w:rsidR="007159A9" w:rsidTr="0068212C">
        <w:trPr>
          <w:trHeight w:val="255"/>
          <w:jc w:val="center"/>
        </w:trPr>
        <w:tc>
          <w:tcPr>
            <w:tcW w:w="1858" w:type="dxa"/>
            <w:tcBorders>
              <w:top w:val="single" w:sz="12" w:space="0" w:color="auto"/>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Malonic</w:t>
            </w:r>
            <w:proofErr w:type="spellEnd"/>
            <w:r>
              <w:rPr>
                <w:rFonts w:ascii="Arial" w:hAnsi="Arial" w:cs="Arial"/>
                <w:color w:val="000000"/>
                <w:sz w:val="20"/>
                <w:szCs w:val="20"/>
              </w:rPr>
              <w:t xml:space="preserve"> Acid</w:t>
            </w:r>
          </w:p>
        </w:tc>
        <w:tc>
          <w:tcPr>
            <w:tcW w:w="1134"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104.06</w:t>
            </w:r>
          </w:p>
        </w:tc>
        <w:tc>
          <w:tcPr>
            <w:tcW w:w="1276"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141.9</w:t>
            </w:r>
          </w:p>
        </w:tc>
        <w:tc>
          <w:tcPr>
            <w:tcW w:w="1134"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6.61E-09</w:t>
            </w:r>
          </w:p>
        </w:tc>
        <w:tc>
          <w:tcPr>
            <w:tcW w:w="1134"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1.619</w:t>
            </w:r>
          </w:p>
        </w:tc>
        <w:tc>
          <w:tcPr>
            <w:tcW w:w="1134"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top w:val="single" w:sz="12" w:space="0" w:color="auto"/>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0.0715</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r>
              <w:rPr>
                <w:rFonts w:ascii="Arial" w:hAnsi="Arial" w:cs="Arial"/>
                <w:color w:val="000000"/>
                <w:sz w:val="20"/>
                <w:szCs w:val="20"/>
              </w:rPr>
              <w:t>Succinic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118.09</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88.5</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3.1E-09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1.56</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0.0812</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Glutaric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132.11</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1.73E-09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1.429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0.0908</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Adipic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146.14</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111.0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9.7E-10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1.36</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0.1005</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Pimelic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160</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124.0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5.51E-10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1.28</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0.1100</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Suberic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174</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130.0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3.15E-10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1.272</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0.1196</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Azelaic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188</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146.0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1.81E-10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1.0287</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0.1293</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Sebacic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202</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140.0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1.05E-10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1.209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0.1389</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Dodecanoic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230</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119.0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1.72E-09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0.88</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0.1581</w:t>
            </w:r>
          </w:p>
        </w:tc>
      </w:tr>
      <w:tr w:rsidR="007159A9" w:rsidTr="0068212C">
        <w:trPr>
          <w:trHeight w:val="255"/>
          <w:jc w:val="center"/>
        </w:trPr>
        <w:tc>
          <w:tcPr>
            <w:tcW w:w="1858" w:type="dxa"/>
            <w:tcBorders>
              <w:left w:val="nil"/>
              <w:bottom w:val="single" w:sz="12" w:space="0" w:color="auto"/>
            </w:tcBorders>
            <w:shd w:val="clear" w:color="auto" w:fill="auto"/>
            <w:noWrap/>
            <w:vAlign w:val="bottom"/>
            <w:hideMark/>
          </w:tcPr>
          <w:p w:rsidR="007E58DB" w:rsidRDefault="007E58DB">
            <w:pPr>
              <w:rPr>
                <w:rFonts w:ascii="Arial" w:hAnsi="Arial" w:cs="Arial"/>
                <w:color w:val="000000"/>
                <w:sz w:val="20"/>
                <w:szCs w:val="20"/>
              </w:rPr>
            </w:pPr>
            <w:r>
              <w:rPr>
                <w:rFonts w:ascii="Arial" w:hAnsi="Arial" w:cs="Arial"/>
                <w:color w:val="000000"/>
                <w:sz w:val="20"/>
                <w:szCs w:val="20"/>
              </w:rPr>
              <w:t>Total</w:t>
            </w:r>
          </w:p>
        </w:tc>
        <w:tc>
          <w:tcPr>
            <w:tcW w:w="1134" w:type="dxa"/>
            <w:tcBorders>
              <w:bottom w:val="single" w:sz="12" w:space="0" w:color="auto"/>
            </w:tcBorders>
            <w:shd w:val="clear" w:color="auto" w:fill="auto"/>
            <w:noWrap/>
            <w:vAlign w:val="bottom"/>
            <w:hideMark/>
          </w:tcPr>
          <w:p w:rsidR="007E58DB" w:rsidRPr="007E58DB" w:rsidRDefault="007E58DB" w:rsidP="007159A9">
            <w:pPr>
              <w:jc w:val="center"/>
              <w:rPr>
                <w:rFonts w:ascii="Arial" w:hAnsi="Arial" w:cs="Arial"/>
                <w:color w:val="000000"/>
                <w:sz w:val="20"/>
                <w:szCs w:val="20"/>
                <w:vertAlign w:val="superscript"/>
              </w:rPr>
            </w:pPr>
            <w:r>
              <w:rPr>
                <w:rFonts w:ascii="Arial" w:hAnsi="Arial" w:cs="Arial"/>
                <w:color w:val="000000"/>
                <w:sz w:val="20"/>
                <w:szCs w:val="20"/>
              </w:rPr>
              <w:t>161.44</w:t>
            </w:r>
            <w:r w:rsidR="007C19D1">
              <w:rPr>
                <w:rFonts w:ascii="Arial" w:hAnsi="Arial" w:cs="Arial"/>
                <w:color w:val="000000"/>
                <w:sz w:val="20"/>
                <w:szCs w:val="20"/>
                <w:vertAlign w:val="superscript"/>
              </w:rPr>
              <w:t>b</w:t>
            </w:r>
          </w:p>
        </w:tc>
        <w:tc>
          <w:tcPr>
            <w:tcW w:w="1276" w:type="dxa"/>
            <w:tcBorders>
              <w:bottom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p>
        </w:tc>
        <w:tc>
          <w:tcPr>
            <w:tcW w:w="1134" w:type="dxa"/>
            <w:tcBorders>
              <w:bottom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p>
        </w:tc>
        <w:tc>
          <w:tcPr>
            <w:tcW w:w="1134" w:type="dxa"/>
            <w:tcBorders>
              <w:bottom w:val="single" w:sz="12" w:space="0" w:color="auto"/>
            </w:tcBorders>
            <w:shd w:val="clear" w:color="auto" w:fill="auto"/>
            <w:noWrap/>
            <w:vAlign w:val="bottom"/>
            <w:hideMark/>
          </w:tcPr>
          <w:p w:rsidR="007E58DB" w:rsidRPr="007E58DB" w:rsidRDefault="007E58DB" w:rsidP="007159A9">
            <w:pPr>
              <w:jc w:val="center"/>
              <w:rPr>
                <w:rFonts w:ascii="Arial" w:hAnsi="Arial" w:cs="Arial"/>
                <w:color w:val="000000"/>
                <w:sz w:val="20"/>
                <w:szCs w:val="20"/>
                <w:vertAlign w:val="superscript"/>
              </w:rPr>
            </w:pPr>
            <w:r>
              <w:rPr>
                <w:rFonts w:ascii="Arial" w:hAnsi="Arial" w:cs="Arial"/>
                <w:color w:val="000000"/>
                <w:sz w:val="20"/>
                <w:szCs w:val="20"/>
              </w:rPr>
              <w:t>1.242</w:t>
            </w:r>
            <w:r w:rsidR="007C19D1">
              <w:rPr>
                <w:rFonts w:ascii="Arial" w:hAnsi="Arial" w:cs="Arial"/>
                <w:color w:val="000000"/>
                <w:sz w:val="20"/>
                <w:szCs w:val="20"/>
                <w:vertAlign w:val="superscript"/>
              </w:rPr>
              <w:t>c</w:t>
            </w:r>
          </w:p>
        </w:tc>
        <w:tc>
          <w:tcPr>
            <w:tcW w:w="1134" w:type="dxa"/>
            <w:tcBorders>
              <w:bottom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p>
        </w:tc>
        <w:tc>
          <w:tcPr>
            <w:tcW w:w="1134" w:type="dxa"/>
            <w:tcBorders>
              <w:bottom w:val="single" w:sz="12" w:space="0" w:color="auto"/>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p>
        </w:tc>
      </w:tr>
    </w:tbl>
    <w:p w:rsidR="007A6882" w:rsidRDefault="007A6882"/>
    <w:p w:rsidR="007C19D1" w:rsidRPr="007C19D1" w:rsidRDefault="007C19D1">
      <w:proofErr w:type="spellStart"/>
      <w:proofErr w:type="gramStart"/>
      <w:r>
        <w:rPr>
          <w:vertAlign w:val="superscript"/>
        </w:rPr>
        <w:t>a</w:t>
      </w:r>
      <w:r>
        <w:t>Cappa</w:t>
      </w:r>
      <w:proofErr w:type="spellEnd"/>
      <w:proofErr w:type="gramEnd"/>
      <w:r>
        <w:t xml:space="preserve"> et al. (2008)</w:t>
      </w:r>
    </w:p>
    <w:p w:rsidR="007A6882" w:rsidRDefault="007C19D1">
      <w:proofErr w:type="spellStart"/>
      <w:proofErr w:type="gramStart"/>
      <w:r>
        <w:rPr>
          <w:vertAlign w:val="superscript"/>
        </w:rPr>
        <w:t>b</w:t>
      </w:r>
      <w:r w:rsidR="007E58DB">
        <w:t>Mole</w:t>
      </w:r>
      <w:proofErr w:type="spellEnd"/>
      <w:r w:rsidR="007E58DB">
        <w:t>-weighted</w:t>
      </w:r>
      <w:proofErr w:type="gramEnd"/>
    </w:p>
    <w:p w:rsidR="007E58DB" w:rsidRDefault="007C19D1">
      <w:proofErr w:type="spellStart"/>
      <w:proofErr w:type="gramStart"/>
      <w:r>
        <w:rPr>
          <w:vertAlign w:val="superscript"/>
        </w:rPr>
        <w:t>c</w:t>
      </w:r>
      <w:r w:rsidR="007E58DB">
        <w:t>Mass</w:t>
      </w:r>
      <w:proofErr w:type="spellEnd"/>
      <w:r w:rsidR="007E58DB">
        <w:t>-weighted</w:t>
      </w:r>
      <w:proofErr w:type="gramEnd"/>
    </w:p>
    <w:p w:rsidR="007E58DB" w:rsidRDefault="007E58DB"/>
    <w:p w:rsidR="007A6882" w:rsidRDefault="007A6882">
      <w:r>
        <w:t>Pure component saturation concentration calculation:</w:t>
      </w:r>
    </w:p>
    <w:p w:rsidR="007A6882" w:rsidRDefault="007A6882"/>
    <w:p w:rsidR="007A6882" w:rsidRPr="005F3872" w:rsidRDefault="00247E6D">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vap</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vap,0</m:t>
              </m:r>
            </m:sub>
          </m:sSub>
          <m:sSup>
            <m:sSupPr>
              <m:ctrlPr>
                <w:rPr>
                  <w:rFonts w:ascii="Cambria Math" w:hAnsi="Cambria Math"/>
                  <w:i/>
                  <w:vertAlign w:val="subscript"/>
                </w:rPr>
              </m:ctrlPr>
            </m:sSupPr>
            <m:e>
              <m:r>
                <w:rPr>
                  <w:rFonts w:ascii="Cambria Math" w:hAnsi="Cambria Math"/>
                  <w:vertAlign w:val="subscript"/>
                </w:rPr>
                <m:t>e</m:t>
              </m:r>
            </m:e>
            <m:sup>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-∆H</m:t>
                      </m:r>
                    </m:num>
                    <m:den>
                      <m:r>
                        <w:rPr>
                          <w:rFonts w:ascii="Cambria Math" w:hAnsi="Cambria Math"/>
                          <w:vertAlign w:val="subscript"/>
                        </w:rPr>
                        <m:t>R</m:t>
                      </m:r>
                    </m:den>
                  </m:f>
                  <m:d>
                    <m:dPr>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T</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0</m:t>
                              </m:r>
                            </m:sub>
                          </m:sSub>
                        </m:den>
                      </m:f>
                    </m:e>
                  </m:d>
                </m:e>
              </m:d>
            </m:sup>
          </m:sSup>
        </m:oMath>
      </m:oMathPara>
    </w:p>
    <w:p w:rsidR="005F3872" w:rsidRPr="005F3872" w:rsidRDefault="005F3872">
      <w:pPr>
        <w:rPr>
          <w:rFonts w:eastAsiaTheme="minorEastAsia"/>
          <w:vertAlign w:val="subscript"/>
        </w:rPr>
      </w:pPr>
    </w:p>
    <w:p w:rsidR="005F3872" w:rsidRPr="005F3872" w:rsidRDefault="00247E6D">
      <w:pPr>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C</m:t>
              </m:r>
            </m:e>
            <m:sup>
              <m:r>
                <w:rPr>
                  <w:rFonts w:ascii="Cambria Math" w:eastAsiaTheme="minorEastAsia" w:hAnsi="Cambria Math"/>
                  <w:vertAlign w:val="subscript"/>
                </w:rPr>
                <m:t>*</m:t>
              </m:r>
            </m:sup>
          </m:sSup>
          <m:r>
            <w:rPr>
              <w:rFonts w:ascii="Cambria Math" w:eastAsiaTheme="minorEastAsia" w:hAnsi="Cambria Math"/>
              <w:vertAlign w:val="subscript"/>
            </w:rPr>
            <m:t>=</m:t>
          </m:r>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vap</m:t>
                  </m:r>
                </m:sub>
              </m:sSub>
            </m:num>
            <m:den>
              <m:r>
                <w:rPr>
                  <w:rFonts w:ascii="Cambria Math" w:eastAsiaTheme="minorEastAsia" w:hAnsi="Cambria Math"/>
                  <w:vertAlign w:val="subscript"/>
                </w:rPr>
                <m:t>RT</m:t>
              </m:r>
            </m:den>
          </m:f>
          <m:r>
            <w:rPr>
              <w:rFonts w:ascii="Cambria Math" w:eastAsiaTheme="minorEastAsia" w:hAnsi="Cambria Math"/>
              <w:vertAlign w:val="subscript"/>
            </w:rPr>
            <m:t>∙MW</m:t>
          </m:r>
        </m:oMath>
      </m:oMathPara>
    </w:p>
    <w:p w:rsidR="005F3872" w:rsidRDefault="005F3872"/>
    <w:p w:rsidR="005F3872" w:rsidRDefault="005F3872">
      <w:r>
        <w:t xml:space="preserve">Saturation Concentration </w:t>
      </w:r>
      <w:r w:rsidRPr="005F3872">
        <w:rPr>
          <w:b/>
        </w:rPr>
        <w:t>(mg m</w:t>
      </w:r>
      <w:r w:rsidRPr="005F3872">
        <w:rPr>
          <w:b/>
          <w:vertAlign w:val="superscript"/>
        </w:rPr>
        <w:t>-3</w:t>
      </w:r>
      <w:r w:rsidRPr="005F3872">
        <w:rPr>
          <w:b/>
        </w:rPr>
        <w:t>)</w:t>
      </w:r>
      <w:r>
        <w:t xml:space="preserve"> as a function of temperature:</w:t>
      </w:r>
    </w:p>
    <w:p w:rsidR="005F3872" w:rsidRDefault="005F3872"/>
    <w:tbl>
      <w:tblPr>
        <w:tblW w:w="7755" w:type="dxa"/>
        <w:jc w:val="center"/>
        <w:tblInd w:w="9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58"/>
        <w:gridCol w:w="1134"/>
        <w:gridCol w:w="1276"/>
        <w:gridCol w:w="1134"/>
        <w:gridCol w:w="1276"/>
        <w:gridCol w:w="1078"/>
      </w:tblGrid>
      <w:tr w:rsidR="005F3872" w:rsidRPr="005F3872" w:rsidTr="0068212C">
        <w:trPr>
          <w:trHeight w:val="255"/>
          <w:jc w:val="center"/>
        </w:trPr>
        <w:tc>
          <w:tcPr>
            <w:tcW w:w="1858" w:type="dxa"/>
            <w:tcBorders>
              <w:top w:val="single" w:sz="12" w:space="0" w:color="auto"/>
              <w:left w:val="nil"/>
              <w:bottom w:val="single" w:sz="12" w:space="0" w:color="auto"/>
            </w:tcBorders>
            <w:shd w:val="clear" w:color="auto" w:fill="auto"/>
            <w:vAlign w:val="bottom"/>
            <w:hideMark/>
          </w:tcPr>
          <w:p w:rsidR="005F3872" w:rsidRPr="005F3872" w:rsidRDefault="005F3872" w:rsidP="005F3872">
            <w:pPr>
              <w:rPr>
                <w:rFonts w:ascii="Arial" w:eastAsia="Times New Roman" w:hAnsi="Arial" w:cs="Arial"/>
                <w:b/>
                <w:bCs/>
                <w:color w:val="000000"/>
                <w:sz w:val="20"/>
                <w:szCs w:val="20"/>
              </w:rPr>
            </w:pPr>
            <w:r w:rsidRPr="005F3872">
              <w:rPr>
                <w:rFonts w:ascii="Arial" w:eastAsia="Times New Roman" w:hAnsi="Arial" w:cs="Arial"/>
                <w:b/>
                <w:bCs/>
                <w:color w:val="000000"/>
                <w:sz w:val="20"/>
                <w:szCs w:val="20"/>
              </w:rPr>
              <w:t xml:space="preserve">T </w:t>
            </w:r>
            <w:r w:rsidRPr="007159A9">
              <w:rPr>
                <w:rFonts w:ascii="Arial" w:eastAsia="Times New Roman" w:hAnsi="Arial" w:cs="Arial"/>
                <w:b/>
                <w:bCs/>
                <w:color w:val="000000"/>
                <w:sz w:val="20"/>
                <w:szCs w:val="20"/>
              </w:rPr>
              <w:t>(</w:t>
            </w:r>
            <w:proofErr w:type="spellStart"/>
            <w:r w:rsidRPr="005F3872">
              <w:rPr>
                <w:rFonts w:ascii="Arial" w:eastAsia="Times New Roman" w:hAnsi="Arial" w:cs="Arial"/>
                <w:b/>
                <w:bCs/>
                <w:color w:val="000000"/>
                <w:sz w:val="20"/>
                <w:szCs w:val="20"/>
              </w:rPr>
              <w:t>deg</w:t>
            </w:r>
            <w:proofErr w:type="spellEnd"/>
            <w:r w:rsidRPr="005F3872">
              <w:rPr>
                <w:rFonts w:ascii="Arial" w:eastAsia="Times New Roman" w:hAnsi="Arial" w:cs="Arial"/>
                <w:b/>
                <w:bCs/>
                <w:color w:val="000000"/>
                <w:sz w:val="20"/>
                <w:szCs w:val="20"/>
              </w:rPr>
              <w:t xml:space="preserve"> C</w:t>
            </w:r>
            <w:r w:rsidRPr="007159A9">
              <w:rPr>
                <w:rFonts w:ascii="Arial" w:eastAsia="Times New Roman" w:hAnsi="Arial" w:cs="Arial"/>
                <w:b/>
                <w:bCs/>
                <w:color w:val="000000"/>
                <w:sz w:val="20"/>
                <w:szCs w:val="20"/>
              </w:rPr>
              <w:t>)</w:t>
            </w:r>
          </w:p>
        </w:tc>
        <w:tc>
          <w:tcPr>
            <w:tcW w:w="1134" w:type="dxa"/>
            <w:tcBorders>
              <w:top w:val="single" w:sz="12" w:space="0" w:color="auto"/>
              <w:bottom w:val="single" w:sz="12" w:space="0" w:color="auto"/>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5</w:t>
            </w:r>
          </w:p>
        </w:tc>
        <w:tc>
          <w:tcPr>
            <w:tcW w:w="1276" w:type="dxa"/>
            <w:tcBorders>
              <w:top w:val="single" w:sz="12" w:space="0" w:color="auto"/>
              <w:bottom w:val="single" w:sz="12" w:space="0" w:color="auto"/>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20</w:t>
            </w:r>
          </w:p>
        </w:tc>
        <w:tc>
          <w:tcPr>
            <w:tcW w:w="1134" w:type="dxa"/>
            <w:tcBorders>
              <w:top w:val="single" w:sz="12" w:space="0" w:color="auto"/>
              <w:bottom w:val="single" w:sz="12" w:space="0" w:color="auto"/>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70</w:t>
            </w:r>
          </w:p>
        </w:tc>
        <w:tc>
          <w:tcPr>
            <w:tcW w:w="1276" w:type="dxa"/>
            <w:tcBorders>
              <w:top w:val="single" w:sz="12" w:space="0" w:color="auto"/>
              <w:bottom w:val="single" w:sz="12" w:space="0" w:color="auto"/>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100</w:t>
            </w:r>
          </w:p>
        </w:tc>
        <w:tc>
          <w:tcPr>
            <w:tcW w:w="1077" w:type="dxa"/>
            <w:tcBorders>
              <w:top w:val="single" w:sz="12" w:space="0" w:color="auto"/>
              <w:bottom w:val="single" w:sz="12" w:space="0" w:color="auto"/>
              <w:right w:val="nil"/>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120</w:t>
            </w:r>
          </w:p>
        </w:tc>
      </w:tr>
      <w:tr w:rsidR="005F3872" w:rsidRPr="005F3872" w:rsidTr="0068212C">
        <w:trPr>
          <w:trHeight w:val="255"/>
          <w:jc w:val="center"/>
        </w:trPr>
        <w:tc>
          <w:tcPr>
            <w:tcW w:w="1858" w:type="dxa"/>
            <w:tcBorders>
              <w:top w:val="single" w:sz="12" w:space="0" w:color="auto"/>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Malonic</w:t>
            </w:r>
            <w:proofErr w:type="spellEnd"/>
            <w:r w:rsidRPr="005F3872">
              <w:rPr>
                <w:rFonts w:ascii="Arial" w:eastAsia="Times New Roman" w:hAnsi="Arial" w:cs="Arial"/>
                <w:color w:val="000000"/>
                <w:sz w:val="20"/>
                <w:szCs w:val="20"/>
              </w:rPr>
              <w:t xml:space="preserve"> Acid</w:t>
            </w:r>
          </w:p>
        </w:tc>
        <w:tc>
          <w:tcPr>
            <w:tcW w:w="1134" w:type="dxa"/>
            <w:tcBorders>
              <w:top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3.34E-04</w:t>
            </w:r>
          </w:p>
        </w:tc>
        <w:tc>
          <w:tcPr>
            <w:tcW w:w="1276" w:type="dxa"/>
            <w:tcBorders>
              <w:top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7.34E-03</w:t>
            </w:r>
          </w:p>
        </w:tc>
        <w:tc>
          <w:tcPr>
            <w:tcW w:w="1134" w:type="dxa"/>
            <w:tcBorders>
              <w:top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3.06E+01</w:t>
            </w:r>
          </w:p>
        </w:tc>
        <w:tc>
          <w:tcPr>
            <w:tcW w:w="1276" w:type="dxa"/>
            <w:tcBorders>
              <w:top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1.54E+03</w:t>
            </w:r>
          </w:p>
        </w:tc>
        <w:tc>
          <w:tcPr>
            <w:tcW w:w="1077" w:type="dxa"/>
            <w:tcBorders>
              <w:top w:val="single" w:sz="12" w:space="0" w:color="auto"/>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1.50E+04</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r w:rsidRPr="005F3872">
              <w:rPr>
                <w:rFonts w:ascii="Arial" w:eastAsia="Times New Roman" w:hAnsi="Arial" w:cs="Arial"/>
                <w:color w:val="000000"/>
                <w:sz w:val="20"/>
                <w:szCs w:val="20"/>
              </w:rPr>
              <w:t>Succinic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9.69E-04</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6.53E-03</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1.11E+00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1.24E+01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5.03E+01</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Glutaric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1.14E-04</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2.45E-03</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9.68E+00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4.75E+02</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4.56E+03</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Adipic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1.83E-04</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2.03E-03</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1.33E+00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2.81E+01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1.65E+02</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Pimelic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7.55E-05</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1.12E-03</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1.59E+00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4.84E+01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3.51E+02</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Suberic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3.88E-05</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6.56E-04</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1.34E+00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4.82E+01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3.86E+02</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Azelaic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1.45E-05</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3.50E-04</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1.86E+00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1.05E+02</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1.10E+03</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Sebacic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1.09E-05</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2.31E-04</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8.56E-01</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4.08E+01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3.86E+02</w:t>
            </w:r>
          </w:p>
        </w:tc>
      </w:tr>
      <w:tr w:rsidR="005F3872" w:rsidRPr="005F3872" w:rsidTr="0068212C">
        <w:trPr>
          <w:trHeight w:val="255"/>
          <w:jc w:val="center"/>
        </w:trPr>
        <w:tc>
          <w:tcPr>
            <w:tcW w:w="1858" w:type="dxa"/>
            <w:tcBorders>
              <w:left w:val="nil"/>
              <w:bottom w:val="single" w:sz="12" w:space="0" w:color="auto"/>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Dodecanoic</w:t>
            </w:r>
            <w:proofErr w:type="spellEnd"/>
            <w:r w:rsidRPr="005F3872">
              <w:rPr>
                <w:rFonts w:ascii="Arial" w:eastAsia="Times New Roman" w:hAnsi="Arial" w:cs="Arial"/>
                <w:color w:val="000000"/>
                <w:sz w:val="20"/>
                <w:szCs w:val="20"/>
              </w:rPr>
              <w:t xml:space="preserve"> Acid</w:t>
            </w:r>
          </w:p>
        </w:tc>
        <w:tc>
          <w:tcPr>
            <w:tcW w:w="1134" w:type="dxa"/>
            <w:tcBorders>
              <w:bottom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3.97E-04</w:t>
            </w:r>
          </w:p>
        </w:tc>
        <w:tc>
          <w:tcPr>
            <w:tcW w:w="1276" w:type="dxa"/>
            <w:tcBorders>
              <w:bottom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5.25E-03</w:t>
            </w:r>
          </w:p>
        </w:tc>
        <w:tc>
          <w:tcPr>
            <w:tcW w:w="1134" w:type="dxa"/>
            <w:tcBorders>
              <w:bottom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5.55E+00</w:t>
            </w:r>
          </w:p>
        </w:tc>
        <w:tc>
          <w:tcPr>
            <w:tcW w:w="1276" w:type="dxa"/>
            <w:tcBorders>
              <w:bottom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1.46E+02</w:t>
            </w:r>
          </w:p>
        </w:tc>
        <w:tc>
          <w:tcPr>
            <w:tcW w:w="1077" w:type="dxa"/>
            <w:tcBorders>
              <w:bottom w:val="single" w:sz="12" w:space="0" w:color="auto"/>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9.80E+02</w:t>
            </w:r>
          </w:p>
        </w:tc>
      </w:tr>
    </w:tbl>
    <w:p w:rsidR="005F3872" w:rsidRDefault="005F3872"/>
    <w:p w:rsidR="005F3872" w:rsidRDefault="005F3872"/>
    <w:p w:rsidR="007E58DB" w:rsidRDefault="007E58DB">
      <w:r>
        <w:br w:type="page"/>
      </w:r>
    </w:p>
    <w:sectPr w:rsidR="007E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882"/>
    <w:rsid w:val="00200E5D"/>
    <w:rsid w:val="00247E6D"/>
    <w:rsid w:val="00305904"/>
    <w:rsid w:val="0040457D"/>
    <w:rsid w:val="005F3872"/>
    <w:rsid w:val="0068212C"/>
    <w:rsid w:val="007159A9"/>
    <w:rsid w:val="007A6882"/>
    <w:rsid w:val="007C19D1"/>
    <w:rsid w:val="007E58DB"/>
    <w:rsid w:val="00D719BF"/>
    <w:rsid w:val="00EB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882"/>
    <w:rPr>
      <w:color w:val="808080"/>
    </w:rPr>
  </w:style>
  <w:style w:type="paragraph" w:styleId="BalloonText">
    <w:name w:val="Balloon Text"/>
    <w:basedOn w:val="Normal"/>
    <w:link w:val="BalloonTextChar"/>
    <w:uiPriority w:val="99"/>
    <w:semiHidden/>
    <w:unhideWhenUsed/>
    <w:rsid w:val="007A6882"/>
    <w:rPr>
      <w:rFonts w:ascii="Tahoma" w:hAnsi="Tahoma" w:cs="Tahoma"/>
      <w:sz w:val="16"/>
      <w:szCs w:val="16"/>
    </w:rPr>
  </w:style>
  <w:style w:type="character" w:customStyle="1" w:styleId="BalloonTextChar">
    <w:name w:val="Balloon Text Char"/>
    <w:basedOn w:val="DefaultParagraphFont"/>
    <w:link w:val="BalloonText"/>
    <w:uiPriority w:val="99"/>
    <w:semiHidden/>
    <w:rsid w:val="007A6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882"/>
    <w:rPr>
      <w:color w:val="808080"/>
    </w:rPr>
  </w:style>
  <w:style w:type="paragraph" w:styleId="BalloonText">
    <w:name w:val="Balloon Text"/>
    <w:basedOn w:val="Normal"/>
    <w:link w:val="BalloonTextChar"/>
    <w:uiPriority w:val="99"/>
    <w:semiHidden/>
    <w:unhideWhenUsed/>
    <w:rsid w:val="007A6882"/>
    <w:rPr>
      <w:rFonts w:ascii="Tahoma" w:hAnsi="Tahoma" w:cs="Tahoma"/>
      <w:sz w:val="16"/>
      <w:szCs w:val="16"/>
    </w:rPr>
  </w:style>
  <w:style w:type="character" w:customStyle="1" w:styleId="BalloonTextChar">
    <w:name w:val="Balloon Text Char"/>
    <w:basedOn w:val="DefaultParagraphFont"/>
    <w:link w:val="BalloonText"/>
    <w:uiPriority w:val="99"/>
    <w:semiHidden/>
    <w:rsid w:val="007A6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57940">
      <w:bodyDiv w:val="1"/>
      <w:marLeft w:val="0"/>
      <w:marRight w:val="0"/>
      <w:marTop w:val="0"/>
      <w:marBottom w:val="0"/>
      <w:divBdr>
        <w:top w:val="none" w:sz="0" w:space="0" w:color="auto"/>
        <w:left w:val="none" w:sz="0" w:space="0" w:color="auto"/>
        <w:bottom w:val="none" w:sz="0" w:space="0" w:color="auto"/>
        <w:right w:val="none" w:sz="0" w:space="0" w:color="auto"/>
      </w:divBdr>
    </w:div>
    <w:div w:id="782575291">
      <w:bodyDiv w:val="1"/>
      <w:marLeft w:val="0"/>
      <w:marRight w:val="0"/>
      <w:marTop w:val="0"/>
      <w:marBottom w:val="0"/>
      <w:divBdr>
        <w:top w:val="none" w:sz="0" w:space="0" w:color="auto"/>
        <w:left w:val="none" w:sz="0" w:space="0" w:color="auto"/>
        <w:bottom w:val="none" w:sz="0" w:space="0" w:color="auto"/>
        <w:right w:val="none" w:sz="0" w:space="0" w:color="auto"/>
      </w:divBdr>
    </w:div>
    <w:div w:id="1248610234">
      <w:bodyDiv w:val="1"/>
      <w:marLeft w:val="0"/>
      <w:marRight w:val="0"/>
      <w:marTop w:val="0"/>
      <w:marBottom w:val="0"/>
      <w:divBdr>
        <w:top w:val="none" w:sz="0" w:space="0" w:color="auto"/>
        <w:left w:val="none" w:sz="0" w:space="0" w:color="auto"/>
        <w:bottom w:val="none" w:sz="0" w:space="0" w:color="auto"/>
        <w:right w:val="none" w:sz="0" w:space="0" w:color="auto"/>
      </w:divBdr>
    </w:div>
    <w:div w:id="15526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bnmurphy</dc:creator>
  <cp:lastModifiedBy>bnmurphy</cp:lastModifiedBy>
  <cp:revision>2</cp:revision>
  <dcterms:created xsi:type="dcterms:W3CDTF">2013-11-26T15:20:00Z</dcterms:created>
  <dcterms:modified xsi:type="dcterms:W3CDTF">2013-11-26T15:20:00Z</dcterms:modified>
</cp:coreProperties>
</file>