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0E5D" w:rsidRDefault="00011C95">
      <w:pPr>
        <w:rPr>
          <w:b/>
        </w:rPr>
      </w:pPr>
      <w:r>
        <w:rPr>
          <w:b/>
        </w:rPr>
        <w:t>Modeling Phase Transitions in DSC Experiments</w:t>
      </w:r>
    </w:p>
    <w:p w:rsidR="00011C95" w:rsidRDefault="00011C95">
      <w:pPr>
        <w:rPr>
          <w:b/>
        </w:rPr>
      </w:pPr>
    </w:p>
    <w:p w:rsidR="00011C95" w:rsidRDefault="00011C95">
      <w:pPr>
        <w:rPr>
          <w:u w:val="single"/>
        </w:rPr>
      </w:pPr>
    </w:p>
    <w:p w:rsidR="00011C95" w:rsidRPr="00011C95" w:rsidRDefault="009E3773">
      <w:pPr>
        <w:rPr>
          <w:u w:val="single"/>
        </w:rPr>
      </w:pPr>
      <w:r>
        <w:rPr>
          <w:u w:val="single"/>
        </w:rPr>
        <w:t>Dynamic</w:t>
      </w:r>
      <w:r w:rsidR="00011C95" w:rsidRPr="00011C95">
        <w:rPr>
          <w:u w:val="single"/>
        </w:rPr>
        <w:t xml:space="preserve"> Model De</w:t>
      </w:r>
      <w:r w:rsidR="00011C95">
        <w:rPr>
          <w:u w:val="single"/>
        </w:rPr>
        <w:t>scription</w:t>
      </w:r>
    </w:p>
    <w:p w:rsidR="00011C95" w:rsidRDefault="00011C95"/>
    <w:p w:rsidR="00011C95" w:rsidRDefault="00011C95">
      <w:r>
        <w:t xml:space="preserve">We have built a model to recreate the heat capacity curves in the DSC experiments, by explicitly tracking the transfer of material between the solid, liquid, and vapor phases. Currently, the model is based on thermodynamic properties of the pure components (i.e. vapor pressures, enthalpies of melting, </w:t>
      </w:r>
      <w:proofErr w:type="spellStart"/>
      <w:r>
        <w:t>etc</w:t>
      </w:r>
      <w:proofErr w:type="spellEnd"/>
      <w:r>
        <w:t xml:space="preserve">), but mixture properties will be incorporated as well. </w:t>
      </w:r>
      <w:r w:rsidR="00174C1D">
        <w:t>The model ignores heat transport (i.e. energy is dispersed in the system instantaneously)</w:t>
      </w:r>
      <w:r w:rsidR="00174C1D">
        <w:t>.</w:t>
      </w:r>
    </w:p>
    <w:p w:rsidR="00011C95" w:rsidRDefault="00011C95"/>
    <w:p w:rsidR="00011C95" w:rsidRDefault="00011C95">
      <w:r>
        <w:t>Using the experimental heat flow into or out of the system, the model predicts the flux of each species between each phase and the resulting temperature response. With this approach, the model recreates the temperature trends with mixed results depending on the concentration of water. In other words, the model can be tuned (typically the pure component heat capacities) to recreate well temperature trends for one trial, but then fails to the capture behavior of the other trials. This is likely due to unrealistic representation of heat absorbed by the solid phase.</w:t>
      </w:r>
    </w:p>
    <w:p w:rsidR="00011C95" w:rsidRDefault="00011C95"/>
    <w:p w:rsidR="00174C1D" w:rsidRDefault="00174C1D">
      <w:r>
        <w:t>The model so far has been able to corroborate the assumption that evaporation is negligible, but has not yet been able to reproduce the solid-liquid transitions seen in the experimental heat capacity trends.</w:t>
      </w:r>
      <w:r w:rsidR="007C2477">
        <w:t xml:space="preserve"> Our goal is to use the experimental data to fit the heat capacity and enthalpies of melting of the solids formed in the samples.</w:t>
      </w:r>
    </w:p>
    <w:p w:rsidR="00174C1D" w:rsidRDefault="00174C1D">
      <w:pPr>
        <w:rPr>
          <w:u w:val="single"/>
        </w:rPr>
      </w:pPr>
    </w:p>
    <w:p w:rsidR="00011C95" w:rsidRDefault="00011C95">
      <w:r>
        <w:rPr>
          <w:u w:val="single"/>
        </w:rPr>
        <w:t>Vapor-Liquid Transitions</w:t>
      </w:r>
    </w:p>
    <w:p w:rsidR="00011C95" w:rsidRDefault="00011C95"/>
    <w:p w:rsidR="00011C95" w:rsidRDefault="00011C95">
      <w:r>
        <w:t xml:space="preserve">We have determined from a simple set of calculations (see </w:t>
      </w:r>
      <w:r w:rsidR="00A51D1E">
        <w:t>Equilibrium Model description below</w:t>
      </w:r>
      <w:bookmarkStart w:id="0" w:name="_GoBack"/>
      <w:bookmarkEnd w:id="0"/>
      <w:r>
        <w:t xml:space="preserve">) as well as through runs with the detailed model that no significant evaporation at all is expected in the system, consistent with the mass measurements. As a result, these interactions are not sufficient to reproduce any of the peaks in the experimental heat capacity trends. This includes the </w:t>
      </w:r>
      <w:r w:rsidR="001908B3">
        <w:t xml:space="preserve">supposed “water boiling” peak apparent in the trends at 100 </w:t>
      </w:r>
      <w:r w:rsidR="001908B3" w:rsidRPr="001908B3">
        <w:rPr>
          <w:vertAlign w:val="superscript"/>
        </w:rPr>
        <w:t>ᵒ</w:t>
      </w:r>
      <w:r w:rsidR="001908B3">
        <w:t>C (It is also clear from the amount of energy input to the system during those events that there is not enough energy to evaporate all of the water in the system). Probably this is condensed-phase interaction event as well.</w:t>
      </w:r>
    </w:p>
    <w:p w:rsidR="00011C95" w:rsidRDefault="00011C95"/>
    <w:p w:rsidR="00011C95" w:rsidRDefault="00011C95"/>
    <w:p w:rsidR="00011C95" w:rsidRDefault="00011C95">
      <w:pPr>
        <w:rPr>
          <w:u w:val="single"/>
        </w:rPr>
      </w:pPr>
      <w:r>
        <w:rPr>
          <w:u w:val="single"/>
        </w:rPr>
        <w:t>Liquid-Liquid Interactions</w:t>
      </w:r>
    </w:p>
    <w:p w:rsidR="00011C95" w:rsidRDefault="00011C95">
      <w:pPr>
        <w:rPr>
          <w:u w:val="single"/>
        </w:rPr>
      </w:pPr>
    </w:p>
    <w:p w:rsidR="00011C95" w:rsidRPr="001908B3" w:rsidRDefault="001908B3">
      <w:r>
        <w:t xml:space="preserve">Interactions within the liquid phase </w:t>
      </w:r>
      <w:r w:rsidR="00174C1D">
        <w:t xml:space="preserve">are calculated online with AIOMFAC. We do not yet simulate the presence of a separate organic phase, but instead just one mixed liquid phase. Thus, as the water concentration increases, the model predicts larger effects on the vapor pressures and </w:t>
      </w:r>
      <w:proofErr w:type="spellStart"/>
      <w:r w:rsidR="00174C1D">
        <w:t>solubilities</w:t>
      </w:r>
      <w:proofErr w:type="spellEnd"/>
      <w:r w:rsidR="00174C1D">
        <w:t xml:space="preserve"> of the organics than likely occurred in the real experimental systems. AIOMFAC predicts activity coefficients near 1 for most of the organic compounds even with 95 </w:t>
      </w:r>
      <w:proofErr w:type="spellStart"/>
      <w:r w:rsidR="00174C1D">
        <w:t>mol</w:t>
      </w:r>
      <w:proofErr w:type="spellEnd"/>
      <w:r w:rsidR="00174C1D">
        <w:t>% water, except for dodecanoic acid, which has a strong predicted activity coefficient (~2000). This supports the inclusion of a separate liquid phase in the model, but the effects on the heat capacity predictions are uncertain.</w:t>
      </w:r>
    </w:p>
    <w:p w:rsidR="001908B3" w:rsidRDefault="001908B3">
      <w:pPr>
        <w:rPr>
          <w:u w:val="single"/>
        </w:rPr>
      </w:pPr>
    </w:p>
    <w:p w:rsidR="00011C95" w:rsidRDefault="00011C95">
      <w:pPr>
        <w:rPr>
          <w:u w:val="single"/>
        </w:rPr>
      </w:pPr>
    </w:p>
    <w:p w:rsidR="00011C95" w:rsidRDefault="00011C95">
      <w:pPr>
        <w:rPr>
          <w:u w:val="single"/>
        </w:rPr>
      </w:pPr>
      <w:r>
        <w:rPr>
          <w:u w:val="single"/>
        </w:rPr>
        <w:t>Solid-</w:t>
      </w:r>
      <w:r w:rsidR="00174C1D">
        <w:rPr>
          <w:u w:val="single"/>
        </w:rPr>
        <w:t>Phase</w:t>
      </w:r>
      <w:r>
        <w:rPr>
          <w:u w:val="single"/>
        </w:rPr>
        <w:t xml:space="preserve"> Transitions</w:t>
      </w:r>
    </w:p>
    <w:p w:rsidR="00011C95" w:rsidRDefault="00011C95">
      <w:pPr>
        <w:rPr>
          <w:u w:val="single"/>
        </w:rPr>
      </w:pPr>
    </w:p>
    <w:p w:rsidR="00011C95" w:rsidRDefault="00174C1D" w:rsidP="00011C95">
      <w:r>
        <w:t xml:space="preserve">The model treats solid-liquid and solid-gas transitions but these interactions require more development and testing. </w:t>
      </w:r>
      <w:r w:rsidR="007C2477">
        <w:t>Currently, the model ignores diffusion within the liquid phase. It is not clear if this, in addition to the fast heat transport assumption, is reliable for simulating the melting case.</w:t>
      </w:r>
    </w:p>
    <w:p w:rsidR="007C2477" w:rsidRDefault="007C2477" w:rsidP="00011C95"/>
    <w:p w:rsidR="009E3773" w:rsidRDefault="009E3773" w:rsidP="00011C95"/>
    <w:p w:rsidR="007C2477" w:rsidRPr="00011C95" w:rsidRDefault="007C2477" w:rsidP="00011C95">
      <w:r>
        <w:rPr>
          <w:noProof/>
        </w:rPr>
        <w:drawing>
          <wp:inline distT="0" distB="0" distL="0" distR="0">
            <wp:extent cx="5943600" cy="4279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_model_schematic.tif"/>
                    <pic:cNvPicPr/>
                  </pic:nvPicPr>
                  <pic:blipFill>
                    <a:blip r:embed="rId5">
                      <a:extLst>
                        <a:ext uri="{28A0092B-C50C-407E-A947-70E740481C1C}">
                          <a14:useLocalDpi xmlns:a14="http://schemas.microsoft.com/office/drawing/2010/main" val="0"/>
                        </a:ext>
                      </a:extLst>
                    </a:blip>
                    <a:stretch>
                      <a:fillRect/>
                    </a:stretch>
                  </pic:blipFill>
                  <pic:spPr>
                    <a:xfrm>
                      <a:off x="0" y="0"/>
                      <a:ext cx="5943600" cy="4279265"/>
                    </a:xfrm>
                    <a:prstGeom prst="rect">
                      <a:avLst/>
                    </a:prstGeom>
                  </pic:spPr>
                </pic:pic>
              </a:graphicData>
            </a:graphic>
          </wp:inline>
        </w:drawing>
      </w:r>
    </w:p>
    <w:p w:rsidR="009E3773" w:rsidRDefault="009E3773">
      <w:pPr>
        <w:rPr>
          <w:u w:val="single"/>
        </w:rPr>
      </w:pPr>
      <w:r>
        <w:rPr>
          <w:u w:val="single"/>
        </w:rPr>
        <w:br w:type="page"/>
      </w:r>
    </w:p>
    <w:p w:rsidR="009E3773" w:rsidRPr="0040457D" w:rsidRDefault="009E3773" w:rsidP="009E3773">
      <w:pPr>
        <w:rPr>
          <w:u w:val="single"/>
        </w:rPr>
      </w:pPr>
      <w:r w:rsidRPr="0040457D">
        <w:rPr>
          <w:u w:val="single"/>
        </w:rPr>
        <w:lastRenderedPageBreak/>
        <w:t>Equilibrium Calculation</w:t>
      </w:r>
    </w:p>
    <w:p w:rsidR="009E3773" w:rsidRDefault="009E3773" w:rsidP="009E3773"/>
    <w:p w:rsidR="009E3773" w:rsidRDefault="00A51D1E" w:rsidP="009E3773">
      <w:r>
        <w:t>We</w:t>
      </w:r>
      <w:r w:rsidR="009E3773">
        <w:t xml:space="preserve"> performed a simple partitioning calculation with pure-component vapor pressures (assuming that mixing effects would act to lower vapor pressure further) to predict whether or not significant evaporation would even be expected in this system. Table 1 demonstrates the strong driving force towards the condensed phase just from a straight-forward ideal partitioning argument. This analysis agrees with the observation of zero net mass loss from the DSC throughout the experiment.</w:t>
      </w:r>
    </w:p>
    <w:p w:rsidR="009E3773" w:rsidRDefault="009E3773" w:rsidP="009E3773"/>
    <w:p w:rsidR="009E3773" w:rsidRDefault="009E3773" w:rsidP="009E3773"/>
    <w:p w:rsidR="009E3773" w:rsidRDefault="009E3773" w:rsidP="009E3773">
      <w:proofErr w:type="gramStart"/>
      <w:r w:rsidRPr="0040457D">
        <w:rPr>
          <w:b/>
        </w:rPr>
        <w:t>Table 1.</w:t>
      </w:r>
      <w:proofErr w:type="gramEnd"/>
      <w:r>
        <w:t xml:space="preserve"> Pure Component Condensed Mass Fraction:</w:t>
      </w:r>
    </w:p>
    <w:tbl>
      <w:tblPr>
        <w:tblW w:w="8975" w:type="dxa"/>
        <w:jc w:val="center"/>
        <w:tblInd w:w="93"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858"/>
        <w:gridCol w:w="1418"/>
        <w:gridCol w:w="1418"/>
        <w:gridCol w:w="1275"/>
        <w:gridCol w:w="1701"/>
        <w:gridCol w:w="1305"/>
      </w:tblGrid>
      <w:tr w:rsidR="009E3773" w:rsidRPr="007E58DB" w:rsidTr="00322F2E">
        <w:trPr>
          <w:trHeight w:val="255"/>
          <w:jc w:val="center"/>
        </w:trPr>
        <w:tc>
          <w:tcPr>
            <w:tcW w:w="1858" w:type="dxa"/>
            <w:tcBorders>
              <w:top w:val="single" w:sz="12" w:space="0" w:color="auto"/>
              <w:left w:val="nil"/>
              <w:bottom w:val="single" w:sz="12" w:space="0" w:color="auto"/>
            </w:tcBorders>
            <w:shd w:val="clear" w:color="auto" w:fill="auto"/>
            <w:noWrap/>
            <w:vAlign w:val="bottom"/>
            <w:hideMark/>
          </w:tcPr>
          <w:p w:rsidR="009E3773" w:rsidRPr="007E58DB" w:rsidRDefault="009E3773" w:rsidP="00322F2E">
            <w:pPr>
              <w:rPr>
                <w:rFonts w:ascii="Arial" w:eastAsia="Times New Roman" w:hAnsi="Arial" w:cs="Arial"/>
                <w:color w:val="000000"/>
                <w:sz w:val="20"/>
                <w:szCs w:val="20"/>
              </w:rPr>
            </w:pPr>
          </w:p>
        </w:tc>
        <w:tc>
          <w:tcPr>
            <w:tcW w:w="1418" w:type="dxa"/>
            <w:tcBorders>
              <w:top w:val="single" w:sz="12" w:space="0" w:color="auto"/>
              <w:bottom w:val="single" w:sz="12" w:space="0" w:color="auto"/>
            </w:tcBorders>
            <w:vAlign w:val="center"/>
          </w:tcPr>
          <w:p w:rsidR="009E3773" w:rsidRDefault="009E3773" w:rsidP="00322F2E">
            <w:pPr>
              <w:jc w:val="center"/>
              <w:rPr>
                <w:rFonts w:ascii="Arial" w:hAnsi="Arial" w:cs="Arial"/>
                <w:b/>
                <w:bCs/>
                <w:color w:val="000000"/>
                <w:sz w:val="20"/>
                <w:szCs w:val="20"/>
              </w:rPr>
            </w:pPr>
            <w:r>
              <w:rPr>
                <w:rFonts w:ascii="Arial" w:hAnsi="Arial" w:cs="Arial"/>
                <w:b/>
                <w:bCs/>
                <w:color w:val="000000"/>
                <w:sz w:val="20"/>
                <w:szCs w:val="20"/>
              </w:rPr>
              <w:t>Vapor Pressure (</w:t>
            </w:r>
            <w:proofErr w:type="spellStart"/>
            <w:r>
              <w:rPr>
                <w:rFonts w:ascii="Arial" w:hAnsi="Arial" w:cs="Arial"/>
                <w:b/>
                <w:bCs/>
                <w:color w:val="000000"/>
                <w:sz w:val="20"/>
                <w:szCs w:val="20"/>
              </w:rPr>
              <w:t>atm</w:t>
            </w:r>
            <w:proofErr w:type="spellEnd"/>
            <w:r>
              <w:rPr>
                <w:rFonts w:ascii="Arial" w:hAnsi="Arial" w:cs="Arial"/>
                <w:b/>
                <w:bCs/>
                <w:color w:val="000000"/>
                <w:sz w:val="20"/>
                <w:szCs w:val="20"/>
              </w:rPr>
              <w:t>)</w:t>
            </w:r>
          </w:p>
        </w:tc>
        <w:tc>
          <w:tcPr>
            <w:tcW w:w="1418" w:type="dxa"/>
            <w:tcBorders>
              <w:top w:val="single" w:sz="12" w:space="0" w:color="auto"/>
              <w:bottom w:val="single" w:sz="12" w:space="0" w:color="auto"/>
            </w:tcBorders>
            <w:shd w:val="clear" w:color="auto" w:fill="auto"/>
            <w:noWrap/>
            <w:vAlign w:val="center"/>
            <w:hideMark/>
          </w:tcPr>
          <w:p w:rsidR="009E3773" w:rsidRDefault="009E3773" w:rsidP="00322F2E">
            <w:pPr>
              <w:jc w:val="center"/>
              <w:rPr>
                <w:rFonts w:ascii="Arial" w:eastAsia="Times New Roman" w:hAnsi="Arial" w:cs="Arial"/>
                <w:b/>
                <w:color w:val="000000"/>
                <w:sz w:val="20"/>
                <w:szCs w:val="20"/>
              </w:rPr>
            </w:pPr>
            <w:r w:rsidRPr="007E58DB">
              <w:rPr>
                <w:rFonts w:ascii="Arial" w:eastAsia="Times New Roman" w:hAnsi="Arial" w:cs="Arial"/>
                <w:b/>
                <w:color w:val="000000"/>
                <w:sz w:val="20"/>
                <w:szCs w:val="20"/>
              </w:rPr>
              <w:t>Liquid Mass</w:t>
            </w:r>
          </w:p>
          <w:p w:rsidR="009E3773" w:rsidRPr="007E58DB" w:rsidRDefault="009E3773" w:rsidP="00322F2E">
            <w:pPr>
              <w:jc w:val="center"/>
              <w:rPr>
                <w:rFonts w:ascii="Arial" w:eastAsia="Times New Roman" w:hAnsi="Arial" w:cs="Arial"/>
                <w:b/>
                <w:color w:val="000000"/>
                <w:sz w:val="20"/>
                <w:szCs w:val="20"/>
              </w:rPr>
            </w:pPr>
            <w:r w:rsidRPr="007E58DB">
              <w:rPr>
                <w:rFonts w:ascii="Arial" w:eastAsia="Times New Roman" w:hAnsi="Arial" w:cs="Arial"/>
                <w:b/>
                <w:color w:val="000000"/>
                <w:sz w:val="20"/>
                <w:szCs w:val="20"/>
              </w:rPr>
              <w:t>(mg)</w:t>
            </w:r>
          </w:p>
        </w:tc>
        <w:tc>
          <w:tcPr>
            <w:tcW w:w="1275" w:type="dxa"/>
            <w:tcBorders>
              <w:top w:val="single" w:sz="12" w:space="0" w:color="auto"/>
              <w:bottom w:val="single" w:sz="12" w:space="0" w:color="auto"/>
            </w:tcBorders>
            <w:shd w:val="clear" w:color="auto" w:fill="auto"/>
            <w:noWrap/>
            <w:vAlign w:val="center"/>
            <w:hideMark/>
          </w:tcPr>
          <w:p w:rsidR="009E3773" w:rsidRDefault="009E3773" w:rsidP="00322F2E">
            <w:pPr>
              <w:jc w:val="center"/>
              <w:rPr>
                <w:rFonts w:ascii="Arial" w:eastAsia="Times New Roman" w:hAnsi="Arial" w:cs="Arial"/>
                <w:b/>
                <w:color w:val="000000"/>
                <w:sz w:val="20"/>
                <w:szCs w:val="20"/>
              </w:rPr>
            </w:pPr>
            <w:r w:rsidRPr="007E58DB">
              <w:rPr>
                <w:rFonts w:ascii="Arial" w:eastAsia="Times New Roman" w:hAnsi="Arial" w:cs="Arial"/>
                <w:b/>
                <w:color w:val="000000"/>
                <w:sz w:val="20"/>
                <w:szCs w:val="20"/>
              </w:rPr>
              <w:t>Liquid Vol</w:t>
            </w:r>
            <w:r>
              <w:rPr>
                <w:rFonts w:ascii="Arial" w:eastAsia="Times New Roman" w:hAnsi="Arial" w:cs="Arial"/>
                <w:b/>
                <w:color w:val="000000"/>
                <w:sz w:val="20"/>
                <w:szCs w:val="20"/>
              </w:rPr>
              <w:t>.</w:t>
            </w:r>
          </w:p>
          <w:p w:rsidR="009E3773" w:rsidRPr="007E58DB" w:rsidRDefault="009E3773" w:rsidP="00322F2E">
            <w:pPr>
              <w:jc w:val="center"/>
              <w:rPr>
                <w:rFonts w:ascii="Arial" w:eastAsia="Times New Roman" w:hAnsi="Arial" w:cs="Arial"/>
                <w:b/>
                <w:color w:val="000000"/>
                <w:sz w:val="20"/>
                <w:szCs w:val="20"/>
              </w:rPr>
            </w:pPr>
            <w:r w:rsidRPr="007E58DB">
              <w:rPr>
                <w:rFonts w:ascii="Arial" w:eastAsia="Times New Roman" w:hAnsi="Arial" w:cs="Arial"/>
                <w:b/>
                <w:color w:val="000000"/>
                <w:sz w:val="20"/>
                <w:szCs w:val="20"/>
              </w:rPr>
              <w:t>(cm</w:t>
            </w:r>
            <w:r w:rsidRPr="007E58DB">
              <w:rPr>
                <w:rFonts w:ascii="Arial" w:eastAsia="Times New Roman" w:hAnsi="Arial" w:cs="Arial"/>
                <w:b/>
                <w:color w:val="000000"/>
                <w:sz w:val="20"/>
                <w:szCs w:val="20"/>
                <w:vertAlign w:val="superscript"/>
              </w:rPr>
              <w:t>3</w:t>
            </w:r>
            <w:r w:rsidRPr="007E58DB">
              <w:rPr>
                <w:rFonts w:ascii="Arial" w:eastAsia="Times New Roman" w:hAnsi="Arial" w:cs="Arial"/>
                <w:b/>
                <w:color w:val="000000"/>
                <w:sz w:val="20"/>
                <w:szCs w:val="20"/>
              </w:rPr>
              <w:t>)</w:t>
            </w:r>
          </w:p>
        </w:tc>
        <w:tc>
          <w:tcPr>
            <w:tcW w:w="1701" w:type="dxa"/>
            <w:tcBorders>
              <w:top w:val="single" w:sz="12" w:space="0" w:color="auto"/>
              <w:bottom w:val="single" w:sz="12" w:space="0" w:color="auto"/>
            </w:tcBorders>
            <w:shd w:val="clear" w:color="auto" w:fill="auto"/>
            <w:noWrap/>
            <w:vAlign w:val="center"/>
            <w:hideMark/>
          </w:tcPr>
          <w:p w:rsidR="009E3773" w:rsidRPr="007E58DB" w:rsidRDefault="009E3773" w:rsidP="00322F2E">
            <w:pPr>
              <w:jc w:val="center"/>
              <w:rPr>
                <w:rFonts w:ascii="Arial" w:eastAsia="Times New Roman" w:hAnsi="Arial" w:cs="Arial"/>
                <w:b/>
                <w:color w:val="000000"/>
                <w:sz w:val="20"/>
                <w:szCs w:val="20"/>
                <w:vertAlign w:val="superscript"/>
              </w:rPr>
            </w:pPr>
            <w:r w:rsidRPr="007E58DB">
              <w:rPr>
                <w:rFonts w:ascii="Arial" w:eastAsia="Times New Roman" w:hAnsi="Arial" w:cs="Arial"/>
                <w:b/>
                <w:color w:val="000000"/>
                <w:sz w:val="20"/>
                <w:szCs w:val="20"/>
              </w:rPr>
              <w:t>Mass Concentration (mg m</w:t>
            </w:r>
            <w:r w:rsidRPr="007E58DB">
              <w:rPr>
                <w:rFonts w:ascii="Arial" w:eastAsia="Times New Roman" w:hAnsi="Arial" w:cs="Arial"/>
                <w:b/>
                <w:color w:val="000000"/>
                <w:sz w:val="20"/>
                <w:szCs w:val="20"/>
                <w:vertAlign w:val="superscript"/>
              </w:rPr>
              <w:t>-3</w:t>
            </w:r>
            <w:r w:rsidRPr="007E58DB">
              <w:rPr>
                <w:rFonts w:ascii="Arial" w:eastAsia="Times New Roman" w:hAnsi="Arial" w:cs="Arial"/>
                <w:b/>
                <w:color w:val="000000"/>
                <w:sz w:val="20"/>
                <w:szCs w:val="20"/>
              </w:rPr>
              <w:t>)</w:t>
            </w:r>
            <w:r>
              <w:rPr>
                <w:rFonts w:ascii="Arial" w:eastAsia="Times New Roman" w:hAnsi="Arial" w:cs="Arial"/>
                <w:b/>
                <w:color w:val="000000"/>
                <w:sz w:val="20"/>
                <w:szCs w:val="20"/>
                <w:vertAlign w:val="superscript"/>
              </w:rPr>
              <w:t>*</w:t>
            </w:r>
          </w:p>
        </w:tc>
        <w:tc>
          <w:tcPr>
            <w:tcW w:w="1305" w:type="dxa"/>
            <w:tcBorders>
              <w:top w:val="single" w:sz="12" w:space="0" w:color="auto"/>
              <w:bottom w:val="single" w:sz="12" w:space="0" w:color="auto"/>
              <w:right w:val="nil"/>
            </w:tcBorders>
            <w:shd w:val="clear" w:color="auto" w:fill="auto"/>
            <w:noWrap/>
            <w:vAlign w:val="center"/>
            <w:hideMark/>
          </w:tcPr>
          <w:p w:rsidR="009E3773" w:rsidRPr="007E58DB" w:rsidRDefault="009E3773" w:rsidP="00322F2E">
            <w:pPr>
              <w:jc w:val="center"/>
              <w:rPr>
                <w:rFonts w:ascii="Arial" w:eastAsia="Times New Roman" w:hAnsi="Arial" w:cs="Arial"/>
                <w:b/>
                <w:color w:val="000000"/>
                <w:sz w:val="20"/>
                <w:szCs w:val="20"/>
              </w:rPr>
            </w:pPr>
            <w:r w:rsidRPr="007E58DB">
              <w:rPr>
                <w:rFonts w:ascii="Arial" w:eastAsia="Times New Roman" w:hAnsi="Arial" w:cs="Arial"/>
                <w:b/>
                <w:color w:val="000000"/>
                <w:sz w:val="20"/>
                <w:szCs w:val="20"/>
              </w:rPr>
              <w:t>Condensed Mass Fraction</w:t>
            </w:r>
          </w:p>
        </w:tc>
      </w:tr>
      <w:tr w:rsidR="009E3773" w:rsidRPr="007E58DB" w:rsidTr="00322F2E">
        <w:trPr>
          <w:trHeight w:val="255"/>
          <w:jc w:val="center"/>
        </w:trPr>
        <w:tc>
          <w:tcPr>
            <w:tcW w:w="1858" w:type="dxa"/>
            <w:tcBorders>
              <w:top w:val="single" w:sz="12" w:space="0" w:color="auto"/>
              <w:left w:val="nil"/>
            </w:tcBorders>
            <w:shd w:val="clear" w:color="auto" w:fill="auto"/>
            <w:noWrap/>
            <w:vAlign w:val="bottom"/>
            <w:hideMark/>
          </w:tcPr>
          <w:p w:rsidR="009E3773" w:rsidRPr="007E58DB" w:rsidRDefault="009E3773" w:rsidP="00322F2E">
            <w:pPr>
              <w:rPr>
                <w:rFonts w:ascii="Arial" w:eastAsia="Times New Roman" w:hAnsi="Arial" w:cs="Arial"/>
                <w:color w:val="000000"/>
                <w:sz w:val="20"/>
                <w:szCs w:val="20"/>
              </w:rPr>
            </w:pPr>
            <w:proofErr w:type="spellStart"/>
            <w:r w:rsidRPr="007E58DB">
              <w:rPr>
                <w:rFonts w:ascii="Arial" w:eastAsia="Times New Roman" w:hAnsi="Arial" w:cs="Arial"/>
                <w:color w:val="000000"/>
                <w:sz w:val="20"/>
                <w:szCs w:val="20"/>
              </w:rPr>
              <w:t>Malonic</w:t>
            </w:r>
            <w:proofErr w:type="spellEnd"/>
            <w:r w:rsidRPr="007E58DB">
              <w:rPr>
                <w:rFonts w:ascii="Arial" w:eastAsia="Times New Roman" w:hAnsi="Arial" w:cs="Arial"/>
                <w:color w:val="000000"/>
                <w:sz w:val="20"/>
                <w:szCs w:val="20"/>
              </w:rPr>
              <w:t xml:space="preserve"> Acid</w:t>
            </w:r>
          </w:p>
        </w:tc>
        <w:tc>
          <w:tcPr>
            <w:tcW w:w="1418" w:type="dxa"/>
            <w:tcBorders>
              <w:top w:val="single" w:sz="12" w:space="0" w:color="auto"/>
            </w:tcBorders>
            <w:vAlign w:val="bottom"/>
          </w:tcPr>
          <w:p w:rsidR="009E3773" w:rsidRDefault="009E3773" w:rsidP="00322F2E">
            <w:pPr>
              <w:jc w:val="center"/>
              <w:rPr>
                <w:rFonts w:ascii="Arial" w:hAnsi="Arial" w:cs="Arial"/>
                <w:color w:val="000000"/>
                <w:sz w:val="20"/>
                <w:szCs w:val="20"/>
              </w:rPr>
            </w:pPr>
            <w:r>
              <w:rPr>
                <w:rFonts w:ascii="Arial" w:hAnsi="Arial" w:cs="Arial"/>
                <w:color w:val="000000"/>
                <w:sz w:val="20"/>
                <w:szCs w:val="20"/>
              </w:rPr>
              <w:t>6.61E-09</w:t>
            </w:r>
          </w:p>
        </w:tc>
        <w:tc>
          <w:tcPr>
            <w:tcW w:w="1418" w:type="dxa"/>
            <w:tcBorders>
              <w:top w:val="single" w:sz="12" w:space="0" w:color="auto"/>
            </w:tcBorders>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0.72</w:t>
            </w:r>
          </w:p>
        </w:tc>
        <w:tc>
          <w:tcPr>
            <w:tcW w:w="1275" w:type="dxa"/>
            <w:tcBorders>
              <w:top w:val="single" w:sz="12" w:space="0" w:color="auto"/>
            </w:tcBorders>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4.42E-04</w:t>
            </w:r>
          </w:p>
        </w:tc>
        <w:tc>
          <w:tcPr>
            <w:tcW w:w="1701" w:type="dxa"/>
            <w:tcBorders>
              <w:top w:val="single" w:sz="12" w:space="0" w:color="auto"/>
            </w:tcBorders>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8.89E+06</w:t>
            </w:r>
          </w:p>
        </w:tc>
        <w:tc>
          <w:tcPr>
            <w:tcW w:w="1305" w:type="dxa"/>
            <w:tcBorders>
              <w:top w:val="single" w:sz="12" w:space="0" w:color="auto"/>
              <w:right w:val="nil"/>
            </w:tcBorders>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0.99</w:t>
            </w:r>
          </w:p>
        </w:tc>
      </w:tr>
      <w:tr w:rsidR="009E3773" w:rsidRPr="007E58DB" w:rsidTr="00322F2E">
        <w:trPr>
          <w:trHeight w:val="255"/>
          <w:jc w:val="center"/>
        </w:trPr>
        <w:tc>
          <w:tcPr>
            <w:tcW w:w="1858" w:type="dxa"/>
            <w:tcBorders>
              <w:left w:val="nil"/>
            </w:tcBorders>
            <w:shd w:val="clear" w:color="auto" w:fill="auto"/>
            <w:noWrap/>
            <w:vAlign w:val="bottom"/>
            <w:hideMark/>
          </w:tcPr>
          <w:p w:rsidR="009E3773" w:rsidRPr="007E58DB" w:rsidRDefault="009E3773" w:rsidP="00322F2E">
            <w:pPr>
              <w:rPr>
                <w:rFonts w:ascii="Arial" w:eastAsia="Times New Roman" w:hAnsi="Arial" w:cs="Arial"/>
                <w:color w:val="000000"/>
                <w:sz w:val="20"/>
                <w:szCs w:val="20"/>
              </w:rPr>
            </w:pPr>
            <w:r w:rsidRPr="007E58DB">
              <w:rPr>
                <w:rFonts w:ascii="Arial" w:eastAsia="Times New Roman" w:hAnsi="Arial" w:cs="Arial"/>
                <w:color w:val="000000"/>
                <w:sz w:val="20"/>
                <w:szCs w:val="20"/>
              </w:rPr>
              <w:t>Succinic Acid</w:t>
            </w:r>
          </w:p>
        </w:tc>
        <w:tc>
          <w:tcPr>
            <w:tcW w:w="1418" w:type="dxa"/>
            <w:vAlign w:val="bottom"/>
          </w:tcPr>
          <w:p w:rsidR="009E3773" w:rsidRDefault="009E3773" w:rsidP="00322F2E">
            <w:pPr>
              <w:jc w:val="center"/>
              <w:rPr>
                <w:rFonts w:ascii="Arial" w:hAnsi="Arial" w:cs="Arial"/>
                <w:color w:val="000000"/>
                <w:sz w:val="20"/>
                <w:szCs w:val="20"/>
              </w:rPr>
            </w:pPr>
            <w:r>
              <w:rPr>
                <w:rFonts w:ascii="Arial" w:hAnsi="Arial" w:cs="Arial"/>
                <w:color w:val="000000"/>
                <w:sz w:val="20"/>
                <w:szCs w:val="20"/>
              </w:rPr>
              <w:t>3.1E-09</w:t>
            </w:r>
          </w:p>
        </w:tc>
        <w:tc>
          <w:tcPr>
            <w:tcW w:w="1418" w:type="dxa"/>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0.81</w:t>
            </w:r>
          </w:p>
        </w:tc>
        <w:tc>
          <w:tcPr>
            <w:tcW w:w="1275" w:type="dxa"/>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5.20E-04</w:t>
            </w:r>
          </w:p>
        </w:tc>
        <w:tc>
          <w:tcPr>
            <w:tcW w:w="1701" w:type="dxa"/>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1.01E+07</w:t>
            </w:r>
          </w:p>
        </w:tc>
        <w:tc>
          <w:tcPr>
            <w:tcW w:w="1305" w:type="dxa"/>
            <w:tcBorders>
              <w:right w:val="nil"/>
            </w:tcBorders>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1.00</w:t>
            </w:r>
          </w:p>
        </w:tc>
      </w:tr>
      <w:tr w:rsidR="009E3773" w:rsidRPr="007E58DB" w:rsidTr="00322F2E">
        <w:trPr>
          <w:trHeight w:val="255"/>
          <w:jc w:val="center"/>
        </w:trPr>
        <w:tc>
          <w:tcPr>
            <w:tcW w:w="1858" w:type="dxa"/>
            <w:tcBorders>
              <w:left w:val="nil"/>
            </w:tcBorders>
            <w:shd w:val="clear" w:color="auto" w:fill="auto"/>
            <w:noWrap/>
            <w:vAlign w:val="bottom"/>
            <w:hideMark/>
          </w:tcPr>
          <w:p w:rsidR="009E3773" w:rsidRPr="007E58DB" w:rsidRDefault="009E3773" w:rsidP="00322F2E">
            <w:pPr>
              <w:rPr>
                <w:rFonts w:ascii="Arial" w:eastAsia="Times New Roman" w:hAnsi="Arial" w:cs="Arial"/>
                <w:color w:val="000000"/>
                <w:sz w:val="20"/>
                <w:szCs w:val="20"/>
              </w:rPr>
            </w:pPr>
            <w:proofErr w:type="spellStart"/>
            <w:r w:rsidRPr="007E58DB">
              <w:rPr>
                <w:rFonts w:ascii="Arial" w:eastAsia="Times New Roman" w:hAnsi="Arial" w:cs="Arial"/>
                <w:color w:val="000000"/>
                <w:sz w:val="20"/>
                <w:szCs w:val="20"/>
              </w:rPr>
              <w:t>Glutaric</w:t>
            </w:r>
            <w:proofErr w:type="spellEnd"/>
            <w:r w:rsidRPr="007E58DB">
              <w:rPr>
                <w:rFonts w:ascii="Arial" w:eastAsia="Times New Roman" w:hAnsi="Arial" w:cs="Arial"/>
                <w:color w:val="000000"/>
                <w:sz w:val="20"/>
                <w:szCs w:val="20"/>
              </w:rPr>
              <w:t xml:space="preserve"> Acid</w:t>
            </w:r>
          </w:p>
        </w:tc>
        <w:tc>
          <w:tcPr>
            <w:tcW w:w="1418" w:type="dxa"/>
            <w:vAlign w:val="bottom"/>
          </w:tcPr>
          <w:p w:rsidR="009E3773" w:rsidRDefault="009E3773" w:rsidP="00322F2E">
            <w:pPr>
              <w:jc w:val="center"/>
              <w:rPr>
                <w:rFonts w:ascii="Arial" w:hAnsi="Arial" w:cs="Arial"/>
                <w:color w:val="000000"/>
                <w:sz w:val="20"/>
                <w:szCs w:val="20"/>
              </w:rPr>
            </w:pPr>
            <w:r>
              <w:rPr>
                <w:rFonts w:ascii="Arial" w:hAnsi="Arial" w:cs="Arial"/>
                <w:color w:val="000000"/>
                <w:sz w:val="20"/>
                <w:szCs w:val="20"/>
              </w:rPr>
              <w:t>1.73E-09</w:t>
            </w:r>
          </w:p>
        </w:tc>
        <w:tc>
          <w:tcPr>
            <w:tcW w:w="1418" w:type="dxa"/>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0.91</w:t>
            </w:r>
          </w:p>
        </w:tc>
        <w:tc>
          <w:tcPr>
            <w:tcW w:w="1275" w:type="dxa"/>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6.36E-04</w:t>
            </w:r>
          </w:p>
        </w:tc>
        <w:tc>
          <w:tcPr>
            <w:tcW w:w="1701" w:type="dxa"/>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1.13E+07</w:t>
            </w:r>
          </w:p>
        </w:tc>
        <w:tc>
          <w:tcPr>
            <w:tcW w:w="1305" w:type="dxa"/>
            <w:tcBorders>
              <w:right w:val="nil"/>
            </w:tcBorders>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0.99</w:t>
            </w:r>
          </w:p>
        </w:tc>
      </w:tr>
      <w:tr w:rsidR="009E3773" w:rsidRPr="007E58DB" w:rsidTr="00322F2E">
        <w:trPr>
          <w:trHeight w:val="255"/>
          <w:jc w:val="center"/>
        </w:trPr>
        <w:tc>
          <w:tcPr>
            <w:tcW w:w="1858" w:type="dxa"/>
            <w:tcBorders>
              <w:left w:val="nil"/>
            </w:tcBorders>
            <w:shd w:val="clear" w:color="auto" w:fill="auto"/>
            <w:noWrap/>
            <w:vAlign w:val="bottom"/>
            <w:hideMark/>
          </w:tcPr>
          <w:p w:rsidR="009E3773" w:rsidRPr="007E58DB" w:rsidRDefault="009E3773" w:rsidP="00322F2E">
            <w:pPr>
              <w:rPr>
                <w:rFonts w:ascii="Arial" w:eastAsia="Times New Roman" w:hAnsi="Arial" w:cs="Arial"/>
                <w:color w:val="000000"/>
                <w:sz w:val="20"/>
                <w:szCs w:val="20"/>
              </w:rPr>
            </w:pPr>
            <w:proofErr w:type="spellStart"/>
            <w:r w:rsidRPr="007E58DB">
              <w:rPr>
                <w:rFonts w:ascii="Arial" w:eastAsia="Times New Roman" w:hAnsi="Arial" w:cs="Arial"/>
                <w:color w:val="000000"/>
                <w:sz w:val="20"/>
                <w:szCs w:val="20"/>
              </w:rPr>
              <w:t>Adipic</w:t>
            </w:r>
            <w:proofErr w:type="spellEnd"/>
            <w:r w:rsidRPr="007E58DB">
              <w:rPr>
                <w:rFonts w:ascii="Arial" w:eastAsia="Times New Roman" w:hAnsi="Arial" w:cs="Arial"/>
                <w:color w:val="000000"/>
                <w:sz w:val="20"/>
                <w:szCs w:val="20"/>
              </w:rPr>
              <w:t xml:space="preserve"> Acid</w:t>
            </w:r>
          </w:p>
        </w:tc>
        <w:tc>
          <w:tcPr>
            <w:tcW w:w="1418" w:type="dxa"/>
            <w:vAlign w:val="bottom"/>
          </w:tcPr>
          <w:p w:rsidR="009E3773" w:rsidRDefault="009E3773" w:rsidP="00322F2E">
            <w:pPr>
              <w:jc w:val="center"/>
              <w:rPr>
                <w:rFonts w:ascii="Arial" w:hAnsi="Arial" w:cs="Arial"/>
                <w:color w:val="000000"/>
                <w:sz w:val="20"/>
                <w:szCs w:val="20"/>
              </w:rPr>
            </w:pPr>
            <w:r>
              <w:rPr>
                <w:rFonts w:ascii="Arial" w:hAnsi="Arial" w:cs="Arial"/>
                <w:color w:val="000000"/>
                <w:sz w:val="20"/>
                <w:szCs w:val="20"/>
              </w:rPr>
              <w:t>9.7E-10</w:t>
            </w:r>
          </w:p>
        </w:tc>
        <w:tc>
          <w:tcPr>
            <w:tcW w:w="1418" w:type="dxa"/>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1.00</w:t>
            </w:r>
          </w:p>
        </w:tc>
        <w:tc>
          <w:tcPr>
            <w:tcW w:w="1275" w:type="dxa"/>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7.39E-04</w:t>
            </w:r>
          </w:p>
        </w:tc>
        <w:tc>
          <w:tcPr>
            <w:tcW w:w="1701" w:type="dxa"/>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1.25E+07</w:t>
            </w:r>
          </w:p>
        </w:tc>
        <w:tc>
          <w:tcPr>
            <w:tcW w:w="1305" w:type="dxa"/>
            <w:tcBorders>
              <w:right w:val="nil"/>
            </w:tcBorders>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0.99</w:t>
            </w:r>
          </w:p>
        </w:tc>
      </w:tr>
      <w:tr w:rsidR="009E3773" w:rsidRPr="007E58DB" w:rsidTr="00322F2E">
        <w:trPr>
          <w:trHeight w:val="255"/>
          <w:jc w:val="center"/>
        </w:trPr>
        <w:tc>
          <w:tcPr>
            <w:tcW w:w="1858" w:type="dxa"/>
            <w:tcBorders>
              <w:left w:val="nil"/>
            </w:tcBorders>
            <w:shd w:val="clear" w:color="auto" w:fill="auto"/>
            <w:noWrap/>
            <w:vAlign w:val="bottom"/>
            <w:hideMark/>
          </w:tcPr>
          <w:p w:rsidR="009E3773" w:rsidRPr="007E58DB" w:rsidRDefault="009E3773" w:rsidP="00322F2E">
            <w:pPr>
              <w:rPr>
                <w:rFonts w:ascii="Arial" w:eastAsia="Times New Roman" w:hAnsi="Arial" w:cs="Arial"/>
                <w:color w:val="000000"/>
                <w:sz w:val="20"/>
                <w:szCs w:val="20"/>
              </w:rPr>
            </w:pPr>
            <w:proofErr w:type="spellStart"/>
            <w:r w:rsidRPr="007E58DB">
              <w:rPr>
                <w:rFonts w:ascii="Arial" w:eastAsia="Times New Roman" w:hAnsi="Arial" w:cs="Arial"/>
                <w:color w:val="000000"/>
                <w:sz w:val="20"/>
                <w:szCs w:val="20"/>
              </w:rPr>
              <w:t>Pimelic</w:t>
            </w:r>
            <w:proofErr w:type="spellEnd"/>
            <w:r w:rsidRPr="007E58DB">
              <w:rPr>
                <w:rFonts w:ascii="Arial" w:eastAsia="Times New Roman" w:hAnsi="Arial" w:cs="Arial"/>
                <w:color w:val="000000"/>
                <w:sz w:val="20"/>
                <w:szCs w:val="20"/>
              </w:rPr>
              <w:t xml:space="preserve"> Acid</w:t>
            </w:r>
          </w:p>
        </w:tc>
        <w:tc>
          <w:tcPr>
            <w:tcW w:w="1418" w:type="dxa"/>
            <w:vAlign w:val="bottom"/>
          </w:tcPr>
          <w:p w:rsidR="009E3773" w:rsidRDefault="009E3773" w:rsidP="00322F2E">
            <w:pPr>
              <w:jc w:val="center"/>
              <w:rPr>
                <w:rFonts w:ascii="Arial" w:hAnsi="Arial" w:cs="Arial"/>
                <w:color w:val="000000"/>
                <w:sz w:val="20"/>
                <w:szCs w:val="20"/>
              </w:rPr>
            </w:pPr>
            <w:r>
              <w:rPr>
                <w:rFonts w:ascii="Arial" w:hAnsi="Arial" w:cs="Arial"/>
                <w:color w:val="000000"/>
                <w:sz w:val="20"/>
                <w:szCs w:val="20"/>
              </w:rPr>
              <w:t>5.51E-10</w:t>
            </w:r>
          </w:p>
        </w:tc>
        <w:tc>
          <w:tcPr>
            <w:tcW w:w="1418" w:type="dxa"/>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1.10</w:t>
            </w:r>
          </w:p>
        </w:tc>
        <w:tc>
          <w:tcPr>
            <w:tcW w:w="1275" w:type="dxa"/>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8.59E-04</w:t>
            </w:r>
          </w:p>
        </w:tc>
        <w:tc>
          <w:tcPr>
            <w:tcW w:w="1701" w:type="dxa"/>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1.37E+07</w:t>
            </w:r>
          </w:p>
        </w:tc>
        <w:tc>
          <w:tcPr>
            <w:tcW w:w="1305" w:type="dxa"/>
            <w:tcBorders>
              <w:right w:val="nil"/>
            </w:tcBorders>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0.99</w:t>
            </w:r>
          </w:p>
        </w:tc>
      </w:tr>
      <w:tr w:rsidR="009E3773" w:rsidRPr="007E58DB" w:rsidTr="00322F2E">
        <w:trPr>
          <w:trHeight w:val="255"/>
          <w:jc w:val="center"/>
        </w:trPr>
        <w:tc>
          <w:tcPr>
            <w:tcW w:w="1858" w:type="dxa"/>
            <w:tcBorders>
              <w:left w:val="nil"/>
            </w:tcBorders>
            <w:shd w:val="clear" w:color="auto" w:fill="auto"/>
            <w:noWrap/>
            <w:vAlign w:val="bottom"/>
            <w:hideMark/>
          </w:tcPr>
          <w:p w:rsidR="009E3773" w:rsidRPr="007E58DB" w:rsidRDefault="009E3773" w:rsidP="00322F2E">
            <w:pPr>
              <w:rPr>
                <w:rFonts w:ascii="Arial" w:eastAsia="Times New Roman" w:hAnsi="Arial" w:cs="Arial"/>
                <w:color w:val="000000"/>
                <w:sz w:val="20"/>
                <w:szCs w:val="20"/>
              </w:rPr>
            </w:pPr>
            <w:proofErr w:type="spellStart"/>
            <w:r w:rsidRPr="007E58DB">
              <w:rPr>
                <w:rFonts w:ascii="Arial" w:eastAsia="Times New Roman" w:hAnsi="Arial" w:cs="Arial"/>
                <w:color w:val="000000"/>
                <w:sz w:val="20"/>
                <w:szCs w:val="20"/>
              </w:rPr>
              <w:t>Suberic</w:t>
            </w:r>
            <w:proofErr w:type="spellEnd"/>
            <w:r w:rsidRPr="007E58DB">
              <w:rPr>
                <w:rFonts w:ascii="Arial" w:eastAsia="Times New Roman" w:hAnsi="Arial" w:cs="Arial"/>
                <w:color w:val="000000"/>
                <w:sz w:val="20"/>
                <w:szCs w:val="20"/>
              </w:rPr>
              <w:t xml:space="preserve"> Acid</w:t>
            </w:r>
          </w:p>
        </w:tc>
        <w:tc>
          <w:tcPr>
            <w:tcW w:w="1418" w:type="dxa"/>
            <w:vAlign w:val="bottom"/>
          </w:tcPr>
          <w:p w:rsidR="009E3773" w:rsidRDefault="009E3773" w:rsidP="00322F2E">
            <w:pPr>
              <w:jc w:val="center"/>
              <w:rPr>
                <w:rFonts w:ascii="Arial" w:hAnsi="Arial" w:cs="Arial"/>
                <w:color w:val="000000"/>
                <w:sz w:val="20"/>
                <w:szCs w:val="20"/>
              </w:rPr>
            </w:pPr>
            <w:r>
              <w:rPr>
                <w:rFonts w:ascii="Arial" w:hAnsi="Arial" w:cs="Arial"/>
                <w:color w:val="000000"/>
                <w:sz w:val="20"/>
                <w:szCs w:val="20"/>
              </w:rPr>
              <w:t>3.15E-10</w:t>
            </w:r>
          </w:p>
        </w:tc>
        <w:tc>
          <w:tcPr>
            <w:tcW w:w="1418" w:type="dxa"/>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1.20</w:t>
            </w:r>
          </w:p>
        </w:tc>
        <w:tc>
          <w:tcPr>
            <w:tcW w:w="1275" w:type="dxa"/>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9.41E-04</w:t>
            </w:r>
          </w:p>
        </w:tc>
        <w:tc>
          <w:tcPr>
            <w:tcW w:w="1701" w:type="dxa"/>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1.49E+07</w:t>
            </w:r>
          </w:p>
        </w:tc>
        <w:tc>
          <w:tcPr>
            <w:tcW w:w="1305" w:type="dxa"/>
            <w:tcBorders>
              <w:right w:val="nil"/>
            </w:tcBorders>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0.99</w:t>
            </w:r>
          </w:p>
        </w:tc>
      </w:tr>
      <w:tr w:rsidR="009E3773" w:rsidRPr="007E58DB" w:rsidTr="00322F2E">
        <w:trPr>
          <w:trHeight w:val="255"/>
          <w:jc w:val="center"/>
        </w:trPr>
        <w:tc>
          <w:tcPr>
            <w:tcW w:w="1858" w:type="dxa"/>
            <w:tcBorders>
              <w:left w:val="nil"/>
            </w:tcBorders>
            <w:shd w:val="clear" w:color="auto" w:fill="auto"/>
            <w:noWrap/>
            <w:vAlign w:val="bottom"/>
            <w:hideMark/>
          </w:tcPr>
          <w:p w:rsidR="009E3773" w:rsidRPr="007E58DB" w:rsidRDefault="009E3773" w:rsidP="00322F2E">
            <w:pPr>
              <w:rPr>
                <w:rFonts w:ascii="Arial" w:eastAsia="Times New Roman" w:hAnsi="Arial" w:cs="Arial"/>
                <w:color w:val="000000"/>
                <w:sz w:val="20"/>
                <w:szCs w:val="20"/>
              </w:rPr>
            </w:pPr>
            <w:proofErr w:type="spellStart"/>
            <w:r w:rsidRPr="007E58DB">
              <w:rPr>
                <w:rFonts w:ascii="Arial" w:eastAsia="Times New Roman" w:hAnsi="Arial" w:cs="Arial"/>
                <w:color w:val="000000"/>
                <w:sz w:val="20"/>
                <w:szCs w:val="20"/>
              </w:rPr>
              <w:t>Azelaic</w:t>
            </w:r>
            <w:proofErr w:type="spellEnd"/>
            <w:r w:rsidRPr="007E58DB">
              <w:rPr>
                <w:rFonts w:ascii="Arial" w:eastAsia="Times New Roman" w:hAnsi="Arial" w:cs="Arial"/>
                <w:color w:val="000000"/>
                <w:sz w:val="20"/>
                <w:szCs w:val="20"/>
              </w:rPr>
              <w:t xml:space="preserve"> Acid</w:t>
            </w:r>
          </w:p>
        </w:tc>
        <w:tc>
          <w:tcPr>
            <w:tcW w:w="1418" w:type="dxa"/>
            <w:vAlign w:val="bottom"/>
          </w:tcPr>
          <w:p w:rsidR="009E3773" w:rsidRDefault="009E3773" w:rsidP="00322F2E">
            <w:pPr>
              <w:jc w:val="center"/>
              <w:rPr>
                <w:rFonts w:ascii="Arial" w:hAnsi="Arial" w:cs="Arial"/>
                <w:color w:val="000000"/>
                <w:sz w:val="20"/>
                <w:szCs w:val="20"/>
              </w:rPr>
            </w:pPr>
            <w:r>
              <w:rPr>
                <w:rFonts w:ascii="Arial" w:hAnsi="Arial" w:cs="Arial"/>
                <w:color w:val="000000"/>
                <w:sz w:val="20"/>
                <w:szCs w:val="20"/>
              </w:rPr>
              <w:t>1.81E-10</w:t>
            </w:r>
          </w:p>
        </w:tc>
        <w:tc>
          <w:tcPr>
            <w:tcW w:w="1418" w:type="dxa"/>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1.29</w:t>
            </w:r>
          </w:p>
        </w:tc>
        <w:tc>
          <w:tcPr>
            <w:tcW w:w="1275" w:type="dxa"/>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1.26E-03</w:t>
            </w:r>
          </w:p>
        </w:tc>
        <w:tc>
          <w:tcPr>
            <w:tcW w:w="1701" w:type="dxa"/>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1.61E+07</w:t>
            </w:r>
          </w:p>
        </w:tc>
        <w:tc>
          <w:tcPr>
            <w:tcW w:w="1305" w:type="dxa"/>
            <w:tcBorders>
              <w:right w:val="nil"/>
            </w:tcBorders>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0.99</w:t>
            </w:r>
          </w:p>
        </w:tc>
      </w:tr>
      <w:tr w:rsidR="009E3773" w:rsidRPr="007E58DB" w:rsidTr="00322F2E">
        <w:trPr>
          <w:trHeight w:val="255"/>
          <w:jc w:val="center"/>
        </w:trPr>
        <w:tc>
          <w:tcPr>
            <w:tcW w:w="1858" w:type="dxa"/>
            <w:tcBorders>
              <w:left w:val="nil"/>
            </w:tcBorders>
            <w:shd w:val="clear" w:color="auto" w:fill="auto"/>
            <w:noWrap/>
            <w:vAlign w:val="bottom"/>
            <w:hideMark/>
          </w:tcPr>
          <w:p w:rsidR="009E3773" w:rsidRPr="007E58DB" w:rsidRDefault="009E3773" w:rsidP="00322F2E">
            <w:pPr>
              <w:rPr>
                <w:rFonts w:ascii="Arial" w:eastAsia="Times New Roman" w:hAnsi="Arial" w:cs="Arial"/>
                <w:color w:val="000000"/>
                <w:sz w:val="20"/>
                <w:szCs w:val="20"/>
              </w:rPr>
            </w:pPr>
            <w:proofErr w:type="spellStart"/>
            <w:r w:rsidRPr="007E58DB">
              <w:rPr>
                <w:rFonts w:ascii="Arial" w:eastAsia="Times New Roman" w:hAnsi="Arial" w:cs="Arial"/>
                <w:color w:val="000000"/>
                <w:sz w:val="20"/>
                <w:szCs w:val="20"/>
              </w:rPr>
              <w:t>Sebacic</w:t>
            </w:r>
            <w:proofErr w:type="spellEnd"/>
            <w:r w:rsidRPr="007E58DB">
              <w:rPr>
                <w:rFonts w:ascii="Arial" w:eastAsia="Times New Roman" w:hAnsi="Arial" w:cs="Arial"/>
                <w:color w:val="000000"/>
                <w:sz w:val="20"/>
                <w:szCs w:val="20"/>
              </w:rPr>
              <w:t xml:space="preserve"> Acid</w:t>
            </w:r>
          </w:p>
        </w:tc>
        <w:tc>
          <w:tcPr>
            <w:tcW w:w="1418" w:type="dxa"/>
            <w:vAlign w:val="bottom"/>
          </w:tcPr>
          <w:p w:rsidR="009E3773" w:rsidRDefault="009E3773" w:rsidP="00322F2E">
            <w:pPr>
              <w:jc w:val="center"/>
              <w:rPr>
                <w:rFonts w:ascii="Arial" w:hAnsi="Arial" w:cs="Arial"/>
                <w:color w:val="000000"/>
                <w:sz w:val="20"/>
                <w:szCs w:val="20"/>
              </w:rPr>
            </w:pPr>
            <w:r>
              <w:rPr>
                <w:rFonts w:ascii="Arial" w:hAnsi="Arial" w:cs="Arial"/>
                <w:color w:val="000000"/>
                <w:sz w:val="20"/>
                <w:szCs w:val="20"/>
              </w:rPr>
              <w:t>1.05E-10</w:t>
            </w:r>
          </w:p>
        </w:tc>
        <w:tc>
          <w:tcPr>
            <w:tcW w:w="1418" w:type="dxa"/>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1.39</w:t>
            </w:r>
          </w:p>
        </w:tc>
        <w:tc>
          <w:tcPr>
            <w:tcW w:w="1275" w:type="dxa"/>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1.15E-03</w:t>
            </w:r>
          </w:p>
        </w:tc>
        <w:tc>
          <w:tcPr>
            <w:tcW w:w="1701" w:type="dxa"/>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1.73E+07</w:t>
            </w:r>
          </w:p>
        </w:tc>
        <w:tc>
          <w:tcPr>
            <w:tcW w:w="1305" w:type="dxa"/>
            <w:tcBorders>
              <w:right w:val="nil"/>
            </w:tcBorders>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0.99</w:t>
            </w:r>
          </w:p>
        </w:tc>
      </w:tr>
      <w:tr w:rsidR="009E3773" w:rsidRPr="007E58DB" w:rsidTr="00322F2E">
        <w:trPr>
          <w:trHeight w:val="255"/>
          <w:jc w:val="center"/>
        </w:trPr>
        <w:tc>
          <w:tcPr>
            <w:tcW w:w="1858" w:type="dxa"/>
            <w:tcBorders>
              <w:left w:val="nil"/>
            </w:tcBorders>
            <w:shd w:val="clear" w:color="auto" w:fill="auto"/>
            <w:noWrap/>
            <w:vAlign w:val="bottom"/>
            <w:hideMark/>
          </w:tcPr>
          <w:p w:rsidR="009E3773" w:rsidRPr="007E58DB" w:rsidRDefault="009E3773" w:rsidP="00322F2E">
            <w:pPr>
              <w:rPr>
                <w:rFonts w:ascii="Arial" w:eastAsia="Times New Roman" w:hAnsi="Arial" w:cs="Arial"/>
                <w:color w:val="000000"/>
                <w:sz w:val="20"/>
                <w:szCs w:val="20"/>
              </w:rPr>
            </w:pPr>
            <w:r w:rsidRPr="007E58DB">
              <w:rPr>
                <w:rFonts w:ascii="Arial" w:eastAsia="Times New Roman" w:hAnsi="Arial" w:cs="Arial"/>
                <w:color w:val="000000"/>
                <w:sz w:val="20"/>
                <w:szCs w:val="20"/>
              </w:rPr>
              <w:t>Dodecanoic Acid</w:t>
            </w:r>
          </w:p>
        </w:tc>
        <w:tc>
          <w:tcPr>
            <w:tcW w:w="1418" w:type="dxa"/>
            <w:vAlign w:val="bottom"/>
          </w:tcPr>
          <w:p w:rsidR="009E3773" w:rsidRDefault="009E3773" w:rsidP="00322F2E">
            <w:pPr>
              <w:jc w:val="center"/>
              <w:rPr>
                <w:rFonts w:ascii="Arial" w:hAnsi="Arial" w:cs="Arial"/>
                <w:color w:val="000000"/>
                <w:sz w:val="20"/>
                <w:szCs w:val="20"/>
              </w:rPr>
            </w:pPr>
            <w:r>
              <w:rPr>
                <w:rFonts w:ascii="Arial" w:hAnsi="Arial" w:cs="Arial"/>
                <w:color w:val="000000"/>
                <w:sz w:val="20"/>
                <w:szCs w:val="20"/>
              </w:rPr>
              <w:t>1.72E-09</w:t>
            </w:r>
          </w:p>
        </w:tc>
        <w:tc>
          <w:tcPr>
            <w:tcW w:w="1418" w:type="dxa"/>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1.58</w:t>
            </w:r>
          </w:p>
        </w:tc>
        <w:tc>
          <w:tcPr>
            <w:tcW w:w="1275" w:type="dxa"/>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1.80E-03</w:t>
            </w:r>
          </w:p>
        </w:tc>
        <w:tc>
          <w:tcPr>
            <w:tcW w:w="1701" w:type="dxa"/>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1.96E+07</w:t>
            </w:r>
          </w:p>
        </w:tc>
        <w:tc>
          <w:tcPr>
            <w:tcW w:w="1305" w:type="dxa"/>
            <w:tcBorders>
              <w:right w:val="nil"/>
            </w:tcBorders>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0.99</w:t>
            </w:r>
          </w:p>
        </w:tc>
      </w:tr>
      <w:tr w:rsidR="009E3773" w:rsidRPr="007E58DB" w:rsidTr="00322F2E">
        <w:trPr>
          <w:trHeight w:val="255"/>
          <w:jc w:val="center"/>
        </w:trPr>
        <w:tc>
          <w:tcPr>
            <w:tcW w:w="1858" w:type="dxa"/>
            <w:tcBorders>
              <w:left w:val="nil"/>
              <w:bottom w:val="single" w:sz="12" w:space="0" w:color="auto"/>
            </w:tcBorders>
            <w:shd w:val="clear" w:color="auto" w:fill="auto"/>
            <w:noWrap/>
            <w:vAlign w:val="bottom"/>
            <w:hideMark/>
          </w:tcPr>
          <w:p w:rsidR="009E3773" w:rsidRPr="007E58DB" w:rsidRDefault="009E3773" w:rsidP="00322F2E">
            <w:pPr>
              <w:rPr>
                <w:rFonts w:ascii="Arial" w:eastAsia="Times New Roman" w:hAnsi="Arial" w:cs="Arial"/>
                <w:color w:val="000000"/>
                <w:sz w:val="20"/>
                <w:szCs w:val="20"/>
              </w:rPr>
            </w:pPr>
            <w:r w:rsidRPr="007E58DB">
              <w:rPr>
                <w:rFonts w:ascii="Arial" w:eastAsia="Times New Roman" w:hAnsi="Arial" w:cs="Arial"/>
                <w:color w:val="000000"/>
                <w:sz w:val="20"/>
                <w:szCs w:val="20"/>
              </w:rPr>
              <w:t>Total</w:t>
            </w:r>
          </w:p>
        </w:tc>
        <w:tc>
          <w:tcPr>
            <w:tcW w:w="1418" w:type="dxa"/>
            <w:tcBorders>
              <w:bottom w:val="single" w:sz="12" w:space="0" w:color="auto"/>
            </w:tcBorders>
          </w:tcPr>
          <w:p w:rsidR="009E3773" w:rsidRDefault="009E3773" w:rsidP="00322F2E">
            <w:pPr>
              <w:jc w:val="center"/>
              <w:rPr>
                <w:rFonts w:ascii="Arial" w:hAnsi="Arial" w:cs="Arial"/>
                <w:color w:val="000000"/>
                <w:sz w:val="20"/>
                <w:szCs w:val="20"/>
              </w:rPr>
            </w:pPr>
          </w:p>
        </w:tc>
        <w:tc>
          <w:tcPr>
            <w:tcW w:w="1418" w:type="dxa"/>
            <w:tcBorders>
              <w:bottom w:val="single" w:sz="12" w:space="0" w:color="auto"/>
            </w:tcBorders>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10.00</w:t>
            </w:r>
          </w:p>
        </w:tc>
        <w:tc>
          <w:tcPr>
            <w:tcW w:w="1275" w:type="dxa"/>
            <w:tcBorders>
              <w:bottom w:val="single" w:sz="12" w:space="0" w:color="auto"/>
            </w:tcBorders>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8.05E-03</w:t>
            </w:r>
          </w:p>
        </w:tc>
        <w:tc>
          <w:tcPr>
            <w:tcW w:w="1701" w:type="dxa"/>
            <w:tcBorders>
              <w:bottom w:val="single" w:sz="12" w:space="0" w:color="auto"/>
            </w:tcBorders>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1.24E+08</w:t>
            </w:r>
          </w:p>
        </w:tc>
        <w:tc>
          <w:tcPr>
            <w:tcW w:w="1305" w:type="dxa"/>
            <w:tcBorders>
              <w:bottom w:val="single" w:sz="12" w:space="0" w:color="auto"/>
              <w:right w:val="nil"/>
            </w:tcBorders>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1.00</w:t>
            </w:r>
          </w:p>
        </w:tc>
      </w:tr>
    </w:tbl>
    <w:p w:rsidR="009E3773" w:rsidRPr="007159A9" w:rsidRDefault="009E3773" w:rsidP="009E3773">
      <w:r>
        <w:rPr>
          <w:vertAlign w:val="superscript"/>
        </w:rPr>
        <w:t>*</w:t>
      </w:r>
      <w:r>
        <w:t xml:space="preserve">Assume cell volume is approximately </w:t>
      </w:r>
      <w:proofErr w:type="gramStart"/>
      <w:r>
        <w:t>10x</w:t>
      </w:r>
      <w:proofErr w:type="gramEnd"/>
      <w:r>
        <w:t xml:space="preserve"> larger than liquid volume</w:t>
      </w:r>
    </w:p>
    <w:p w:rsidR="009E3773" w:rsidRDefault="009E3773" w:rsidP="009E3773"/>
    <w:p w:rsidR="009E3773" w:rsidRDefault="009E3773" w:rsidP="009E3773"/>
    <w:p w:rsidR="009E3773" w:rsidRDefault="009E3773" w:rsidP="009E3773"/>
    <w:p w:rsidR="009E3773" w:rsidRDefault="009E3773" w:rsidP="009E3773"/>
    <w:p w:rsidR="009E3773" w:rsidRDefault="009E3773" w:rsidP="009E3773"/>
    <w:p w:rsidR="009E3773" w:rsidRDefault="009E3773" w:rsidP="009E3773"/>
    <w:p w:rsidR="009E3773" w:rsidRDefault="009E3773" w:rsidP="009E3773"/>
    <w:p w:rsidR="009E3773" w:rsidRDefault="009E3773" w:rsidP="009E3773">
      <w:pPr>
        <w:rPr>
          <w:b/>
        </w:rPr>
      </w:pPr>
      <w:r>
        <w:rPr>
          <w:b/>
        </w:rPr>
        <w:br w:type="page"/>
      </w:r>
    </w:p>
    <w:p w:rsidR="009E3773" w:rsidRPr="0040457D" w:rsidRDefault="009E3773" w:rsidP="009E3773">
      <w:pPr>
        <w:rPr>
          <w:b/>
        </w:rPr>
      </w:pPr>
      <w:r w:rsidRPr="0040457D">
        <w:rPr>
          <w:b/>
        </w:rPr>
        <w:lastRenderedPageBreak/>
        <w:t xml:space="preserve">Data </w:t>
      </w:r>
      <w:r>
        <w:rPr>
          <w:b/>
        </w:rPr>
        <w:t>and Calculations of</w:t>
      </w:r>
      <w:r w:rsidRPr="0040457D">
        <w:rPr>
          <w:b/>
        </w:rPr>
        <w:t xml:space="preserve"> </w:t>
      </w:r>
      <w:r>
        <w:rPr>
          <w:b/>
        </w:rPr>
        <w:t>Equilibrium</w:t>
      </w:r>
      <w:r w:rsidRPr="0040457D">
        <w:rPr>
          <w:b/>
        </w:rPr>
        <w:t xml:space="preserve"> for </w:t>
      </w:r>
      <w:proofErr w:type="spellStart"/>
      <w:r w:rsidRPr="0040457D">
        <w:rPr>
          <w:b/>
        </w:rPr>
        <w:t>Cappa</w:t>
      </w:r>
      <w:proofErr w:type="spellEnd"/>
      <w:r w:rsidRPr="0040457D">
        <w:rPr>
          <w:b/>
        </w:rPr>
        <w:t xml:space="preserve"> Mixture</w:t>
      </w:r>
    </w:p>
    <w:p w:rsidR="009E3773" w:rsidRDefault="009E3773" w:rsidP="009E3773"/>
    <w:p w:rsidR="009E3773" w:rsidRDefault="009E3773" w:rsidP="009E3773">
      <w:r>
        <w:t>Physical Properties of Mixture:</w:t>
      </w:r>
    </w:p>
    <w:p w:rsidR="009E3773" w:rsidRDefault="009E3773" w:rsidP="009E3773"/>
    <w:tbl>
      <w:tblPr>
        <w:tblW w:w="8804" w:type="dxa"/>
        <w:jc w:val="center"/>
        <w:tblInd w:w="93"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858"/>
        <w:gridCol w:w="1134"/>
        <w:gridCol w:w="1276"/>
        <w:gridCol w:w="1134"/>
        <w:gridCol w:w="1134"/>
        <w:gridCol w:w="1134"/>
        <w:gridCol w:w="1134"/>
      </w:tblGrid>
      <w:tr w:rsidR="009E3773" w:rsidTr="00322F2E">
        <w:trPr>
          <w:trHeight w:val="765"/>
          <w:jc w:val="center"/>
        </w:trPr>
        <w:tc>
          <w:tcPr>
            <w:tcW w:w="1858" w:type="dxa"/>
            <w:tcBorders>
              <w:top w:val="single" w:sz="12" w:space="0" w:color="auto"/>
              <w:left w:val="nil"/>
              <w:bottom w:val="single" w:sz="12" w:space="0" w:color="auto"/>
            </w:tcBorders>
            <w:shd w:val="clear" w:color="auto" w:fill="auto"/>
            <w:vAlign w:val="center"/>
            <w:hideMark/>
          </w:tcPr>
          <w:p w:rsidR="009E3773" w:rsidRDefault="009E3773" w:rsidP="00322F2E">
            <w:pPr>
              <w:rPr>
                <w:rFonts w:ascii="Arial" w:hAnsi="Arial" w:cs="Arial"/>
                <w:b/>
                <w:bCs/>
                <w:color w:val="000000"/>
                <w:sz w:val="20"/>
                <w:szCs w:val="20"/>
              </w:rPr>
            </w:pPr>
            <w:r>
              <w:rPr>
                <w:rFonts w:ascii="Arial" w:hAnsi="Arial" w:cs="Arial"/>
                <w:b/>
                <w:bCs/>
                <w:color w:val="000000"/>
                <w:sz w:val="20"/>
                <w:szCs w:val="20"/>
              </w:rPr>
              <w:t>Compound</w:t>
            </w:r>
          </w:p>
        </w:tc>
        <w:tc>
          <w:tcPr>
            <w:tcW w:w="1134" w:type="dxa"/>
            <w:tcBorders>
              <w:top w:val="single" w:sz="12" w:space="0" w:color="auto"/>
              <w:bottom w:val="single" w:sz="12" w:space="0" w:color="auto"/>
            </w:tcBorders>
            <w:shd w:val="clear" w:color="auto" w:fill="auto"/>
            <w:vAlign w:val="center"/>
            <w:hideMark/>
          </w:tcPr>
          <w:p w:rsidR="009E3773" w:rsidRDefault="009E3773" w:rsidP="00322F2E">
            <w:pPr>
              <w:jc w:val="center"/>
              <w:rPr>
                <w:rFonts w:ascii="Arial" w:hAnsi="Arial" w:cs="Arial"/>
                <w:b/>
                <w:bCs/>
                <w:color w:val="000000"/>
                <w:sz w:val="20"/>
                <w:szCs w:val="20"/>
              </w:rPr>
            </w:pPr>
            <w:r>
              <w:rPr>
                <w:rFonts w:ascii="Arial" w:hAnsi="Arial" w:cs="Arial"/>
                <w:b/>
                <w:bCs/>
                <w:color w:val="000000"/>
                <w:sz w:val="20"/>
                <w:szCs w:val="20"/>
              </w:rPr>
              <w:t>MW</w:t>
            </w:r>
          </w:p>
          <w:p w:rsidR="009E3773" w:rsidRDefault="009E3773" w:rsidP="00322F2E">
            <w:pPr>
              <w:jc w:val="center"/>
              <w:rPr>
                <w:rFonts w:ascii="Arial" w:hAnsi="Arial" w:cs="Arial"/>
                <w:b/>
                <w:bCs/>
                <w:color w:val="000000"/>
                <w:sz w:val="20"/>
                <w:szCs w:val="20"/>
              </w:rPr>
            </w:pPr>
            <w:r>
              <w:rPr>
                <w:rFonts w:ascii="Arial" w:hAnsi="Arial" w:cs="Arial"/>
                <w:b/>
                <w:bCs/>
                <w:color w:val="000000"/>
                <w:sz w:val="20"/>
                <w:szCs w:val="20"/>
              </w:rPr>
              <w:t>(g mol-1)</w:t>
            </w:r>
          </w:p>
        </w:tc>
        <w:tc>
          <w:tcPr>
            <w:tcW w:w="1276" w:type="dxa"/>
            <w:tcBorders>
              <w:top w:val="single" w:sz="12" w:space="0" w:color="auto"/>
              <w:bottom w:val="single" w:sz="12" w:space="0" w:color="auto"/>
            </w:tcBorders>
            <w:shd w:val="clear" w:color="auto" w:fill="auto"/>
            <w:vAlign w:val="center"/>
            <w:hideMark/>
          </w:tcPr>
          <w:p w:rsidR="009E3773" w:rsidRPr="007C19D1" w:rsidRDefault="009E3773" w:rsidP="00322F2E">
            <w:pPr>
              <w:jc w:val="center"/>
              <w:rPr>
                <w:rFonts w:ascii="Arial" w:hAnsi="Arial" w:cs="Arial"/>
                <w:b/>
                <w:bCs/>
                <w:color w:val="000000"/>
                <w:sz w:val="20"/>
                <w:szCs w:val="20"/>
                <w:vertAlign w:val="superscript"/>
              </w:rPr>
            </w:pPr>
            <w:r>
              <w:rPr>
                <w:rFonts w:ascii="Arial" w:hAnsi="Arial" w:cs="Arial"/>
                <w:b/>
                <w:bCs/>
                <w:color w:val="000000"/>
                <w:sz w:val="20"/>
                <w:szCs w:val="20"/>
              </w:rPr>
              <w:t>Enthalpy (kJ mol-1)</w:t>
            </w:r>
            <w:r>
              <w:rPr>
                <w:rFonts w:ascii="Arial" w:hAnsi="Arial" w:cs="Arial"/>
                <w:b/>
                <w:bCs/>
                <w:color w:val="000000"/>
                <w:sz w:val="20"/>
                <w:szCs w:val="20"/>
                <w:vertAlign w:val="superscript"/>
              </w:rPr>
              <w:t>a</w:t>
            </w:r>
          </w:p>
        </w:tc>
        <w:tc>
          <w:tcPr>
            <w:tcW w:w="1134" w:type="dxa"/>
            <w:tcBorders>
              <w:top w:val="single" w:sz="12" w:space="0" w:color="auto"/>
              <w:bottom w:val="single" w:sz="12" w:space="0" w:color="auto"/>
            </w:tcBorders>
            <w:shd w:val="clear" w:color="auto" w:fill="auto"/>
            <w:vAlign w:val="center"/>
            <w:hideMark/>
          </w:tcPr>
          <w:p w:rsidR="009E3773" w:rsidRDefault="009E3773" w:rsidP="00322F2E">
            <w:pPr>
              <w:jc w:val="center"/>
              <w:rPr>
                <w:rFonts w:ascii="Arial" w:hAnsi="Arial" w:cs="Arial"/>
                <w:b/>
                <w:bCs/>
                <w:color w:val="000000"/>
                <w:sz w:val="20"/>
                <w:szCs w:val="20"/>
              </w:rPr>
            </w:pPr>
            <w:r>
              <w:rPr>
                <w:rFonts w:ascii="Arial" w:hAnsi="Arial" w:cs="Arial"/>
                <w:b/>
                <w:bCs/>
                <w:color w:val="000000"/>
                <w:sz w:val="20"/>
                <w:szCs w:val="20"/>
              </w:rPr>
              <w:t>Vapor Pressure (</w:t>
            </w:r>
            <w:proofErr w:type="spellStart"/>
            <w:r>
              <w:rPr>
                <w:rFonts w:ascii="Arial" w:hAnsi="Arial" w:cs="Arial"/>
                <w:b/>
                <w:bCs/>
                <w:color w:val="000000"/>
                <w:sz w:val="20"/>
                <w:szCs w:val="20"/>
              </w:rPr>
              <w:t>atm</w:t>
            </w:r>
            <w:proofErr w:type="spellEnd"/>
            <w:r>
              <w:rPr>
                <w:rFonts w:ascii="Arial" w:hAnsi="Arial" w:cs="Arial"/>
                <w:b/>
                <w:bCs/>
                <w:color w:val="000000"/>
                <w:sz w:val="20"/>
                <w:szCs w:val="20"/>
              </w:rPr>
              <w:t>)</w:t>
            </w:r>
          </w:p>
        </w:tc>
        <w:tc>
          <w:tcPr>
            <w:tcW w:w="1134" w:type="dxa"/>
            <w:tcBorders>
              <w:top w:val="single" w:sz="12" w:space="0" w:color="auto"/>
              <w:bottom w:val="single" w:sz="12" w:space="0" w:color="auto"/>
            </w:tcBorders>
            <w:shd w:val="clear" w:color="auto" w:fill="auto"/>
            <w:vAlign w:val="center"/>
            <w:hideMark/>
          </w:tcPr>
          <w:p w:rsidR="009E3773" w:rsidRDefault="009E3773" w:rsidP="00322F2E">
            <w:pPr>
              <w:jc w:val="center"/>
              <w:rPr>
                <w:rFonts w:ascii="Arial" w:hAnsi="Arial" w:cs="Arial"/>
                <w:b/>
                <w:bCs/>
                <w:color w:val="000000"/>
                <w:sz w:val="20"/>
                <w:szCs w:val="20"/>
              </w:rPr>
            </w:pPr>
            <w:r>
              <w:rPr>
                <w:rFonts w:ascii="Arial" w:hAnsi="Arial" w:cs="Arial"/>
                <w:b/>
                <w:bCs/>
                <w:color w:val="000000"/>
                <w:sz w:val="20"/>
                <w:szCs w:val="20"/>
              </w:rPr>
              <w:t>Density</w:t>
            </w:r>
          </w:p>
          <w:p w:rsidR="009E3773" w:rsidRDefault="009E3773" w:rsidP="00322F2E">
            <w:pPr>
              <w:jc w:val="center"/>
              <w:rPr>
                <w:rFonts w:ascii="Arial" w:hAnsi="Arial" w:cs="Arial"/>
                <w:b/>
                <w:bCs/>
                <w:color w:val="000000"/>
                <w:sz w:val="20"/>
                <w:szCs w:val="20"/>
              </w:rPr>
            </w:pPr>
            <w:r>
              <w:rPr>
                <w:rFonts w:ascii="Arial" w:hAnsi="Arial" w:cs="Arial"/>
                <w:b/>
                <w:bCs/>
                <w:color w:val="000000"/>
                <w:sz w:val="20"/>
                <w:szCs w:val="20"/>
              </w:rPr>
              <w:t>(g cm-3)</w:t>
            </w:r>
          </w:p>
        </w:tc>
        <w:tc>
          <w:tcPr>
            <w:tcW w:w="1134" w:type="dxa"/>
            <w:tcBorders>
              <w:top w:val="single" w:sz="12" w:space="0" w:color="auto"/>
              <w:bottom w:val="single" w:sz="12" w:space="0" w:color="auto"/>
            </w:tcBorders>
            <w:shd w:val="clear" w:color="auto" w:fill="auto"/>
            <w:vAlign w:val="center"/>
            <w:hideMark/>
          </w:tcPr>
          <w:p w:rsidR="009E3773" w:rsidRDefault="009E3773" w:rsidP="00322F2E">
            <w:pPr>
              <w:jc w:val="center"/>
              <w:rPr>
                <w:rFonts w:ascii="Arial" w:hAnsi="Arial" w:cs="Arial"/>
                <w:b/>
                <w:bCs/>
                <w:color w:val="000000"/>
                <w:sz w:val="20"/>
                <w:szCs w:val="20"/>
              </w:rPr>
            </w:pPr>
            <w:r>
              <w:rPr>
                <w:rFonts w:ascii="Arial" w:hAnsi="Arial" w:cs="Arial"/>
                <w:b/>
                <w:bCs/>
                <w:color w:val="000000"/>
                <w:sz w:val="20"/>
                <w:szCs w:val="20"/>
              </w:rPr>
              <w:t>Mole Fraction</w:t>
            </w:r>
          </w:p>
        </w:tc>
        <w:tc>
          <w:tcPr>
            <w:tcW w:w="1134" w:type="dxa"/>
            <w:tcBorders>
              <w:top w:val="single" w:sz="12" w:space="0" w:color="auto"/>
              <w:bottom w:val="single" w:sz="12" w:space="0" w:color="auto"/>
              <w:right w:val="nil"/>
            </w:tcBorders>
            <w:shd w:val="clear" w:color="auto" w:fill="auto"/>
            <w:vAlign w:val="center"/>
            <w:hideMark/>
          </w:tcPr>
          <w:p w:rsidR="009E3773" w:rsidRDefault="009E3773" w:rsidP="00322F2E">
            <w:pPr>
              <w:jc w:val="center"/>
              <w:rPr>
                <w:rFonts w:ascii="Arial" w:hAnsi="Arial" w:cs="Arial"/>
                <w:b/>
                <w:bCs/>
                <w:color w:val="000000"/>
                <w:sz w:val="20"/>
                <w:szCs w:val="20"/>
              </w:rPr>
            </w:pPr>
            <w:r>
              <w:rPr>
                <w:rFonts w:ascii="Arial" w:hAnsi="Arial" w:cs="Arial"/>
                <w:b/>
                <w:bCs/>
                <w:color w:val="000000"/>
                <w:sz w:val="20"/>
                <w:szCs w:val="20"/>
              </w:rPr>
              <w:t>Mass Fraction</w:t>
            </w:r>
          </w:p>
        </w:tc>
      </w:tr>
      <w:tr w:rsidR="009E3773" w:rsidTr="00322F2E">
        <w:trPr>
          <w:trHeight w:val="255"/>
          <w:jc w:val="center"/>
        </w:trPr>
        <w:tc>
          <w:tcPr>
            <w:tcW w:w="1858" w:type="dxa"/>
            <w:tcBorders>
              <w:top w:val="single" w:sz="12" w:space="0" w:color="auto"/>
              <w:left w:val="nil"/>
            </w:tcBorders>
            <w:shd w:val="clear" w:color="auto" w:fill="auto"/>
            <w:noWrap/>
            <w:vAlign w:val="bottom"/>
            <w:hideMark/>
          </w:tcPr>
          <w:p w:rsidR="009E3773" w:rsidRDefault="009E3773" w:rsidP="00322F2E">
            <w:pPr>
              <w:rPr>
                <w:rFonts w:ascii="Arial" w:hAnsi="Arial" w:cs="Arial"/>
                <w:color w:val="000000"/>
                <w:sz w:val="20"/>
                <w:szCs w:val="20"/>
              </w:rPr>
            </w:pPr>
            <w:proofErr w:type="spellStart"/>
            <w:r>
              <w:rPr>
                <w:rFonts w:ascii="Arial" w:hAnsi="Arial" w:cs="Arial"/>
                <w:color w:val="000000"/>
                <w:sz w:val="20"/>
                <w:szCs w:val="20"/>
              </w:rPr>
              <w:t>Malonic</w:t>
            </w:r>
            <w:proofErr w:type="spellEnd"/>
            <w:r>
              <w:rPr>
                <w:rFonts w:ascii="Arial" w:hAnsi="Arial" w:cs="Arial"/>
                <w:color w:val="000000"/>
                <w:sz w:val="20"/>
                <w:szCs w:val="20"/>
              </w:rPr>
              <w:t xml:space="preserve"> Acid</w:t>
            </w:r>
          </w:p>
        </w:tc>
        <w:tc>
          <w:tcPr>
            <w:tcW w:w="1134" w:type="dxa"/>
            <w:tcBorders>
              <w:top w:val="single" w:sz="12" w:space="0" w:color="auto"/>
            </w:tcBorders>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104.06</w:t>
            </w:r>
          </w:p>
        </w:tc>
        <w:tc>
          <w:tcPr>
            <w:tcW w:w="1276" w:type="dxa"/>
            <w:tcBorders>
              <w:top w:val="single" w:sz="12" w:space="0" w:color="auto"/>
            </w:tcBorders>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141.9</w:t>
            </w:r>
          </w:p>
        </w:tc>
        <w:tc>
          <w:tcPr>
            <w:tcW w:w="1134" w:type="dxa"/>
            <w:tcBorders>
              <w:top w:val="single" w:sz="12" w:space="0" w:color="auto"/>
            </w:tcBorders>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6.61E-09</w:t>
            </w:r>
          </w:p>
        </w:tc>
        <w:tc>
          <w:tcPr>
            <w:tcW w:w="1134" w:type="dxa"/>
            <w:tcBorders>
              <w:top w:val="single" w:sz="12" w:space="0" w:color="auto"/>
            </w:tcBorders>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1.619</w:t>
            </w:r>
          </w:p>
        </w:tc>
        <w:tc>
          <w:tcPr>
            <w:tcW w:w="1134" w:type="dxa"/>
            <w:tcBorders>
              <w:top w:val="single" w:sz="12" w:space="0" w:color="auto"/>
            </w:tcBorders>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0.111</w:t>
            </w:r>
          </w:p>
        </w:tc>
        <w:tc>
          <w:tcPr>
            <w:tcW w:w="1134" w:type="dxa"/>
            <w:tcBorders>
              <w:top w:val="single" w:sz="12" w:space="0" w:color="auto"/>
              <w:right w:val="nil"/>
            </w:tcBorders>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0.0715</w:t>
            </w:r>
          </w:p>
        </w:tc>
      </w:tr>
      <w:tr w:rsidR="009E3773" w:rsidTr="00322F2E">
        <w:trPr>
          <w:trHeight w:val="255"/>
          <w:jc w:val="center"/>
        </w:trPr>
        <w:tc>
          <w:tcPr>
            <w:tcW w:w="1858" w:type="dxa"/>
            <w:tcBorders>
              <w:left w:val="nil"/>
            </w:tcBorders>
            <w:shd w:val="clear" w:color="auto" w:fill="auto"/>
            <w:noWrap/>
            <w:vAlign w:val="bottom"/>
            <w:hideMark/>
          </w:tcPr>
          <w:p w:rsidR="009E3773" w:rsidRDefault="009E3773" w:rsidP="00322F2E">
            <w:pPr>
              <w:rPr>
                <w:rFonts w:ascii="Arial" w:hAnsi="Arial" w:cs="Arial"/>
                <w:color w:val="000000"/>
                <w:sz w:val="20"/>
                <w:szCs w:val="20"/>
              </w:rPr>
            </w:pPr>
            <w:r>
              <w:rPr>
                <w:rFonts w:ascii="Arial" w:hAnsi="Arial" w:cs="Arial"/>
                <w:color w:val="000000"/>
                <w:sz w:val="20"/>
                <w:szCs w:val="20"/>
              </w:rPr>
              <w:t>Succinic Acid</w:t>
            </w:r>
          </w:p>
        </w:tc>
        <w:tc>
          <w:tcPr>
            <w:tcW w:w="1134" w:type="dxa"/>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118.09</w:t>
            </w:r>
          </w:p>
        </w:tc>
        <w:tc>
          <w:tcPr>
            <w:tcW w:w="1276" w:type="dxa"/>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88.5</w:t>
            </w:r>
          </w:p>
        </w:tc>
        <w:tc>
          <w:tcPr>
            <w:tcW w:w="1134" w:type="dxa"/>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3.1E-09</w:t>
            </w:r>
          </w:p>
        </w:tc>
        <w:tc>
          <w:tcPr>
            <w:tcW w:w="1134" w:type="dxa"/>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1.56</w:t>
            </w:r>
          </w:p>
        </w:tc>
        <w:tc>
          <w:tcPr>
            <w:tcW w:w="1134" w:type="dxa"/>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0.111</w:t>
            </w:r>
          </w:p>
        </w:tc>
        <w:tc>
          <w:tcPr>
            <w:tcW w:w="1134" w:type="dxa"/>
            <w:tcBorders>
              <w:right w:val="nil"/>
            </w:tcBorders>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0.0812</w:t>
            </w:r>
          </w:p>
        </w:tc>
      </w:tr>
      <w:tr w:rsidR="009E3773" w:rsidTr="00322F2E">
        <w:trPr>
          <w:trHeight w:val="255"/>
          <w:jc w:val="center"/>
        </w:trPr>
        <w:tc>
          <w:tcPr>
            <w:tcW w:w="1858" w:type="dxa"/>
            <w:tcBorders>
              <w:left w:val="nil"/>
            </w:tcBorders>
            <w:shd w:val="clear" w:color="auto" w:fill="auto"/>
            <w:noWrap/>
            <w:vAlign w:val="bottom"/>
            <w:hideMark/>
          </w:tcPr>
          <w:p w:rsidR="009E3773" w:rsidRDefault="009E3773" w:rsidP="00322F2E">
            <w:pPr>
              <w:rPr>
                <w:rFonts w:ascii="Arial" w:hAnsi="Arial" w:cs="Arial"/>
                <w:color w:val="000000"/>
                <w:sz w:val="20"/>
                <w:szCs w:val="20"/>
              </w:rPr>
            </w:pPr>
            <w:proofErr w:type="spellStart"/>
            <w:r>
              <w:rPr>
                <w:rFonts w:ascii="Arial" w:hAnsi="Arial" w:cs="Arial"/>
                <w:color w:val="000000"/>
                <w:sz w:val="20"/>
                <w:szCs w:val="20"/>
              </w:rPr>
              <w:t>Glutaric</w:t>
            </w:r>
            <w:proofErr w:type="spellEnd"/>
            <w:r>
              <w:rPr>
                <w:rFonts w:ascii="Arial" w:hAnsi="Arial" w:cs="Arial"/>
                <w:color w:val="000000"/>
                <w:sz w:val="20"/>
                <w:szCs w:val="20"/>
              </w:rPr>
              <w:t xml:space="preserve"> Acid</w:t>
            </w:r>
          </w:p>
        </w:tc>
        <w:tc>
          <w:tcPr>
            <w:tcW w:w="1134" w:type="dxa"/>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132.11</w:t>
            </w:r>
          </w:p>
        </w:tc>
        <w:tc>
          <w:tcPr>
            <w:tcW w:w="1276" w:type="dxa"/>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141.0</w:t>
            </w:r>
          </w:p>
        </w:tc>
        <w:tc>
          <w:tcPr>
            <w:tcW w:w="1134" w:type="dxa"/>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1.73E-09</w:t>
            </w:r>
          </w:p>
        </w:tc>
        <w:tc>
          <w:tcPr>
            <w:tcW w:w="1134" w:type="dxa"/>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1.429</w:t>
            </w:r>
          </w:p>
        </w:tc>
        <w:tc>
          <w:tcPr>
            <w:tcW w:w="1134" w:type="dxa"/>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0.111</w:t>
            </w:r>
          </w:p>
        </w:tc>
        <w:tc>
          <w:tcPr>
            <w:tcW w:w="1134" w:type="dxa"/>
            <w:tcBorders>
              <w:right w:val="nil"/>
            </w:tcBorders>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0.0908</w:t>
            </w:r>
          </w:p>
        </w:tc>
      </w:tr>
      <w:tr w:rsidR="009E3773" w:rsidTr="00322F2E">
        <w:trPr>
          <w:trHeight w:val="255"/>
          <w:jc w:val="center"/>
        </w:trPr>
        <w:tc>
          <w:tcPr>
            <w:tcW w:w="1858" w:type="dxa"/>
            <w:tcBorders>
              <w:left w:val="nil"/>
            </w:tcBorders>
            <w:shd w:val="clear" w:color="auto" w:fill="auto"/>
            <w:noWrap/>
            <w:vAlign w:val="bottom"/>
            <w:hideMark/>
          </w:tcPr>
          <w:p w:rsidR="009E3773" w:rsidRDefault="009E3773" w:rsidP="00322F2E">
            <w:pPr>
              <w:rPr>
                <w:rFonts w:ascii="Arial" w:hAnsi="Arial" w:cs="Arial"/>
                <w:color w:val="000000"/>
                <w:sz w:val="20"/>
                <w:szCs w:val="20"/>
              </w:rPr>
            </w:pPr>
            <w:proofErr w:type="spellStart"/>
            <w:r>
              <w:rPr>
                <w:rFonts w:ascii="Arial" w:hAnsi="Arial" w:cs="Arial"/>
                <w:color w:val="000000"/>
                <w:sz w:val="20"/>
                <w:szCs w:val="20"/>
              </w:rPr>
              <w:t>Adipic</w:t>
            </w:r>
            <w:proofErr w:type="spellEnd"/>
            <w:r>
              <w:rPr>
                <w:rFonts w:ascii="Arial" w:hAnsi="Arial" w:cs="Arial"/>
                <w:color w:val="000000"/>
                <w:sz w:val="20"/>
                <w:szCs w:val="20"/>
              </w:rPr>
              <w:t xml:space="preserve"> Acid</w:t>
            </w:r>
          </w:p>
        </w:tc>
        <w:tc>
          <w:tcPr>
            <w:tcW w:w="1134" w:type="dxa"/>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146.14</w:t>
            </w:r>
          </w:p>
        </w:tc>
        <w:tc>
          <w:tcPr>
            <w:tcW w:w="1276" w:type="dxa"/>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111.0</w:t>
            </w:r>
          </w:p>
        </w:tc>
        <w:tc>
          <w:tcPr>
            <w:tcW w:w="1134" w:type="dxa"/>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9.7E-10</w:t>
            </w:r>
          </w:p>
        </w:tc>
        <w:tc>
          <w:tcPr>
            <w:tcW w:w="1134" w:type="dxa"/>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1.36</w:t>
            </w:r>
          </w:p>
        </w:tc>
        <w:tc>
          <w:tcPr>
            <w:tcW w:w="1134" w:type="dxa"/>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0.111</w:t>
            </w:r>
          </w:p>
        </w:tc>
        <w:tc>
          <w:tcPr>
            <w:tcW w:w="1134" w:type="dxa"/>
            <w:tcBorders>
              <w:right w:val="nil"/>
            </w:tcBorders>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0.1005</w:t>
            </w:r>
          </w:p>
        </w:tc>
      </w:tr>
      <w:tr w:rsidR="009E3773" w:rsidTr="00322F2E">
        <w:trPr>
          <w:trHeight w:val="255"/>
          <w:jc w:val="center"/>
        </w:trPr>
        <w:tc>
          <w:tcPr>
            <w:tcW w:w="1858" w:type="dxa"/>
            <w:tcBorders>
              <w:left w:val="nil"/>
            </w:tcBorders>
            <w:shd w:val="clear" w:color="auto" w:fill="auto"/>
            <w:noWrap/>
            <w:vAlign w:val="bottom"/>
            <w:hideMark/>
          </w:tcPr>
          <w:p w:rsidR="009E3773" w:rsidRDefault="009E3773" w:rsidP="00322F2E">
            <w:pPr>
              <w:rPr>
                <w:rFonts w:ascii="Arial" w:hAnsi="Arial" w:cs="Arial"/>
                <w:color w:val="000000"/>
                <w:sz w:val="20"/>
                <w:szCs w:val="20"/>
              </w:rPr>
            </w:pPr>
            <w:proofErr w:type="spellStart"/>
            <w:r>
              <w:rPr>
                <w:rFonts w:ascii="Arial" w:hAnsi="Arial" w:cs="Arial"/>
                <w:color w:val="000000"/>
                <w:sz w:val="20"/>
                <w:szCs w:val="20"/>
              </w:rPr>
              <w:t>Pimelic</w:t>
            </w:r>
            <w:proofErr w:type="spellEnd"/>
            <w:r>
              <w:rPr>
                <w:rFonts w:ascii="Arial" w:hAnsi="Arial" w:cs="Arial"/>
                <w:color w:val="000000"/>
                <w:sz w:val="20"/>
                <w:szCs w:val="20"/>
              </w:rPr>
              <w:t xml:space="preserve"> Acid</w:t>
            </w:r>
          </w:p>
        </w:tc>
        <w:tc>
          <w:tcPr>
            <w:tcW w:w="1134" w:type="dxa"/>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160</w:t>
            </w:r>
          </w:p>
        </w:tc>
        <w:tc>
          <w:tcPr>
            <w:tcW w:w="1276" w:type="dxa"/>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124.0</w:t>
            </w:r>
          </w:p>
        </w:tc>
        <w:tc>
          <w:tcPr>
            <w:tcW w:w="1134" w:type="dxa"/>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5.51E-10</w:t>
            </w:r>
          </w:p>
        </w:tc>
        <w:tc>
          <w:tcPr>
            <w:tcW w:w="1134" w:type="dxa"/>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1.28</w:t>
            </w:r>
          </w:p>
        </w:tc>
        <w:tc>
          <w:tcPr>
            <w:tcW w:w="1134" w:type="dxa"/>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0.111</w:t>
            </w:r>
          </w:p>
        </w:tc>
        <w:tc>
          <w:tcPr>
            <w:tcW w:w="1134" w:type="dxa"/>
            <w:tcBorders>
              <w:right w:val="nil"/>
            </w:tcBorders>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0.1100</w:t>
            </w:r>
          </w:p>
        </w:tc>
      </w:tr>
      <w:tr w:rsidR="009E3773" w:rsidTr="00322F2E">
        <w:trPr>
          <w:trHeight w:val="255"/>
          <w:jc w:val="center"/>
        </w:trPr>
        <w:tc>
          <w:tcPr>
            <w:tcW w:w="1858" w:type="dxa"/>
            <w:tcBorders>
              <w:left w:val="nil"/>
            </w:tcBorders>
            <w:shd w:val="clear" w:color="auto" w:fill="auto"/>
            <w:noWrap/>
            <w:vAlign w:val="bottom"/>
            <w:hideMark/>
          </w:tcPr>
          <w:p w:rsidR="009E3773" w:rsidRDefault="009E3773" w:rsidP="00322F2E">
            <w:pPr>
              <w:rPr>
                <w:rFonts w:ascii="Arial" w:hAnsi="Arial" w:cs="Arial"/>
                <w:color w:val="000000"/>
                <w:sz w:val="20"/>
                <w:szCs w:val="20"/>
              </w:rPr>
            </w:pPr>
            <w:proofErr w:type="spellStart"/>
            <w:r>
              <w:rPr>
                <w:rFonts w:ascii="Arial" w:hAnsi="Arial" w:cs="Arial"/>
                <w:color w:val="000000"/>
                <w:sz w:val="20"/>
                <w:szCs w:val="20"/>
              </w:rPr>
              <w:t>Suberic</w:t>
            </w:r>
            <w:proofErr w:type="spellEnd"/>
            <w:r>
              <w:rPr>
                <w:rFonts w:ascii="Arial" w:hAnsi="Arial" w:cs="Arial"/>
                <w:color w:val="000000"/>
                <w:sz w:val="20"/>
                <w:szCs w:val="20"/>
              </w:rPr>
              <w:t xml:space="preserve"> Acid</w:t>
            </w:r>
          </w:p>
        </w:tc>
        <w:tc>
          <w:tcPr>
            <w:tcW w:w="1134" w:type="dxa"/>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174</w:t>
            </w:r>
          </w:p>
        </w:tc>
        <w:tc>
          <w:tcPr>
            <w:tcW w:w="1276" w:type="dxa"/>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130.0</w:t>
            </w:r>
          </w:p>
        </w:tc>
        <w:tc>
          <w:tcPr>
            <w:tcW w:w="1134" w:type="dxa"/>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3.15E-10</w:t>
            </w:r>
          </w:p>
        </w:tc>
        <w:tc>
          <w:tcPr>
            <w:tcW w:w="1134" w:type="dxa"/>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1.272</w:t>
            </w:r>
          </w:p>
        </w:tc>
        <w:tc>
          <w:tcPr>
            <w:tcW w:w="1134" w:type="dxa"/>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0.111</w:t>
            </w:r>
          </w:p>
        </w:tc>
        <w:tc>
          <w:tcPr>
            <w:tcW w:w="1134" w:type="dxa"/>
            <w:tcBorders>
              <w:right w:val="nil"/>
            </w:tcBorders>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0.1196</w:t>
            </w:r>
          </w:p>
        </w:tc>
      </w:tr>
      <w:tr w:rsidR="009E3773" w:rsidTr="00322F2E">
        <w:trPr>
          <w:trHeight w:val="255"/>
          <w:jc w:val="center"/>
        </w:trPr>
        <w:tc>
          <w:tcPr>
            <w:tcW w:w="1858" w:type="dxa"/>
            <w:tcBorders>
              <w:left w:val="nil"/>
            </w:tcBorders>
            <w:shd w:val="clear" w:color="auto" w:fill="auto"/>
            <w:noWrap/>
            <w:vAlign w:val="bottom"/>
            <w:hideMark/>
          </w:tcPr>
          <w:p w:rsidR="009E3773" w:rsidRDefault="009E3773" w:rsidP="00322F2E">
            <w:pPr>
              <w:rPr>
                <w:rFonts w:ascii="Arial" w:hAnsi="Arial" w:cs="Arial"/>
                <w:color w:val="000000"/>
                <w:sz w:val="20"/>
                <w:szCs w:val="20"/>
              </w:rPr>
            </w:pPr>
            <w:proofErr w:type="spellStart"/>
            <w:r>
              <w:rPr>
                <w:rFonts w:ascii="Arial" w:hAnsi="Arial" w:cs="Arial"/>
                <w:color w:val="000000"/>
                <w:sz w:val="20"/>
                <w:szCs w:val="20"/>
              </w:rPr>
              <w:t>Azelaic</w:t>
            </w:r>
            <w:proofErr w:type="spellEnd"/>
            <w:r>
              <w:rPr>
                <w:rFonts w:ascii="Arial" w:hAnsi="Arial" w:cs="Arial"/>
                <w:color w:val="000000"/>
                <w:sz w:val="20"/>
                <w:szCs w:val="20"/>
              </w:rPr>
              <w:t xml:space="preserve"> Acid</w:t>
            </w:r>
          </w:p>
        </w:tc>
        <w:tc>
          <w:tcPr>
            <w:tcW w:w="1134" w:type="dxa"/>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188</w:t>
            </w:r>
          </w:p>
        </w:tc>
        <w:tc>
          <w:tcPr>
            <w:tcW w:w="1276" w:type="dxa"/>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146.0</w:t>
            </w:r>
          </w:p>
        </w:tc>
        <w:tc>
          <w:tcPr>
            <w:tcW w:w="1134" w:type="dxa"/>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1.81E-10</w:t>
            </w:r>
          </w:p>
        </w:tc>
        <w:tc>
          <w:tcPr>
            <w:tcW w:w="1134" w:type="dxa"/>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1.0287</w:t>
            </w:r>
          </w:p>
        </w:tc>
        <w:tc>
          <w:tcPr>
            <w:tcW w:w="1134" w:type="dxa"/>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0.111</w:t>
            </w:r>
          </w:p>
        </w:tc>
        <w:tc>
          <w:tcPr>
            <w:tcW w:w="1134" w:type="dxa"/>
            <w:tcBorders>
              <w:right w:val="nil"/>
            </w:tcBorders>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0.1293</w:t>
            </w:r>
          </w:p>
        </w:tc>
      </w:tr>
      <w:tr w:rsidR="009E3773" w:rsidTr="00322F2E">
        <w:trPr>
          <w:trHeight w:val="255"/>
          <w:jc w:val="center"/>
        </w:trPr>
        <w:tc>
          <w:tcPr>
            <w:tcW w:w="1858" w:type="dxa"/>
            <w:tcBorders>
              <w:left w:val="nil"/>
            </w:tcBorders>
            <w:shd w:val="clear" w:color="auto" w:fill="auto"/>
            <w:noWrap/>
            <w:vAlign w:val="bottom"/>
            <w:hideMark/>
          </w:tcPr>
          <w:p w:rsidR="009E3773" w:rsidRDefault="009E3773" w:rsidP="00322F2E">
            <w:pPr>
              <w:rPr>
                <w:rFonts w:ascii="Arial" w:hAnsi="Arial" w:cs="Arial"/>
                <w:color w:val="000000"/>
                <w:sz w:val="20"/>
                <w:szCs w:val="20"/>
              </w:rPr>
            </w:pPr>
            <w:proofErr w:type="spellStart"/>
            <w:r>
              <w:rPr>
                <w:rFonts w:ascii="Arial" w:hAnsi="Arial" w:cs="Arial"/>
                <w:color w:val="000000"/>
                <w:sz w:val="20"/>
                <w:szCs w:val="20"/>
              </w:rPr>
              <w:t>Sebacic</w:t>
            </w:r>
            <w:proofErr w:type="spellEnd"/>
            <w:r>
              <w:rPr>
                <w:rFonts w:ascii="Arial" w:hAnsi="Arial" w:cs="Arial"/>
                <w:color w:val="000000"/>
                <w:sz w:val="20"/>
                <w:szCs w:val="20"/>
              </w:rPr>
              <w:t xml:space="preserve"> Acid</w:t>
            </w:r>
          </w:p>
        </w:tc>
        <w:tc>
          <w:tcPr>
            <w:tcW w:w="1134" w:type="dxa"/>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202</w:t>
            </w:r>
          </w:p>
        </w:tc>
        <w:tc>
          <w:tcPr>
            <w:tcW w:w="1276" w:type="dxa"/>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140.0</w:t>
            </w:r>
          </w:p>
        </w:tc>
        <w:tc>
          <w:tcPr>
            <w:tcW w:w="1134" w:type="dxa"/>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1.05E-10</w:t>
            </w:r>
          </w:p>
        </w:tc>
        <w:tc>
          <w:tcPr>
            <w:tcW w:w="1134" w:type="dxa"/>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1.209</w:t>
            </w:r>
          </w:p>
        </w:tc>
        <w:tc>
          <w:tcPr>
            <w:tcW w:w="1134" w:type="dxa"/>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0.111</w:t>
            </w:r>
          </w:p>
        </w:tc>
        <w:tc>
          <w:tcPr>
            <w:tcW w:w="1134" w:type="dxa"/>
            <w:tcBorders>
              <w:right w:val="nil"/>
            </w:tcBorders>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0.1389</w:t>
            </w:r>
          </w:p>
        </w:tc>
      </w:tr>
      <w:tr w:rsidR="009E3773" w:rsidTr="00322F2E">
        <w:trPr>
          <w:trHeight w:val="255"/>
          <w:jc w:val="center"/>
        </w:trPr>
        <w:tc>
          <w:tcPr>
            <w:tcW w:w="1858" w:type="dxa"/>
            <w:tcBorders>
              <w:left w:val="nil"/>
            </w:tcBorders>
            <w:shd w:val="clear" w:color="auto" w:fill="auto"/>
            <w:noWrap/>
            <w:vAlign w:val="bottom"/>
            <w:hideMark/>
          </w:tcPr>
          <w:p w:rsidR="009E3773" w:rsidRDefault="009E3773" w:rsidP="00322F2E">
            <w:pPr>
              <w:rPr>
                <w:rFonts w:ascii="Arial" w:hAnsi="Arial" w:cs="Arial"/>
                <w:color w:val="000000"/>
                <w:sz w:val="20"/>
                <w:szCs w:val="20"/>
              </w:rPr>
            </w:pPr>
            <w:r>
              <w:rPr>
                <w:rFonts w:ascii="Arial" w:hAnsi="Arial" w:cs="Arial"/>
                <w:color w:val="000000"/>
                <w:sz w:val="20"/>
                <w:szCs w:val="20"/>
              </w:rPr>
              <w:t>Dodecanoic Acid</w:t>
            </w:r>
          </w:p>
        </w:tc>
        <w:tc>
          <w:tcPr>
            <w:tcW w:w="1134" w:type="dxa"/>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230</w:t>
            </w:r>
          </w:p>
        </w:tc>
        <w:tc>
          <w:tcPr>
            <w:tcW w:w="1276" w:type="dxa"/>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119.0</w:t>
            </w:r>
          </w:p>
        </w:tc>
        <w:tc>
          <w:tcPr>
            <w:tcW w:w="1134" w:type="dxa"/>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1.72E-09</w:t>
            </w:r>
          </w:p>
        </w:tc>
        <w:tc>
          <w:tcPr>
            <w:tcW w:w="1134" w:type="dxa"/>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0.88</w:t>
            </w:r>
          </w:p>
        </w:tc>
        <w:tc>
          <w:tcPr>
            <w:tcW w:w="1134" w:type="dxa"/>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0.111</w:t>
            </w:r>
          </w:p>
        </w:tc>
        <w:tc>
          <w:tcPr>
            <w:tcW w:w="1134" w:type="dxa"/>
            <w:tcBorders>
              <w:right w:val="nil"/>
            </w:tcBorders>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0.1581</w:t>
            </w:r>
          </w:p>
        </w:tc>
      </w:tr>
      <w:tr w:rsidR="009E3773" w:rsidTr="00322F2E">
        <w:trPr>
          <w:trHeight w:val="255"/>
          <w:jc w:val="center"/>
        </w:trPr>
        <w:tc>
          <w:tcPr>
            <w:tcW w:w="1858" w:type="dxa"/>
            <w:tcBorders>
              <w:left w:val="nil"/>
              <w:bottom w:val="single" w:sz="12" w:space="0" w:color="auto"/>
            </w:tcBorders>
            <w:shd w:val="clear" w:color="auto" w:fill="auto"/>
            <w:noWrap/>
            <w:vAlign w:val="bottom"/>
            <w:hideMark/>
          </w:tcPr>
          <w:p w:rsidR="009E3773" w:rsidRDefault="009E3773" w:rsidP="00322F2E">
            <w:pPr>
              <w:rPr>
                <w:rFonts w:ascii="Arial" w:hAnsi="Arial" w:cs="Arial"/>
                <w:color w:val="000000"/>
                <w:sz w:val="20"/>
                <w:szCs w:val="20"/>
              </w:rPr>
            </w:pPr>
            <w:r>
              <w:rPr>
                <w:rFonts w:ascii="Arial" w:hAnsi="Arial" w:cs="Arial"/>
                <w:color w:val="000000"/>
                <w:sz w:val="20"/>
                <w:szCs w:val="20"/>
              </w:rPr>
              <w:t>Total</w:t>
            </w:r>
          </w:p>
        </w:tc>
        <w:tc>
          <w:tcPr>
            <w:tcW w:w="1134" w:type="dxa"/>
            <w:tcBorders>
              <w:bottom w:val="single" w:sz="12" w:space="0" w:color="auto"/>
            </w:tcBorders>
            <w:shd w:val="clear" w:color="auto" w:fill="auto"/>
            <w:noWrap/>
            <w:vAlign w:val="bottom"/>
            <w:hideMark/>
          </w:tcPr>
          <w:p w:rsidR="009E3773" w:rsidRPr="007E58DB" w:rsidRDefault="009E3773" w:rsidP="00322F2E">
            <w:pPr>
              <w:jc w:val="center"/>
              <w:rPr>
                <w:rFonts w:ascii="Arial" w:hAnsi="Arial" w:cs="Arial"/>
                <w:color w:val="000000"/>
                <w:sz w:val="20"/>
                <w:szCs w:val="20"/>
                <w:vertAlign w:val="superscript"/>
              </w:rPr>
            </w:pPr>
            <w:r>
              <w:rPr>
                <w:rFonts w:ascii="Arial" w:hAnsi="Arial" w:cs="Arial"/>
                <w:color w:val="000000"/>
                <w:sz w:val="20"/>
                <w:szCs w:val="20"/>
              </w:rPr>
              <w:t>161.44</w:t>
            </w:r>
            <w:r>
              <w:rPr>
                <w:rFonts w:ascii="Arial" w:hAnsi="Arial" w:cs="Arial"/>
                <w:color w:val="000000"/>
                <w:sz w:val="20"/>
                <w:szCs w:val="20"/>
                <w:vertAlign w:val="superscript"/>
              </w:rPr>
              <w:t>b</w:t>
            </w:r>
          </w:p>
        </w:tc>
        <w:tc>
          <w:tcPr>
            <w:tcW w:w="1276" w:type="dxa"/>
            <w:tcBorders>
              <w:bottom w:val="single" w:sz="12" w:space="0" w:color="auto"/>
            </w:tcBorders>
            <w:shd w:val="clear" w:color="auto" w:fill="auto"/>
            <w:noWrap/>
            <w:vAlign w:val="bottom"/>
            <w:hideMark/>
          </w:tcPr>
          <w:p w:rsidR="009E3773" w:rsidRDefault="009E3773" w:rsidP="00322F2E">
            <w:pPr>
              <w:jc w:val="center"/>
              <w:rPr>
                <w:rFonts w:ascii="Arial" w:hAnsi="Arial" w:cs="Arial"/>
                <w:color w:val="000000"/>
                <w:sz w:val="20"/>
                <w:szCs w:val="20"/>
              </w:rPr>
            </w:pPr>
          </w:p>
        </w:tc>
        <w:tc>
          <w:tcPr>
            <w:tcW w:w="1134" w:type="dxa"/>
            <w:tcBorders>
              <w:bottom w:val="single" w:sz="12" w:space="0" w:color="auto"/>
            </w:tcBorders>
            <w:shd w:val="clear" w:color="auto" w:fill="auto"/>
            <w:noWrap/>
            <w:vAlign w:val="bottom"/>
            <w:hideMark/>
          </w:tcPr>
          <w:p w:rsidR="009E3773" w:rsidRDefault="009E3773" w:rsidP="00322F2E">
            <w:pPr>
              <w:jc w:val="center"/>
              <w:rPr>
                <w:rFonts w:ascii="Arial" w:hAnsi="Arial" w:cs="Arial"/>
                <w:color w:val="000000"/>
                <w:sz w:val="20"/>
                <w:szCs w:val="20"/>
              </w:rPr>
            </w:pPr>
          </w:p>
        </w:tc>
        <w:tc>
          <w:tcPr>
            <w:tcW w:w="1134" w:type="dxa"/>
            <w:tcBorders>
              <w:bottom w:val="single" w:sz="12" w:space="0" w:color="auto"/>
            </w:tcBorders>
            <w:shd w:val="clear" w:color="auto" w:fill="auto"/>
            <w:noWrap/>
            <w:vAlign w:val="bottom"/>
            <w:hideMark/>
          </w:tcPr>
          <w:p w:rsidR="009E3773" w:rsidRPr="007E58DB" w:rsidRDefault="009E3773" w:rsidP="00322F2E">
            <w:pPr>
              <w:jc w:val="center"/>
              <w:rPr>
                <w:rFonts w:ascii="Arial" w:hAnsi="Arial" w:cs="Arial"/>
                <w:color w:val="000000"/>
                <w:sz w:val="20"/>
                <w:szCs w:val="20"/>
                <w:vertAlign w:val="superscript"/>
              </w:rPr>
            </w:pPr>
            <w:r>
              <w:rPr>
                <w:rFonts w:ascii="Arial" w:hAnsi="Arial" w:cs="Arial"/>
                <w:color w:val="000000"/>
                <w:sz w:val="20"/>
                <w:szCs w:val="20"/>
              </w:rPr>
              <w:t>1.242</w:t>
            </w:r>
            <w:r>
              <w:rPr>
                <w:rFonts w:ascii="Arial" w:hAnsi="Arial" w:cs="Arial"/>
                <w:color w:val="000000"/>
                <w:sz w:val="20"/>
                <w:szCs w:val="20"/>
                <w:vertAlign w:val="superscript"/>
              </w:rPr>
              <w:t>c</w:t>
            </w:r>
          </w:p>
        </w:tc>
        <w:tc>
          <w:tcPr>
            <w:tcW w:w="1134" w:type="dxa"/>
            <w:tcBorders>
              <w:bottom w:val="single" w:sz="12" w:space="0" w:color="auto"/>
            </w:tcBorders>
            <w:shd w:val="clear" w:color="auto" w:fill="auto"/>
            <w:noWrap/>
            <w:vAlign w:val="bottom"/>
            <w:hideMark/>
          </w:tcPr>
          <w:p w:rsidR="009E3773" w:rsidRDefault="009E3773" w:rsidP="00322F2E">
            <w:pPr>
              <w:jc w:val="center"/>
              <w:rPr>
                <w:rFonts w:ascii="Arial" w:hAnsi="Arial" w:cs="Arial"/>
                <w:color w:val="000000"/>
                <w:sz w:val="20"/>
                <w:szCs w:val="20"/>
              </w:rPr>
            </w:pPr>
          </w:p>
        </w:tc>
        <w:tc>
          <w:tcPr>
            <w:tcW w:w="1134" w:type="dxa"/>
            <w:tcBorders>
              <w:bottom w:val="single" w:sz="12" w:space="0" w:color="auto"/>
              <w:right w:val="nil"/>
            </w:tcBorders>
            <w:shd w:val="clear" w:color="auto" w:fill="auto"/>
            <w:noWrap/>
            <w:vAlign w:val="bottom"/>
            <w:hideMark/>
          </w:tcPr>
          <w:p w:rsidR="009E3773" w:rsidRDefault="009E3773" w:rsidP="00322F2E">
            <w:pPr>
              <w:jc w:val="center"/>
              <w:rPr>
                <w:rFonts w:ascii="Arial" w:hAnsi="Arial" w:cs="Arial"/>
                <w:color w:val="000000"/>
                <w:sz w:val="20"/>
                <w:szCs w:val="20"/>
              </w:rPr>
            </w:pPr>
          </w:p>
        </w:tc>
      </w:tr>
    </w:tbl>
    <w:p w:rsidR="009E3773" w:rsidRDefault="009E3773" w:rsidP="009E3773"/>
    <w:p w:rsidR="009E3773" w:rsidRPr="007C19D1" w:rsidRDefault="009E3773" w:rsidP="009E3773">
      <w:proofErr w:type="spellStart"/>
      <w:proofErr w:type="gramStart"/>
      <w:r>
        <w:rPr>
          <w:vertAlign w:val="superscript"/>
        </w:rPr>
        <w:t>a</w:t>
      </w:r>
      <w:r>
        <w:t>Cappa</w:t>
      </w:r>
      <w:proofErr w:type="spellEnd"/>
      <w:proofErr w:type="gramEnd"/>
      <w:r>
        <w:t xml:space="preserve"> et al. (2008)</w:t>
      </w:r>
    </w:p>
    <w:p w:rsidR="009E3773" w:rsidRDefault="009E3773" w:rsidP="009E3773">
      <w:proofErr w:type="spellStart"/>
      <w:proofErr w:type="gramStart"/>
      <w:r>
        <w:rPr>
          <w:vertAlign w:val="superscript"/>
        </w:rPr>
        <w:t>b</w:t>
      </w:r>
      <w:r>
        <w:t>Mole</w:t>
      </w:r>
      <w:proofErr w:type="spellEnd"/>
      <w:r>
        <w:t>-weighted</w:t>
      </w:r>
      <w:proofErr w:type="gramEnd"/>
    </w:p>
    <w:p w:rsidR="009E3773" w:rsidRDefault="009E3773" w:rsidP="009E3773">
      <w:proofErr w:type="spellStart"/>
      <w:proofErr w:type="gramStart"/>
      <w:r>
        <w:rPr>
          <w:vertAlign w:val="superscript"/>
        </w:rPr>
        <w:t>c</w:t>
      </w:r>
      <w:r>
        <w:t>Mass</w:t>
      </w:r>
      <w:proofErr w:type="spellEnd"/>
      <w:r>
        <w:t>-weighted</w:t>
      </w:r>
      <w:proofErr w:type="gramEnd"/>
    </w:p>
    <w:p w:rsidR="009E3773" w:rsidRDefault="009E3773" w:rsidP="009E3773"/>
    <w:p w:rsidR="009E3773" w:rsidRDefault="009E3773" w:rsidP="009E3773">
      <w:r>
        <w:t>Pure component saturation concentration calculation:</w:t>
      </w:r>
    </w:p>
    <w:p w:rsidR="009E3773" w:rsidRDefault="009E3773" w:rsidP="009E3773"/>
    <w:p w:rsidR="009E3773" w:rsidRPr="005F3872" w:rsidRDefault="009E3773" w:rsidP="009E3773">
      <w:pPr>
        <w:rPr>
          <w:rFonts w:eastAsiaTheme="minorEastAsia"/>
          <w:vertAlign w:val="subscript"/>
        </w:rPr>
      </w:pPr>
      <m:oMathPara>
        <m:oMath>
          <m:sSub>
            <m:sSubPr>
              <m:ctrlPr>
                <w:rPr>
                  <w:rFonts w:ascii="Cambria Math" w:hAnsi="Cambria Math"/>
                  <w:i/>
                  <w:vertAlign w:val="subscript"/>
                </w:rPr>
              </m:ctrlPr>
            </m:sSubPr>
            <m:e>
              <m:r>
                <w:rPr>
                  <w:rFonts w:ascii="Cambria Math" w:hAnsi="Cambria Math"/>
                  <w:vertAlign w:val="subscript"/>
                </w:rPr>
                <m:t>P</m:t>
              </m:r>
            </m:e>
            <m:sub>
              <m:r>
                <w:rPr>
                  <w:rFonts w:ascii="Cambria Math" w:hAnsi="Cambria Math"/>
                  <w:vertAlign w:val="subscript"/>
                </w:rPr>
                <m:t>vap</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P</m:t>
              </m:r>
            </m:e>
            <m:sub>
              <m:r>
                <w:rPr>
                  <w:rFonts w:ascii="Cambria Math" w:hAnsi="Cambria Math"/>
                  <w:vertAlign w:val="subscript"/>
                </w:rPr>
                <m:t>vap,0</m:t>
              </m:r>
            </m:sub>
          </m:sSub>
          <m:sSup>
            <m:sSupPr>
              <m:ctrlPr>
                <w:rPr>
                  <w:rFonts w:ascii="Cambria Math" w:hAnsi="Cambria Math"/>
                  <w:i/>
                  <w:vertAlign w:val="subscript"/>
                </w:rPr>
              </m:ctrlPr>
            </m:sSupPr>
            <m:e>
              <m:r>
                <w:rPr>
                  <w:rFonts w:ascii="Cambria Math" w:hAnsi="Cambria Math"/>
                  <w:vertAlign w:val="subscript"/>
                </w:rPr>
                <m:t>e</m:t>
              </m:r>
            </m:e>
            <m:sup>
              <m:d>
                <m:dPr>
                  <m:begChr m:val="["/>
                  <m:endChr m:val="]"/>
                  <m:ctrlPr>
                    <w:rPr>
                      <w:rFonts w:ascii="Cambria Math" w:hAnsi="Cambria Math"/>
                      <w:i/>
                      <w:vertAlign w:val="subscript"/>
                    </w:rPr>
                  </m:ctrlPr>
                </m:dPr>
                <m:e>
                  <m:f>
                    <m:fPr>
                      <m:ctrlPr>
                        <w:rPr>
                          <w:rFonts w:ascii="Cambria Math" w:hAnsi="Cambria Math"/>
                          <w:i/>
                          <w:vertAlign w:val="subscript"/>
                        </w:rPr>
                      </m:ctrlPr>
                    </m:fPr>
                    <m:num>
                      <m:r>
                        <w:rPr>
                          <w:rFonts w:ascii="Cambria Math" w:hAnsi="Cambria Math"/>
                          <w:vertAlign w:val="subscript"/>
                        </w:rPr>
                        <m:t>-∆H</m:t>
                      </m:r>
                    </m:num>
                    <m:den>
                      <m:r>
                        <w:rPr>
                          <w:rFonts w:ascii="Cambria Math" w:hAnsi="Cambria Math"/>
                          <w:vertAlign w:val="subscript"/>
                        </w:rPr>
                        <m:t>R</m:t>
                      </m:r>
                    </m:den>
                  </m:f>
                  <m:d>
                    <m:dPr>
                      <m:ctrlPr>
                        <w:rPr>
                          <w:rFonts w:ascii="Cambria Math" w:hAnsi="Cambria Math"/>
                          <w:i/>
                          <w:vertAlign w:val="subscript"/>
                        </w:rPr>
                      </m:ctrlPr>
                    </m:dPr>
                    <m:e>
                      <m:f>
                        <m:fPr>
                          <m:ctrlPr>
                            <w:rPr>
                              <w:rFonts w:ascii="Cambria Math" w:hAnsi="Cambria Math"/>
                              <w:i/>
                              <w:vertAlign w:val="subscript"/>
                            </w:rPr>
                          </m:ctrlPr>
                        </m:fPr>
                        <m:num>
                          <m:r>
                            <w:rPr>
                              <w:rFonts w:ascii="Cambria Math" w:hAnsi="Cambria Math"/>
                              <w:vertAlign w:val="subscript"/>
                            </w:rPr>
                            <m:t>1</m:t>
                          </m:r>
                        </m:num>
                        <m:den>
                          <m:r>
                            <w:rPr>
                              <w:rFonts w:ascii="Cambria Math" w:hAnsi="Cambria Math"/>
                              <w:vertAlign w:val="subscript"/>
                            </w:rPr>
                            <m:t>T</m:t>
                          </m:r>
                        </m:den>
                      </m:f>
                      <m:r>
                        <w:rPr>
                          <w:rFonts w:ascii="Cambria Math" w:hAnsi="Cambria Math"/>
                          <w:vertAlign w:val="subscript"/>
                        </w:rPr>
                        <m:t>-</m:t>
                      </m:r>
                      <m:f>
                        <m:fPr>
                          <m:ctrlPr>
                            <w:rPr>
                              <w:rFonts w:ascii="Cambria Math" w:hAnsi="Cambria Math"/>
                              <w:i/>
                              <w:vertAlign w:val="subscript"/>
                            </w:rPr>
                          </m:ctrlPr>
                        </m:fPr>
                        <m:num>
                          <m:r>
                            <w:rPr>
                              <w:rFonts w:ascii="Cambria Math" w:hAnsi="Cambria Math"/>
                              <w:vertAlign w:val="subscript"/>
                            </w:rPr>
                            <m:t>1</m:t>
                          </m:r>
                        </m:num>
                        <m:den>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0</m:t>
                              </m:r>
                            </m:sub>
                          </m:sSub>
                        </m:den>
                      </m:f>
                    </m:e>
                  </m:d>
                </m:e>
              </m:d>
            </m:sup>
          </m:sSup>
        </m:oMath>
      </m:oMathPara>
    </w:p>
    <w:p w:rsidR="009E3773" w:rsidRPr="005F3872" w:rsidRDefault="009E3773" w:rsidP="009E3773">
      <w:pPr>
        <w:rPr>
          <w:rFonts w:eastAsiaTheme="minorEastAsia"/>
          <w:vertAlign w:val="subscript"/>
        </w:rPr>
      </w:pPr>
    </w:p>
    <w:p w:rsidR="009E3773" w:rsidRPr="005F3872" w:rsidRDefault="009E3773" w:rsidP="009E3773">
      <w:pPr>
        <w:rPr>
          <w:rFonts w:eastAsiaTheme="minorEastAsia"/>
          <w:vertAlign w:val="subscript"/>
        </w:rPr>
      </w:pPr>
      <m:oMathPara>
        <m:oMath>
          <m:sSup>
            <m:sSupPr>
              <m:ctrlPr>
                <w:rPr>
                  <w:rFonts w:ascii="Cambria Math" w:eastAsiaTheme="minorEastAsia" w:hAnsi="Cambria Math"/>
                  <w:i/>
                  <w:vertAlign w:val="subscript"/>
                </w:rPr>
              </m:ctrlPr>
            </m:sSupPr>
            <m:e>
              <m:r>
                <w:rPr>
                  <w:rFonts w:ascii="Cambria Math" w:eastAsiaTheme="minorEastAsia" w:hAnsi="Cambria Math"/>
                  <w:vertAlign w:val="subscript"/>
                </w:rPr>
                <m:t>C</m:t>
              </m:r>
            </m:e>
            <m:sup>
              <m:r>
                <w:rPr>
                  <w:rFonts w:ascii="Cambria Math" w:eastAsiaTheme="minorEastAsia" w:hAnsi="Cambria Math"/>
                  <w:vertAlign w:val="subscript"/>
                </w:rPr>
                <m:t>*</m:t>
              </m:r>
            </m:sup>
          </m:sSup>
          <m:r>
            <w:rPr>
              <w:rFonts w:ascii="Cambria Math" w:eastAsiaTheme="minorEastAsia" w:hAnsi="Cambria Math"/>
              <w:vertAlign w:val="subscript"/>
            </w:rPr>
            <m:t>=</m:t>
          </m:r>
          <m:f>
            <m:fPr>
              <m:ctrlPr>
                <w:rPr>
                  <w:rFonts w:ascii="Cambria Math" w:eastAsiaTheme="minorEastAsia" w:hAnsi="Cambria Math"/>
                  <w:i/>
                  <w:vertAlign w:val="subscript"/>
                </w:rPr>
              </m:ctrlPr>
            </m:fPr>
            <m:num>
              <m:sSub>
                <m:sSubPr>
                  <m:ctrlPr>
                    <w:rPr>
                      <w:rFonts w:ascii="Cambria Math" w:eastAsiaTheme="minorEastAsia" w:hAnsi="Cambria Math"/>
                      <w:i/>
                      <w:vertAlign w:val="subscript"/>
                    </w:rPr>
                  </m:ctrlPr>
                </m:sSubPr>
                <m:e>
                  <m:r>
                    <w:rPr>
                      <w:rFonts w:ascii="Cambria Math" w:eastAsiaTheme="minorEastAsia" w:hAnsi="Cambria Math"/>
                      <w:vertAlign w:val="subscript"/>
                    </w:rPr>
                    <m:t>P</m:t>
                  </m:r>
                </m:e>
                <m:sub>
                  <m:r>
                    <w:rPr>
                      <w:rFonts w:ascii="Cambria Math" w:eastAsiaTheme="minorEastAsia" w:hAnsi="Cambria Math"/>
                      <w:vertAlign w:val="subscript"/>
                    </w:rPr>
                    <m:t>vap</m:t>
                  </m:r>
                </m:sub>
              </m:sSub>
            </m:num>
            <m:den>
              <m:r>
                <w:rPr>
                  <w:rFonts w:ascii="Cambria Math" w:eastAsiaTheme="minorEastAsia" w:hAnsi="Cambria Math"/>
                  <w:vertAlign w:val="subscript"/>
                </w:rPr>
                <m:t>RT</m:t>
              </m:r>
            </m:den>
          </m:f>
          <m:r>
            <w:rPr>
              <w:rFonts w:ascii="Cambria Math" w:eastAsiaTheme="minorEastAsia" w:hAnsi="Cambria Math"/>
              <w:vertAlign w:val="subscript"/>
            </w:rPr>
            <m:t>∙MW</m:t>
          </m:r>
        </m:oMath>
      </m:oMathPara>
    </w:p>
    <w:p w:rsidR="009E3773" w:rsidRDefault="009E3773" w:rsidP="009E3773"/>
    <w:p w:rsidR="009E3773" w:rsidRDefault="009E3773" w:rsidP="009E3773">
      <w:r>
        <w:t xml:space="preserve">Saturation Concentration </w:t>
      </w:r>
      <w:r w:rsidRPr="005F3872">
        <w:rPr>
          <w:b/>
        </w:rPr>
        <w:t>(mg m</w:t>
      </w:r>
      <w:r w:rsidRPr="005F3872">
        <w:rPr>
          <w:b/>
          <w:vertAlign w:val="superscript"/>
        </w:rPr>
        <w:t>-3</w:t>
      </w:r>
      <w:r w:rsidRPr="005F3872">
        <w:rPr>
          <w:b/>
        </w:rPr>
        <w:t>)</w:t>
      </w:r>
      <w:r>
        <w:t xml:space="preserve"> as a function of temperature:</w:t>
      </w:r>
    </w:p>
    <w:p w:rsidR="009E3773" w:rsidRDefault="009E3773" w:rsidP="009E3773"/>
    <w:tbl>
      <w:tblPr>
        <w:tblW w:w="7755" w:type="dxa"/>
        <w:jc w:val="center"/>
        <w:tblInd w:w="93"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858"/>
        <w:gridCol w:w="1134"/>
        <w:gridCol w:w="1276"/>
        <w:gridCol w:w="1134"/>
        <w:gridCol w:w="1276"/>
        <w:gridCol w:w="1078"/>
      </w:tblGrid>
      <w:tr w:rsidR="009E3773" w:rsidRPr="005F3872" w:rsidTr="00322F2E">
        <w:trPr>
          <w:trHeight w:val="255"/>
          <w:jc w:val="center"/>
        </w:trPr>
        <w:tc>
          <w:tcPr>
            <w:tcW w:w="1858" w:type="dxa"/>
            <w:tcBorders>
              <w:top w:val="single" w:sz="12" w:space="0" w:color="auto"/>
              <w:left w:val="nil"/>
              <w:bottom w:val="single" w:sz="12" w:space="0" w:color="auto"/>
            </w:tcBorders>
            <w:shd w:val="clear" w:color="auto" w:fill="auto"/>
            <w:vAlign w:val="bottom"/>
            <w:hideMark/>
          </w:tcPr>
          <w:p w:rsidR="009E3773" w:rsidRPr="005F3872" w:rsidRDefault="009E3773" w:rsidP="00322F2E">
            <w:pPr>
              <w:rPr>
                <w:rFonts w:ascii="Arial" w:eastAsia="Times New Roman" w:hAnsi="Arial" w:cs="Arial"/>
                <w:b/>
                <w:bCs/>
                <w:color w:val="000000"/>
                <w:sz w:val="20"/>
                <w:szCs w:val="20"/>
              </w:rPr>
            </w:pPr>
            <w:r w:rsidRPr="005F3872">
              <w:rPr>
                <w:rFonts w:ascii="Arial" w:eastAsia="Times New Roman" w:hAnsi="Arial" w:cs="Arial"/>
                <w:b/>
                <w:bCs/>
                <w:color w:val="000000"/>
                <w:sz w:val="20"/>
                <w:szCs w:val="20"/>
              </w:rPr>
              <w:t xml:space="preserve">T </w:t>
            </w:r>
            <w:r w:rsidRPr="007159A9">
              <w:rPr>
                <w:rFonts w:ascii="Arial" w:eastAsia="Times New Roman" w:hAnsi="Arial" w:cs="Arial"/>
                <w:b/>
                <w:bCs/>
                <w:color w:val="000000"/>
                <w:sz w:val="20"/>
                <w:szCs w:val="20"/>
              </w:rPr>
              <w:t>(</w:t>
            </w:r>
            <w:proofErr w:type="spellStart"/>
            <w:r w:rsidRPr="005F3872">
              <w:rPr>
                <w:rFonts w:ascii="Arial" w:eastAsia="Times New Roman" w:hAnsi="Arial" w:cs="Arial"/>
                <w:b/>
                <w:bCs/>
                <w:color w:val="000000"/>
                <w:sz w:val="20"/>
                <w:szCs w:val="20"/>
              </w:rPr>
              <w:t>deg</w:t>
            </w:r>
            <w:proofErr w:type="spellEnd"/>
            <w:r w:rsidRPr="005F3872">
              <w:rPr>
                <w:rFonts w:ascii="Arial" w:eastAsia="Times New Roman" w:hAnsi="Arial" w:cs="Arial"/>
                <w:b/>
                <w:bCs/>
                <w:color w:val="000000"/>
                <w:sz w:val="20"/>
                <w:szCs w:val="20"/>
              </w:rPr>
              <w:t xml:space="preserve"> C</w:t>
            </w:r>
            <w:r w:rsidRPr="007159A9">
              <w:rPr>
                <w:rFonts w:ascii="Arial" w:eastAsia="Times New Roman" w:hAnsi="Arial" w:cs="Arial"/>
                <w:b/>
                <w:bCs/>
                <w:color w:val="000000"/>
                <w:sz w:val="20"/>
                <w:szCs w:val="20"/>
              </w:rPr>
              <w:t>)</w:t>
            </w:r>
          </w:p>
        </w:tc>
        <w:tc>
          <w:tcPr>
            <w:tcW w:w="1134" w:type="dxa"/>
            <w:tcBorders>
              <w:top w:val="single" w:sz="12" w:space="0" w:color="auto"/>
              <w:bottom w:val="single" w:sz="12" w:space="0" w:color="auto"/>
            </w:tcBorders>
            <w:shd w:val="clear" w:color="auto" w:fill="auto"/>
            <w:noWrap/>
            <w:vAlign w:val="bottom"/>
            <w:hideMark/>
          </w:tcPr>
          <w:p w:rsidR="009E3773" w:rsidRPr="005F3872" w:rsidRDefault="009E3773" w:rsidP="00322F2E">
            <w:pPr>
              <w:jc w:val="center"/>
              <w:rPr>
                <w:rFonts w:ascii="Arial" w:eastAsia="Times New Roman" w:hAnsi="Arial" w:cs="Arial"/>
                <w:b/>
                <w:color w:val="000000"/>
                <w:sz w:val="20"/>
                <w:szCs w:val="20"/>
              </w:rPr>
            </w:pPr>
            <w:r w:rsidRPr="005F3872">
              <w:rPr>
                <w:rFonts w:ascii="Arial" w:eastAsia="Times New Roman" w:hAnsi="Arial" w:cs="Arial"/>
                <w:b/>
                <w:color w:val="000000"/>
                <w:sz w:val="20"/>
                <w:szCs w:val="20"/>
              </w:rPr>
              <w:t>5</w:t>
            </w:r>
          </w:p>
        </w:tc>
        <w:tc>
          <w:tcPr>
            <w:tcW w:w="1276" w:type="dxa"/>
            <w:tcBorders>
              <w:top w:val="single" w:sz="12" w:space="0" w:color="auto"/>
              <w:bottom w:val="single" w:sz="12" w:space="0" w:color="auto"/>
            </w:tcBorders>
            <w:shd w:val="clear" w:color="auto" w:fill="auto"/>
            <w:noWrap/>
            <w:vAlign w:val="bottom"/>
            <w:hideMark/>
          </w:tcPr>
          <w:p w:rsidR="009E3773" w:rsidRPr="005F3872" w:rsidRDefault="009E3773" w:rsidP="00322F2E">
            <w:pPr>
              <w:jc w:val="center"/>
              <w:rPr>
                <w:rFonts w:ascii="Arial" w:eastAsia="Times New Roman" w:hAnsi="Arial" w:cs="Arial"/>
                <w:b/>
                <w:color w:val="000000"/>
                <w:sz w:val="20"/>
                <w:szCs w:val="20"/>
              </w:rPr>
            </w:pPr>
            <w:r w:rsidRPr="005F3872">
              <w:rPr>
                <w:rFonts w:ascii="Arial" w:eastAsia="Times New Roman" w:hAnsi="Arial" w:cs="Arial"/>
                <w:b/>
                <w:color w:val="000000"/>
                <w:sz w:val="20"/>
                <w:szCs w:val="20"/>
              </w:rPr>
              <w:t>20</w:t>
            </w:r>
          </w:p>
        </w:tc>
        <w:tc>
          <w:tcPr>
            <w:tcW w:w="1134" w:type="dxa"/>
            <w:tcBorders>
              <w:top w:val="single" w:sz="12" w:space="0" w:color="auto"/>
              <w:bottom w:val="single" w:sz="12" w:space="0" w:color="auto"/>
            </w:tcBorders>
            <w:shd w:val="clear" w:color="auto" w:fill="auto"/>
            <w:noWrap/>
            <w:vAlign w:val="bottom"/>
            <w:hideMark/>
          </w:tcPr>
          <w:p w:rsidR="009E3773" w:rsidRPr="005F3872" w:rsidRDefault="009E3773" w:rsidP="00322F2E">
            <w:pPr>
              <w:jc w:val="center"/>
              <w:rPr>
                <w:rFonts w:ascii="Arial" w:eastAsia="Times New Roman" w:hAnsi="Arial" w:cs="Arial"/>
                <w:b/>
                <w:color w:val="000000"/>
                <w:sz w:val="20"/>
                <w:szCs w:val="20"/>
              </w:rPr>
            </w:pPr>
            <w:r w:rsidRPr="005F3872">
              <w:rPr>
                <w:rFonts w:ascii="Arial" w:eastAsia="Times New Roman" w:hAnsi="Arial" w:cs="Arial"/>
                <w:b/>
                <w:color w:val="000000"/>
                <w:sz w:val="20"/>
                <w:szCs w:val="20"/>
              </w:rPr>
              <w:t>70</w:t>
            </w:r>
          </w:p>
        </w:tc>
        <w:tc>
          <w:tcPr>
            <w:tcW w:w="1276" w:type="dxa"/>
            <w:tcBorders>
              <w:top w:val="single" w:sz="12" w:space="0" w:color="auto"/>
              <w:bottom w:val="single" w:sz="12" w:space="0" w:color="auto"/>
            </w:tcBorders>
            <w:shd w:val="clear" w:color="auto" w:fill="auto"/>
            <w:noWrap/>
            <w:vAlign w:val="bottom"/>
            <w:hideMark/>
          </w:tcPr>
          <w:p w:rsidR="009E3773" w:rsidRPr="005F3872" w:rsidRDefault="009E3773" w:rsidP="00322F2E">
            <w:pPr>
              <w:jc w:val="center"/>
              <w:rPr>
                <w:rFonts w:ascii="Arial" w:eastAsia="Times New Roman" w:hAnsi="Arial" w:cs="Arial"/>
                <w:b/>
                <w:color w:val="000000"/>
                <w:sz w:val="20"/>
                <w:szCs w:val="20"/>
              </w:rPr>
            </w:pPr>
            <w:r w:rsidRPr="005F3872">
              <w:rPr>
                <w:rFonts w:ascii="Arial" w:eastAsia="Times New Roman" w:hAnsi="Arial" w:cs="Arial"/>
                <w:b/>
                <w:color w:val="000000"/>
                <w:sz w:val="20"/>
                <w:szCs w:val="20"/>
              </w:rPr>
              <w:t>100</w:t>
            </w:r>
          </w:p>
        </w:tc>
        <w:tc>
          <w:tcPr>
            <w:tcW w:w="1077" w:type="dxa"/>
            <w:tcBorders>
              <w:top w:val="single" w:sz="12" w:space="0" w:color="auto"/>
              <w:bottom w:val="single" w:sz="12" w:space="0" w:color="auto"/>
              <w:right w:val="nil"/>
            </w:tcBorders>
            <w:shd w:val="clear" w:color="auto" w:fill="auto"/>
            <w:noWrap/>
            <w:vAlign w:val="bottom"/>
            <w:hideMark/>
          </w:tcPr>
          <w:p w:rsidR="009E3773" w:rsidRPr="005F3872" w:rsidRDefault="009E3773" w:rsidP="00322F2E">
            <w:pPr>
              <w:jc w:val="center"/>
              <w:rPr>
                <w:rFonts w:ascii="Arial" w:eastAsia="Times New Roman" w:hAnsi="Arial" w:cs="Arial"/>
                <w:b/>
                <w:color w:val="000000"/>
                <w:sz w:val="20"/>
                <w:szCs w:val="20"/>
              </w:rPr>
            </w:pPr>
            <w:r w:rsidRPr="005F3872">
              <w:rPr>
                <w:rFonts w:ascii="Arial" w:eastAsia="Times New Roman" w:hAnsi="Arial" w:cs="Arial"/>
                <w:b/>
                <w:color w:val="000000"/>
                <w:sz w:val="20"/>
                <w:szCs w:val="20"/>
              </w:rPr>
              <w:t>120</w:t>
            </w:r>
          </w:p>
        </w:tc>
      </w:tr>
      <w:tr w:rsidR="009E3773" w:rsidRPr="005F3872" w:rsidTr="00322F2E">
        <w:trPr>
          <w:trHeight w:val="255"/>
          <w:jc w:val="center"/>
        </w:trPr>
        <w:tc>
          <w:tcPr>
            <w:tcW w:w="1858" w:type="dxa"/>
            <w:tcBorders>
              <w:top w:val="single" w:sz="12" w:space="0" w:color="auto"/>
              <w:left w:val="nil"/>
            </w:tcBorders>
            <w:shd w:val="clear" w:color="auto" w:fill="auto"/>
            <w:noWrap/>
            <w:vAlign w:val="bottom"/>
            <w:hideMark/>
          </w:tcPr>
          <w:p w:rsidR="009E3773" w:rsidRPr="005F3872" w:rsidRDefault="009E3773" w:rsidP="00322F2E">
            <w:pPr>
              <w:rPr>
                <w:rFonts w:ascii="Arial" w:eastAsia="Times New Roman" w:hAnsi="Arial" w:cs="Arial"/>
                <w:color w:val="000000"/>
                <w:sz w:val="20"/>
                <w:szCs w:val="20"/>
              </w:rPr>
            </w:pPr>
            <w:proofErr w:type="spellStart"/>
            <w:r w:rsidRPr="005F3872">
              <w:rPr>
                <w:rFonts w:ascii="Arial" w:eastAsia="Times New Roman" w:hAnsi="Arial" w:cs="Arial"/>
                <w:color w:val="000000"/>
                <w:sz w:val="20"/>
                <w:szCs w:val="20"/>
              </w:rPr>
              <w:t>Malonic</w:t>
            </w:r>
            <w:proofErr w:type="spellEnd"/>
            <w:r w:rsidRPr="005F3872">
              <w:rPr>
                <w:rFonts w:ascii="Arial" w:eastAsia="Times New Roman" w:hAnsi="Arial" w:cs="Arial"/>
                <w:color w:val="000000"/>
                <w:sz w:val="20"/>
                <w:szCs w:val="20"/>
              </w:rPr>
              <w:t xml:space="preserve"> Acid</w:t>
            </w:r>
          </w:p>
        </w:tc>
        <w:tc>
          <w:tcPr>
            <w:tcW w:w="1134" w:type="dxa"/>
            <w:tcBorders>
              <w:top w:val="single" w:sz="12" w:space="0" w:color="auto"/>
            </w:tcBorders>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3.34E-04</w:t>
            </w:r>
          </w:p>
        </w:tc>
        <w:tc>
          <w:tcPr>
            <w:tcW w:w="1276" w:type="dxa"/>
            <w:tcBorders>
              <w:top w:val="single" w:sz="12" w:space="0" w:color="auto"/>
            </w:tcBorders>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7.34E-03</w:t>
            </w:r>
          </w:p>
        </w:tc>
        <w:tc>
          <w:tcPr>
            <w:tcW w:w="1134" w:type="dxa"/>
            <w:tcBorders>
              <w:top w:val="single" w:sz="12" w:space="0" w:color="auto"/>
            </w:tcBorders>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3.06E+01</w:t>
            </w:r>
          </w:p>
        </w:tc>
        <w:tc>
          <w:tcPr>
            <w:tcW w:w="1276" w:type="dxa"/>
            <w:tcBorders>
              <w:top w:val="single" w:sz="12" w:space="0" w:color="auto"/>
            </w:tcBorders>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1.54E+03</w:t>
            </w:r>
          </w:p>
        </w:tc>
        <w:tc>
          <w:tcPr>
            <w:tcW w:w="1077" w:type="dxa"/>
            <w:tcBorders>
              <w:top w:val="single" w:sz="12" w:space="0" w:color="auto"/>
              <w:right w:val="nil"/>
            </w:tcBorders>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1.50E+04</w:t>
            </w:r>
          </w:p>
        </w:tc>
      </w:tr>
      <w:tr w:rsidR="009E3773" w:rsidRPr="005F3872" w:rsidTr="00322F2E">
        <w:trPr>
          <w:trHeight w:val="255"/>
          <w:jc w:val="center"/>
        </w:trPr>
        <w:tc>
          <w:tcPr>
            <w:tcW w:w="1858" w:type="dxa"/>
            <w:tcBorders>
              <w:left w:val="nil"/>
            </w:tcBorders>
            <w:shd w:val="clear" w:color="auto" w:fill="auto"/>
            <w:noWrap/>
            <w:vAlign w:val="bottom"/>
            <w:hideMark/>
          </w:tcPr>
          <w:p w:rsidR="009E3773" w:rsidRPr="005F3872" w:rsidRDefault="009E3773" w:rsidP="00322F2E">
            <w:pPr>
              <w:rPr>
                <w:rFonts w:ascii="Arial" w:eastAsia="Times New Roman" w:hAnsi="Arial" w:cs="Arial"/>
                <w:color w:val="000000"/>
                <w:sz w:val="20"/>
                <w:szCs w:val="20"/>
              </w:rPr>
            </w:pPr>
            <w:r w:rsidRPr="005F3872">
              <w:rPr>
                <w:rFonts w:ascii="Arial" w:eastAsia="Times New Roman" w:hAnsi="Arial" w:cs="Arial"/>
                <w:color w:val="000000"/>
                <w:sz w:val="20"/>
                <w:szCs w:val="20"/>
              </w:rPr>
              <w:t>Succinic Acid</w:t>
            </w:r>
          </w:p>
        </w:tc>
        <w:tc>
          <w:tcPr>
            <w:tcW w:w="1134" w:type="dxa"/>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9.69E-04</w:t>
            </w:r>
          </w:p>
        </w:tc>
        <w:tc>
          <w:tcPr>
            <w:tcW w:w="1276" w:type="dxa"/>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6.53E-03</w:t>
            </w:r>
          </w:p>
        </w:tc>
        <w:tc>
          <w:tcPr>
            <w:tcW w:w="1134" w:type="dxa"/>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1.11E+00</w:t>
            </w:r>
          </w:p>
        </w:tc>
        <w:tc>
          <w:tcPr>
            <w:tcW w:w="1276" w:type="dxa"/>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1.24E+01</w:t>
            </w:r>
          </w:p>
        </w:tc>
        <w:tc>
          <w:tcPr>
            <w:tcW w:w="1077" w:type="dxa"/>
            <w:tcBorders>
              <w:right w:val="nil"/>
            </w:tcBorders>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5.03E+01</w:t>
            </w:r>
          </w:p>
        </w:tc>
      </w:tr>
      <w:tr w:rsidR="009E3773" w:rsidRPr="005F3872" w:rsidTr="00322F2E">
        <w:trPr>
          <w:trHeight w:val="255"/>
          <w:jc w:val="center"/>
        </w:trPr>
        <w:tc>
          <w:tcPr>
            <w:tcW w:w="1858" w:type="dxa"/>
            <w:tcBorders>
              <w:left w:val="nil"/>
            </w:tcBorders>
            <w:shd w:val="clear" w:color="auto" w:fill="auto"/>
            <w:noWrap/>
            <w:vAlign w:val="bottom"/>
            <w:hideMark/>
          </w:tcPr>
          <w:p w:rsidR="009E3773" w:rsidRPr="005F3872" w:rsidRDefault="009E3773" w:rsidP="00322F2E">
            <w:pPr>
              <w:rPr>
                <w:rFonts w:ascii="Arial" w:eastAsia="Times New Roman" w:hAnsi="Arial" w:cs="Arial"/>
                <w:color w:val="000000"/>
                <w:sz w:val="20"/>
                <w:szCs w:val="20"/>
              </w:rPr>
            </w:pPr>
            <w:proofErr w:type="spellStart"/>
            <w:r w:rsidRPr="005F3872">
              <w:rPr>
                <w:rFonts w:ascii="Arial" w:eastAsia="Times New Roman" w:hAnsi="Arial" w:cs="Arial"/>
                <w:color w:val="000000"/>
                <w:sz w:val="20"/>
                <w:szCs w:val="20"/>
              </w:rPr>
              <w:t>Glutaric</w:t>
            </w:r>
            <w:proofErr w:type="spellEnd"/>
            <w:r w:rsidRPr="005F3872">
              <w:rPr>
                <w:rFonts w:ascii="Arial" w:eastAsia="Times New Roman" w:hAnsi="Arial" w:cs="Arial"/>
                <w:color w:val="000000"/>
                <w:sz w:val="20"/>
                <w:szCs w:val="20"/>
              </w:rPr>
              <w:t xml:space="preserve"> Acid</w:t>
            </w:r>
          </w:p>
        </w:tc>
        <w:tc>
          <w:tcPr>
            <w:tcW w:w="1134" w:type="dxa"/>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1.14E-04</w:t>
            </w:r>
          </w:p>
        </w:tc>
        <w:tc>
          <w:tcPr>
            <w:tcW w:w="1276" w:type="dxa"/>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2.45E-03</w:t>
            </w:r>
          </w:p>
        </w:tc>
        <w:tc>
          <w:tcPr>
            <w:tcW w:w="1134" w:type="dxa"/>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9.68E+00</w:t>
            </w:r>
          </w:p>
        </w:tc>
        <w:tc>
          <w:tcPr>
            <w:tcW w:w="1276" w:type="dxa"/>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4.75E+02</w:t>
            </w:r>
          </w:p>
        </w:tc>
        <w:tc>
          <w:tcPr>
            <w:tcW w:w="1077" w:type="dxa"/>
            <w:tcBorders>
              <w:right w:val="nil"/>
            </w:tcBorders>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4.56E+03</w:t>
            </w:r>
          </w:p>
        </w:tc>
      </w:tr>
      <w:tr w:rsidR="009E3773" w:rsidRPr="005F3872" w:rsidTr="00322F2E">
        <w:trPr>
          <w:trHeight w:val="255"/>
          <w:jc w:val="center"/>
        </w:trPr>
        <w:tc>
          <w:tcPr>
            <w:tcW w:w="1858" w:type="dxa"/>
            <w:tcBorders>
              <w:left w:val="nil"/>
            </w:tcBorders>
            <w:shd w:val="clear" w:color="auto" w:fill="auto"/>
            <w:noWrap/>
            <w:vAlign w:val="bottom"/>
            <w:hideMark/>
          </w:tcPr>
          <w:p w:rsidR="009E3773" w:rsidRPr="005F3872" w:rsidRDefault="009E3773" w:rsidP="00322F2E">
            <w:pPr>
              <w:rPr>
                <w:rFonts w:ascii="Arial" w:eastAsia="Times New Roman" w:hAnsi="Arial" w:cs="Arial"/>
                <w:color w:val="000000"/>
                <w:sz w:val="20"/>
                <w:szCs w:val="20"/>
              </w:rPr>
            </w:pPr>
            <w:proofErr w:type="spellStart"/>
            <w:r w:rsidRPr="005F3872">
              <w:rPr>
                <w:rFonts w:ascii="Arial" w:eastAsia="Times New Roman" w:hAnsi="Arial" w:cs="Arial"/>
                <w:color w:val="000000"/>
                <w:sz w:val="20"/>
                <w:szCs w:val="20"/>
              </w:rPr>
              <w:t>Adipic</w:t>
            </w:r>
            <w:proofErr w:type="spellEnd"/>
            <w:r w:rsidRPr="005F3872">
              <w:rPr>
                <w:rFonts w:ascii="Arial" w:eastAsia="Times New Roman" w:hAnsi="Arial" w:cs="Arial"/>
                <w:color w:val="000000"/>
                <w:sz w:val="20"/>
                <w:szCs w:val="20"/>
              </w:rPr>
              <w:t xml:space="preserve"> Acid</w:t>
            </w:r>
          </w:p>
        </w:tc>
        <w:tc>
          <w:tcPr>
            <w:tcW w:w="1134" w:type="dxa"/>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1.83E-04</w:t>
            </w:r>
          </w:p>
        </w:tc>
        <w:tc>
          <w:tcPr>
            <w:tcW w:w="1276" w:type="dxa"/>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2.03E-03</w:t>
            </w:r>
          </w:p>
        </w:tc>
        <w:tc>
          <w:tcPr>
            <w:tcW w:w="1134" w:type="dxa"/>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1.33E+00</w:t>
            </w:r>
          </w:p>
        </w:tc>
        <w:tc>
          <w:tcPr>
            <w:tcW w:w="1276" w:type="dxa"/>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2.81E+01</w:t>
            </w:r>
          </w:p>
        </w:tc>
        <w:tc>
          <w:tcPr>
            <w:tcW w:w="1077" w:type="dxa"/>
            <w:tcBorders>
              <w:right w:val="nil"/>
            </w:tcBorders>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1.65E+02</w:t>
            </w:r>
          </w:p>
        </w:tc>
      </w:tr>
      <w:tr w:rsidR="009E3773" w:rsidRPr="005F3872" w:rsidTr="00322F2E">
        <w:trPr>
          <w:trHeight w:val="255"/>
          <w:jc w:val="center"/>
        </w:trPr>
        <w:tc>
          <w:tcPr>
            <w:tcW w:w="1858" w:type="dxa"/>
            <w:tcBorders>
              <w:left w:val="nil"/>
            </w:tcBorders>
            <w:shd w:val="clear" w:color="auto" w:fill="auto"/>
            <w:noWrap/>
            <w:vAlign w:val="bottom"/>
            <w:hideMark/>
          </w:tcPr>
          <w:p w:rsidR="009E3773" w:rsidRPr="005F3872" w:rsidRDefault="009E3773" w:rsidP="00322F2E">
            <w:pPr>
              <w:rPr>
                <w:rFonts w:ascii="Arial" w:eastAsia="Times New Roman" w:hAnsi="Arial" w:cs="Arial"/>
                <w:color w:val="000000"/>
                <w:sz w:val="20"/>
                <w:szCs w:val="20"/>
              </w:rPr>
            </w:pPr>
            <w:proofErr w:type="spellStart"/>
            <w:r w:rsidRPr="005F3872">
              <w:rPr>
                <w:rFonts w:ascii="Arial" w:eastAsia="Times New Roman" w:hAnsi="Arial" w:cs="Arial"/>
                <w:color w:val="000000"/>
                <w:sz w:val="20"/>
                <w:szCs w:val="20"/>
              </w:rPr>
              <w:t>Pimelic</w:t>
            </w:r>
            <w:proofErr w:type="spellEnd"/>
            <w:r w:rsidRPr="005F3872">
              <w:rPr>
                <w:rFonts w:ascii="Arial" w:eastAsia="Times New Roman" w:hAnsi="Arial" w:cs="Arial"/>
                <w:color w:val="000000"/>
                <w:sz w:val="20"/>
                <w:szCs w:val="20"/>
              </w:rPr>
              <w:t xml:space="preserve"> Acid</w:t>
            </w:r>
          </w:p>
        </w:tc>
        <w:tc>
          <w:tcPr>
            <w:tcW w:w="1134" w:type="dxa"/>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7.55E-05</w:t>
            </w:r>
          </w:p>
        </w:tc>
        <w:tc>
          <w:tcPr>
            <w:tcW w:w="1276" w:type="dxa"/>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1.12E-03</w:t>
            </w:r>
          </w:p>
        </w:tc>
        <w:tc>
          <w:tcPr>
            <w:tcW w:w="1134" w:type="dxa"/>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1.59E+00</w:t>
            </w:r>
          </w:p>
        </w:tc>
        <w:tc>
          <w:tcPr>
            <w:tcW w:w="1276" w:type="dxa"/>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4.84E+01</w:t>
            </w:r>
          </w:p>
        </w:tc>
        <w:tc>
          <w:tcPr>
            <w:tcW w:w="1077" w:type="dxa"/>
            <w:tcBorders>
              <w:right w:val="nil"/>
            </w:tcBorders>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3.51E+02</w:t>
            </w:r>
          </w:p>
        </w:tc>
      </w:tr>
      <w:tr w:rsidR="009E3773" w:rsidRPr="005F3872" w:rsidTr="00322F2E">
        <w:trPr>
          <w:trHeight w:val="255"/>
          <w:jc w:val="center"/>
        </w:trPr>
        <w:tc>
          <w:tcPr>
            <w:tcW w:w="1858" w:type="dxa"/>
            <w:tcBorders>
              <w:left w:val="nil"/>
            </w:tcBorders>
            <w:shd w:val="clear" w:color="auto" w:fill="auto"/>
            <w:noWrap/>
            <w:vAlign w:val="bottom"/>
            <w:hideMark/>
          </w:tcPr>
          <w:p w:rsidR="009E3773" w:rsidRPr="005F3872" w:rsidRDefault="009E3773" w:rsidP="00322F2E">
            <w:pPr>
              <w:rPr>
                <w:rFonts w:ascii="Arial" w:eastAsia="Times New Roman" w:hAnsi="Arial" w:cs="Arial"/>
                <w:color w:val="000000"/>
                <w:sz w:val="20"/>
                <w:szCs w:val="20"/>
              </w:rPr>
            </w:pPr>
            <w:proofErr w:type="spellStart"/>
            <w:r w:rsidRPr="005F3872">
              <w:rPr>
                <w:rFonts w:ascii="Arial" w:eastAsia="Times New Roman" w:hAnsi="Arial" w:cs="Arial"/>
                <w:color w:val="000000"/>
                <w:sz w:val="20"/>
                <w:szCs w:val="20"/>
              </w:rPr>
              <w:t>Suberic</w:t>
            </w:r>
            <w:proofErr w:type="spellEnd"/>
            <w:r w:rsidRPr="005F3872">
              <w:rPr>
                <w:rFonts w:ascii="Arial" w:eastAsia="Times New Roman" w:hAnsi="Arial" w:cs="Arial"/>
                <w:color w:val="000000"/>
                <w:sz w:val="20"/>
                <w:szCs w:val="20"/>
              </w:rPr>
              <w:t xml:space="preserve"> Acid</w:t>
            </w:r>
          </w:p>
        </w:tc>
        <w:tc>
          <w:tcPr>
            <w:tcW w:w="1134" w:type="dxa"/>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3.88E-05</w:t>
            </w:r>
          </w:p>
        </w:tc>
        <w:tc>
          <w:tcPr>
            <w:tcW w:w="1276" w:type="dxa"/>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6.56E-04</w:t>
            </w:r>
          </w:p>
        </w:tc>
        <w:tc>
          <w:tcPr>
            <w:tcW w:w="1134" w:type="dxa"/>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1.34E+00</w:t>
            </w:r>
          </w:p>
        </w:tc>
        <w:tc>
          <w:tcPr>
            <w:tcW w:w="1276" w:type="dxa"/>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4.82E+01</w:t>
            </w:r>
          </w:p>
        </w:tc>
        <w:tc>
          <w:tcPr>
            <w:tcW w:w="1077" w:type="dxa"/>
            <w:tcBorders>
              <w:right w:val="nil"/>
            </w:tcBorders>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3.86E+02</w:t>
            </w:r>
          </w:p>
        </w:tc>
      </w:tr>
      <w:tr w:rsidR="009E3773" w:rsidRPr="005F3872" w:rsidTr="00322F2E">
        <w:trPr>
          <w:trHeight w:val="255"/>
          <w:jc w:val="center"/>
        </w:trPr>
        <w:tc>
          <w:tcPr>
            <w:tcW w:w="1858" w:type="dxa"/>
            <w:tcBorders>
              <w:left w:val="nil"/>
            </w:tcBorders>
            <w:shd w:val="clear" w:color="auto" w:fill="auto"/>
            <w:noWrap/>
            <w:vAlign w:val="bottom"/>
            <w:hideMark/>
          </w:tcPr>
          <w:p w:rsidR="009E3773" w:rsidRPr="005F3872" w:rsidRDefault="009E3773" w:rsidP="00322F2E">
            <w:pPr>
              <w:rPr>
                <w:rFonts w:ascii="Arial" w:eastAsia="Times New Roman" w:hAnsi="Arial" w:cs="Arial"/>
                <w:color w:val="000000"/>
                <w:sz w:val="20"/>
                <w:szCs w:val="20"/>
              </w:rPr>
            </w:pPr>
            <w:proofErr w:type="spellStart"/>
            <w:r w:rsidRPr="005F3872">
              <w:rPr>
                <w:rFonts w:ascii="Arial" w:eastAsia="Times New Roman" w:hAnsi="Arial" w:cs="Arial"/>
                <w:color w:val="000000"/>
                <w:sz w:val="20"/>
                <w:szCs w:val="20"/>
              </w:rPr>
              <w:t>Azelaic</w:t>
            </w:r>
            <w:proofErr w:type="spellEnd"/>
            <w:r w:rsidRPr="005F3872">
              <w:rPr>
                <w:rFonts w:ascii="Arial" w:eastAsia="Times New Roman" w:hAnsi="Arial" w:cs="Arial"/>
                <w:color w:val="000000"/>
                <w:sz w:val="20"/>
                <w:szCs w:val="20"/>
              </w:rPr>
              <w:t xml:space="preserve"> Acid</w:t>
            </w:r>
          </w:p>
        </w:tc>
        <w:tc>
          <w:tcPr>
            <w:tcW w:w="1134" w:type="dxa"/>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1.45E-05</w:t>
            </w:r>
          </w:p>
        </w:tc>
        <w:tc>
          <w:tcPr>
            <w:tcW w:w="1276" w:type="dxa"/>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3.50E-04</w:t>
            </w:r>
          </w:p>
        </w:tc>
        <w:tc>
          <w:tcPr>
            <w:tcW w:w="1134" w:type="dxa"/>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1.86E+00</w:t>
            </w:r>
          </w:p>
        </w:tc>
        <w:tc>
          <w:tcPr>
            <w:tcW w:w="1276" w:type="dxa"/>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1.05E+02</w:t>
            </w:r>
          </w:p>
        </w:tc>
        <w:tc>
          <w:tcPr>
            <w:tcW w:w="1077" w:type="dxa"/>
            <w:tcBorders>
              <w:right w:val="nil"/>
            </w:tcBorders>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1.10E+03</w:t>
            </w:r>
          </w:p>
        </w:tc>
      </w:tr>
      <w:tr w:rsidR="009E3773" w:rsidRPr="005F3872" w:rsidTr="00322F2E">
        <w:trPr>
          <w:trHeight w:val="255"/>
          <w:jc w:val="center"/>
        </w:trPr>
        <w:tc>
          <w:tcPr>
            <w:tcW w:w="1858" w:type="dxa"/>
            <w:tcBorders>
              <w:left w:val="nil"/>
            </w:tcBorders>
            <w:shd w:val="clear" w:color="auto" w:fill="auto"/>
            <w:noWrap/>
            <w:vAlign w:val="bottom"/>
            <w:hideMark/>
          </w:tcPr>
          <w:p w:rsidR="009E3773" w:rsidRPr="005F3872" w:rsidRDefault="009E3773" w:rsidP="00322F2E">
            <w:pPr>
              <w:rPr>
                <w:rFonts w:ascii="Arial" w:eastAsia="Times New Roman" w:hAnsi="Arial" w:cs="Arial"/>
                <w:color w:val="000000"/>
                <w:sz w:val="20"/>
                <w:szCs w:val="20"/>
              </w:rPr>
            </w:pPr>
            <w:proofErr w:type="spellStart"/>
            <w:r w:rsidRPr="005F3872">
              <w:rPr>
                <w:rFonts w:ascii="Arial" w:eastAsia="Times New Roman" w:hAnsi="Arial" w:cs="Arial"/>
                <w:color w:val="000000"/>
                <w:sz w:val="20"/>
                <w:szCs w:val="20"/>
              </w:rPr>
              <w:t>Sebacic</w:t>
            </w:r>
            <w:proofErr w:type="spellEnd"/>
            <w:r w:rsidRPr="005F3872">
              <w:rPr>
                <w:rFonts w:ascii="Arial" w:eastAsia="Times New Roman" w:hAnsi="Arial" w:cs="Arial"/>
                <w:color w:val="000000"/>
                <w:sz w:val="20"/>
                <w:szCs w:val="20"/>
              </w:rPr>
              <w:t xml:space="preserve"> Acid</w:t>
            </w:r>
          </w:p>
        </w:tc>
        <w:tc>
          <w:tcPr>
            <w:tcW w:w="1134" w:type="dxa"/>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1.09E-05</w:t>
            </w:r>
          </w:p>
        </w:tc>
        <w:tc>
          <w:tcPr>
            <w:tcW w:w="1276" w:type="dxa"/>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2.31E-04</w:t>
            </w:r>
          </w:p>
        </w:tc>
        <w:tc>
          <w:tcPr>
            <w:tcW w:w="1134" w:type="dxa"/>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8.56E-01</w:t>
            </w:r>
          </w:p>
        </w:tc>
        <w:tc>
          <w:tcPr>
            <w:tcW w:w="1276" w:type="dxa"/>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4.08E+01</w:t>
            </w:r>
          </w:p>
        </w:tc>
        <w:tc>
          <w:tcPr>
            <w:tcW w:w="1077" w:type="dxa"/>
            <w:tcBorders>
              <w:right w:val="nil"/>
            </w:tcBorders>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3.86E+02</w:t>
            </w:r>
          </w:p>
        </w:tc>
      </w:tr>
      <w:tr w:rsidR="009E3773" w:rsidRPr="005F3872" w:rsidTr="00322F2E">
        <w:trPr>
          <w:trHeight w:val="255"/>
          <w:jc w:val="center"/>
        </w:trPr>
        <w:tc>
          <w:tcPr>
            <w:tcW w:w="1858" w:type="dxa"/>
            <w:tcBorders>
              <w:left w:val="nil"/>
              <w:bottom w:val="single" w:sz="12" w:space="0" w:color="auto"/>
            </w:tcBorders>
            <w:shd w:val="clear" w:color="auto" w:fill="auto"/>
            <w:noWrap/>
            <w:vAlign w:val="bottom"/>
            <w:hideMark/>
          </w:tcPr>
          <w:p w:rsidR="009E3773" w:rsidRPr="005F3872" w:rsidRDefault="009E3773" w:rsidP="00322F2E">
            <w:pPr>
              <w:rPr>
                <w:rFonts w:ascii="Arial" w:eastAsia="Times New Roman" w:hAnsi="Arial" w:cs="Arial"/>
                <w:color w:val="000000"/>
                <w:sz w:val="20"/>
                <w:szCs w:val="20"/>
              </w:rPr>
            </w:pPr>
            <w:r w:rsidRPr="005F3872">
              <w:rPr>
                <w:rFonts w:ascii="Arial" w:eastAsia="Times New Roman" w:hAnsi="Arial" w:cs="Arial"/>
                <w:color w:val="000000"/>
                <w:sz w:val="20"/>
                <w:szCs w:val="20"/>
              </w:rPr>
              <w:t>Dodecanoic Acid</w:t>
            </w:r>
          </w:p>
        </w:tc>
        <w:tc>
          <w:tcPr>
            <w:tcW w:w="1134" w:type="dxa"/>
            <w:tcBorders>
              <w:bottom w:val="single" w:sz="12" w:space="0" w:color="auto"/>
            </w:tcBorders>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3.97E-04</w:t>
            </w:r>
          </w:p>
        </w:tc>
        <w:tc>
          <w:tcPr>
            <w:tcW w:w="1276" w:type="dxa"/>
            <w:tcBorders>
              <w:bottom w:val="single" w:sz="12" w:space="0" w:color="auto"/>
            </w:tcBorders>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5.25E-03</w:t>
            </w:r>
          </w:p>
        </w:tc>
        <w:tc>
          <w:tcPr>
            <w:tcW w:w="1134" w:type="dxa"/>
            <w:tcBorders>
              <w:bottom w:val="single" w:sz="12" w:space="0" w:color="auto"/>
            </w:tcBorders>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5.55E+00</w:t>
            </w:r>
          </w:p>
        </w:tc>
        <w:tc>
          <w:tcPr>
            <w:tcW w:w="1276" w:type="dxa"/>
            <w:tcBorders>
              <w:bottom w:val="single" w:sz="12" w:space="0" w:color="auto"/>
            </w:tcBorders>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1.46E+02</w:t>
            </w:r>
          </w:p>
        </w:tc>
        <w:tc>
          <w:tcPr>
            <w:tcW w:w="1077" w:type="dxa"/>
            <w:tcBorders>
              <w:bottom w:val="single" w:sz="12" w:space="0" w:color="auto"/>
              <w:right w:val="nil"/>
            </w:tcBorders>
            <w:shd w:val="clear" w:color="auto" w:fill="auto"/>
            <w:noWrap/>
            <w:vAlign w:val="bottom"/>
            <w:hideMark/>
          </w:tcPr>
          <w:p w:rsidR="009E3773" w:rsidRDefault="009E3773" w:rsidP="00322F2E">
            <w:pPr>
              <w:jc w:val="center"/>
              <w:rPr>
                <w:rFonts w:ascii="Arial" w:hAnsi="Arial" w:cs="Arial"/>
                <w:color w:val="000000"/>
                <w:sz w:val="20"/>
                <w:szCs w:val="20"/>
              </w:rPr>
            </w:pPr>
            <w:r>
              <w:rPr>
                <w:rFonts w:ascii="Arial" w:hAnsi="Arial" w:cs="Arial"/>
                <w:color w:val="000000"/>
                <w:sz w:val="20"/>
                <w:szCs w:val="20"/>
              </w:rPr>
              <w:t>9.80E+02</w:t>
            </w:r>
          </w:p>
        </w:tc>
      </w:tr>
    </w:tbl>
    <w:p w:rsidR="009E3773" w:rsidRDefault="009E3773" w:rsidP="009E3773"/>
    <w:p w:rsidR="009E3773" w:rsidRDefault="009E3773" w:rsidP="009E3773"/>
    <w:p w:rsidR="00011C95" w:rsidRPr="00011C95" w:rsidRDefault="00011C95">
      <w:pPr>
        <w:rPr>
          <w:u w:val="single"/>
        </w:rPr>
      </w:pPr>
    </w:p>
    <w:sectPr w:rsidR="00011C95" w:rsidRPr="00011C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C95"/>
    <w:rsid w:val="00011C95"/>
    <w:rsid w:val="00174C1D"/>
    <w:rsid w:val="001908B3"/>
    <w:rsid w:val="00200E5D"/>
    <w:rsid w:val="007C2477"/>
    <w:rsid w:val="009E3773"/>
    <w:rsid w:val="00A51D1E"/>
    <w:rsid w:val="00FD4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2477"/>
    <w:rPr>
      <w:rFonts w:ascii="Tahoma" w:hAnsi="Tahoma" w:cs="Tahoma"/>
      <w:sz w:val="16"/>
      <w:szCs w:val="16"/>
    </w:rPr>
  </w:style>
  <w:style w:type="character" w:customStyle="1" w:styleId="BalloonTextChar">
    <w:name w:val="Balloon Text Char"/>
    <w:basedOn w:val="DefaultParagraphFont"/>
    <w:link w:val="BalloonText"/>
    <w:uiPriority w:val="99"/>
    <w:semiHidden/>
    <w:rsid w:val="007C247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2477"/>
    <w:rPr>
      <w:rFonts w:ascii="Tahoma" w:hAnsi="Tahoma" w:cs="Tahoma"/>
      <w:sz w:val="16"/>
      <w:szCs w:val="16"/>
    </w:rPr>
  </w:style>
  <w:style w:type="character" w:customStyle="1" w:styleId="BalloonTextChar">
    <w:name w:val="Balloon Text Char"/>
    <w:basedOn w:val="DefaultParagraphFont"/>
    <w:link w:val="BalloonText"/>
    <w:uiPriority w:val="99"/>
    <w:semiHidden/>
    <w:rsid w:val="007C24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t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4</Pages>
  <Words>891</Words>
  <Characters>5080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bnmurphy</dc:creator>
  <cp:lastModifiedBy>bnmurphy</cp:lastModifiedBy>
  <cp:revision>2</cp:revision>
  <dcterms:created xsi:type="dcterms:W3CDTF">2013-12-06T16:37:00Z</dcterms:created>
  <dcterms:modified xsi:type="dcterms:W3CDTF">2013-12-06T19:06:00Z</dcterms:modified>
</cp:coreProperties>
</file>