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A1F95C" w:rsidR="00773660" w:rsidRPr="002E36F3" w:rsidRDefault="002E36F3">
      <w:pPr>
        <w:spacing w:line="240" w:lineRule="auto"/>
        <w:rPr>
          <w:rFonts w:asciiTheme="majorHAnsi" w:hAnsiTheme="majorHAnsi" w:cstheme="majorHAnsi"/>
          <w:sz w:val="28"/>
          <w:szCs w:val="28"/>
        </w:rPr>
      </w:pPr>
      <w:r>
        <w:rPr>
          <w:rFonts w:asciiTheme="majorHAnsi" w:hAnsiTheme="majorHAnsi" w:cstheme="majorHAnsi"/>
          <w:b/>
          <w:sz w:val="28"/>
          <w:szCs w:val="28"/>
        </w:rPr>
        <w:t>Text Analysis Discussion</w:t>
      </w:r>
      <w:r w:rsidR="0050097E" w:rsidRPr="002E36F3">
        <w:rPr>
          <w:rFonts w:asciiTheme="majorHAnsi" w:hAnsiTheme="majorHAnsi" w:cstheme="majorHAnsi"/>
          <w:b/>
          <w:sz w:val="28"/>
          <w:szCs w:val="28"/>
        </w:rPr>
        <w:t>:</w:t>
      </w:r>
      <w:r w:rsidR="0050097E" w:rsidRPr="002E36F3">
        <w:rPr>
          <w:rFonts w:asciiTheme="majorHAnsi" w:hAnsiTheme="majorHAnsi" w:cstheme="majorHAnsi"/>
          <w:sz w:val="28"/>
          <w:szCs w:val="28"/>
        </w:rPr>
        <w:t xml:space="preserve"> After completing this week’s reading </w:t>
      </w:r>
      <w:r w:rsidR="00600776">
        <w:rPr>
          <w:rFonts w:asciiTheme="majorHAnsi" w:hAnsiTheme="majorHAnsi" w:cstheme="majorHAnsi"/>
          <w:sz w:val="28"/>
          <w:szCs w:val="28"/>
        </w:rPr>
        <w:t>and activities</w:t>
      </w:r>
      <w:r w:rsidR="0050097E" w:rsidRPr="002E36F3">
        <w:rPr>
          <w:rFonts w:asciiTheme="majorHAnsi" w:hAnsiTheme="majorHAnsi" w:cstheme="majorHAnsi"/>
          <w:sz w:val="28"/>
          <w:szCs w:val="28"/>
        </w:rPr>
        <w:t xml:space="preserve">, choose one of the series of questions below to address in your first 300-word </w:t>
      </w:r>
      <w:r w:rsidR="0050097E">
        <w:rPr>
          <w:rFonts w:asciiTheme="majorHAnsi" w:hAnsiTheme="majorHAnsi" w:cstheme="majorHAnsi"/>
          <w:sz w:val="28"/>
          <w:szCs w:val="28"/>
        </w:rPr>
        <w:t>discussion</w:t>
      </w:r>
      <w:r w:rsidR="0050097E" w:rsidRPr="002E36F3">
        <w:rPr>
          <w:rFonts w:asciiTheme="majorHAnsi" w:hAnsiTheme="majorHAnsi" w:cstheme="majorHAnsi"/>
          <w:sz w:val="28"/>
          <w:szCs w:val="28"/>
        </w:rPr>
        <w:t xml:space="preserve"> post.</w:t>
      </w:r>
    </w:p>
    <w:p w14:paraId="00000002" w14:textId="77777777" w:rsidR="00773660" w:rsidRPr="002E36F3" w:rsidRDefault="00773660">
      <w:pPr>
        <w:spacing w:line="240" w:lineRule="auto"/>
        <w:rPr>
          <w:rFonts w:asciiTheme="majorHAnsi" w:hAnsiTheme="majorHAnsi" w:cstheme="majorHAnsi"/>
          <w:sz w:val="28"/>
          <w:szCs w:val="28"/>
        </w:rPr>
      </w:pPr>
    </w:p>
    <w:p w14:paraId="00000003" w14:textId="2A60AA42" w:rsidR="00773660" w:rsidRPr="002E36F3" w:rsidRDefault="0050097E">
      <w:pPr>
        <w:shd w:val="clear" w:color="auto" w:fill="FFFFFF"/>
        <w:spacing w:after="160"/>
        <w:rPr>
          <w:rFonts w:asciiTheme="majorHAnsi" w:hAnsiTheme="majorHAnsi" w:cstheme="majorHAnsi"/>
          <w:color w:val="080A0A"/>
          <w:sz w:val="28"/>
          <w:szCs w:val="28"/>
        </w:rPr>
      </w:pPr>
      <w:r w:rsidRPr="002E36F3">
        <w:rPr>
          <w:rFonts w:asciiTheme="majorHAnsi" w:hAnsiTheme="majorHAnsi" w:cstheme="majorHAnsi"/>
          <w:color w:val="080A0A"/>
          <w:sz w:val="28"/>
          <w:szCs w:val="28"/>
        </w:rPr>
        <w:t xml:space="preserve">For this blog post, you'll need to first close read "The Yellow Wallpaper" in </w:t>
      </w:r>
      <w:hyperlink r:id="rId4" w:history="1">
        <w:r w:rsidRPr="00600776">
          <w:rPr>
            <w:rStyle w:val="Hyperlink"/>
            <w:rFonts w:asciiTheme="majorHAnsi" w:hAnsiTheme="majorHAnsi" w:cstheme="majorHAnsi"/>
            <w:sz w:val="28"/>
            <w:szCs w:val="28"/>
          </w:rPr>
          <w:t>Perusall</w:t>
        </w:r>
      </w:hyperlink>
      <w:r w:rsidRPr="002E36F3">
        <w:rPr>
          <w:rFonts w:asciiTheme="majorHAnsi" w:hAnsiTheme="majorHAnsi" w:cstheme="majorHAnsi"/>
          <w:color w:val="080A0A"/>
          <w:sz w:val="28"/>
          <w:szCs w:val="28"/>
        </w:rPr>
        <w:t xml:space="preserve">, adding your </w:t>
      </w:r>
      <w:r w:rsidR="00600776">
        <w:rPr>
          <w:rFonts w:asciiTheme="majorHAnsi" w:hAnsiTheme="majorHAnsi" w:cstheme="majorHAnsi"/>
          <w:color w:val="080A0A"/>
          <w:sz w:val="28"/>
          <w:szCs w:val="28"/>
        </w:rPr>
        <w:t xml:space="preserve">7 </w:t>
      </w:r>
      <w:r w:rsidRPr="002E36F3">
        <w:rPr>
          <w:rFonts w:asciiTheme="majorHAnsi" w:hAnsiTheme="majorHAnsi" w:cstheme="majorHAnsi"/>
          <w:color w:val="080A0A"/>
          <w:sz w:val="28"/>
          <w:szCs w:val="28"/>
        </w:rPr>
        <w:t xml:space="preserve">annotations. Next, you'll copy and paste the text of the "The Yellow Wallpaper" into </w:t>
      </w:r>
      <w:hyperlink r:id="rId5">
        <w:r w:rsidRPr="002E36F3">
          <w:rPr>
            <w:rFonts w:asciiTheme="majorHAnsi" w:hAnsiTheme="majorHAnsi" w:cstheme="majorHAnsi"/>
            <w:color w:val="004860"/>
            <w:sz w:val="28"/>
            <w:szCs w:val="28"/>
            <w:u w:val="single"/>
          </w:rPr>
          <w:t>Voy</w:t>
        </w:r>
        <w:r w:rsidRPr="002E36F3">
          <w:rPr>
            <w:rFonts w:asciiTheme="majorHAnsi" w:hAnsiTheme="majorHAnsi" w:cstheme="majorHAnsi"/>
            <w:color w:val="004860"/>
            <w:sz w:val="28"/>
            <w:szCs w:val="28"/>
            <w:u w:val="single"/>
          </w:rPr>
          <w:t>a</w:t>
        </w:r>
        <w:r w:rsidRPr="002E36F3">
          <w:rPr>
            <w:rFonts w:asciiTheme="majorHAnsi" w:hAnsiTheme="majorHAnsi" w:cstheme="majorHAnsi"/>
            <w:color w:val="004860"/>
            <w:sz w:val="28"/>
            <w:szCs w:val="28"/>
            <w:u w:val="single"/>
          </w:rPr>
          <w:t>nt</w:t>
        </w:r>
      </w:hyperlink>
      <w:r w:rsidRPr="002E36F3">
        <w:rPr>
          <w:rFonts w:asciiTheme="majorHAnsi" w:hAnsiTheme="majorHAnsi" w:cstheme="majorHAnsi"/>
          <w:color w:val="080A0A"/>
          <w:sz w:val="28"/>
          <w:szCs w:val="28"/>
        </w:rPr>
        <w:t xml:space="preserve">. </w:t>
      </w:r>
    </w:p>
    <w:p w14:paraId="00000004" w14:textId="6FE926F2" w:rsidR="00773660" w:rsidRPr="002E36F3" w:rsidRDefault="00600776">
      <w:pPr>
        <w:shd w:val="clear" w:color="auto" w:fill="FFFFFF"/>
        <w:spacing w:after="160"/>
        <w:rPr>
          <w:rFonts w:asciiTheme="majorHAnsi" w:hAnsiTheme="majorHAnsi" w:cstheme="majorHAnsi"/>
          <w:color w:val="080A0A"/>
          <w:sz w:val="28"/>
          <w:szCs w:val="28"/>
        </w:rPr>
      </w:pPr>
      <w:r>
        <w:rPr>
          <w:rFonts w:asciiTheme="majorHAnsi" w:hAnsiTheme="majorHAnsi" w:cstheme="majorHAnsi"/>
          <w:color w:val="080A0A"/>
          <w:sz w:val="28"/>
          <w:szCs w:val="28"/>
        </w:rPr>
        <w:t>Check out these</w:t>
      </w:r>
      <w:r w:rsidR="0050097E" w:rsidRPr="002E36F3">
        <w:rPr>
          <w:rFonts w:asciiTheme="majorHAnsi" w:hAnsiTheme="majorHAnsi" w:cstheme="majorHAnsi"/>
          <w:color w:val="080A0A"/>
          <w:sz w:val="28"/>
          <w:szCs w:val="28"/>
        </w:rPr>
        <w:t xml:space="preserve"> </w:t>
      </w:r>
      <w:hyperlink r:id="rId6" w:history="1">
        <w:r w:rsidR="0050097E" w:rsidRPr="00600776">
          <w:rPr>
            <w:rStyle w:val="Hyperlink"/>
            <w:rFonts w:asciiTheme="majorHAnsi" w:hAnsiTheme="majorHAnsi" w:cstheme="majorHAnsi"/>
            <w:sz w:val="28"/>
            <w:szCs w:val="28"/>
          </w:rPr>
          <w:t xml:space="preserve">Voyant tutorials </w:t>
        </w:r>
        <w:r w:rsidRPr="00600776">
          <w:rPr>
            <w:rStyle w:val="Hyperlink"/>
            <w:rFonts w:asciiTheme="majorHAnsi" w:hAnsiTheme="majorHAnsi" w:cstheme="majorHAnsi"/>
            <w:sz w:val="28"/>
            <w:szCs w:val="28"/>
          </w:rPr>
          <w:t>and</w:t>
        </w:r>
        <w:r w:rsidR="0050097E" w:rsidRPr="00600776">
          <w:rPr>
            <w:rStyle w:val="Hyperlink"/>
            <w:rFonts w:asciiTheme="majorHAnsi" w:hAnsiTheme="majorHAnsi" w:cstheme="majorHAnsi"/>
            <w:sz w:val="28"/>
            <w:szCs w:val="28"/>
          </w:rPr>
          <w:t xml:space="preserve"> resources</w:t>
        </w:r>
      </w:hyperlink>
      <w:r w:rsidR="0050097E" w:rsidRPr="002E36F3">
        <w:rPr>
          <w:rFonts w:asciiTheme="majorHAnsi" w:hAnsiTheme="majorHAnsi" w:cstheme="majorHAnsi"/>
          <w:color w:val="080A0A"/>
          <w:sz w:val="28"/>
          <w:szCs w:val="28"/>
        </w:rPr>
        <w:t xml:space="preserve"> to help you explore and begin to understand your Voyant visualizations.</w:t>
      </w:r>
    </w:p>
    <w:p w14:paraId="00000005" w14:textId="10347B0B" w:rsidR="00773660" w:rsidRPr="002E36F3" w:rsidRDefault="00600776">
      <w:pPr>
        <w:shd w:val="clear" w:color="auto" w:fill="FFFFFF"/>
        <w:spacing w:after="160"/>
        <w:rPr>
          <w:rFonts w:asciiTheme="majorHAnsi" w:hAnsiTheme="majorHAnsi" w:cstheme="majorHAnsi"/>
          <w:color w:val="080A0A"/>
          <w:sz w:val="28"/>
          <w:szCs w:val="28"/>
        </w:rPr>
      </w:pPr>
      <w:r>
        <w:rPr>
          <w:rFonts w:asciiTheme="majorHAnsi" w:hAnsiTheme="majorHAnsi" w:cstheme="majorHAnsi"/>
          <w:color w:val="080A0A"/>
          <w:sz w:val="28"/>
          <w:szCs w:val="28"/>
        </w:rPr>
        <w:t>What are</w:t>
      </w:r>
      <w:r w:rsidR="0050097E" w:rsidRPr="002E36F3">
        <w:rPr>
          <w:rFonts w:asciiTheme="majorHAnsi" w:hAnsiTheme="majorHAnsi" w:cstheme="majorHAnsi"/>
          <w:color w:val="080A0A"/>
          <w:sz w:val="28"/>
          <w:szCs w:val="28"/>
        </w:rPr>
        <w:t xml:space="preserve"> the differences, similarities, strengths, and weaknesses of human reading and computer reading the text</w:t>
      </w:r>
      <w:r>
        <w:rPr>
          <w:rFonts w:asciiTheme="majorHAnsi" w:hAnsiTheme="majorHAnsi" w:cstheme="majorHAnsi"/>
          <w:color w:val="080A0A"/>
          <w:sz w:val="28"/>
          <w:szCs w:val="28"/>
        </w:rPr>
        <w:t>?</w:t>
      </w:r>
      <w:r w:rsidR="0050097E" w:rsidRPr="002E36F3">
        <w:rPr>
          <w:rFonts w:asciiTheme="majorHAnsi" w:hAnsiTheme="majorHAnsi" w:cstheme="majorHAnsi"/>
          <w:color w:val="080A0A"/>
          <w:sz w:val="28"/>
          <w:szCs w:val="28"/>
        </w:rPr>
        <w:t xml:space="preserve"> </w:t>
      </w:r>
      <w:r>
        <w:rPr>
          <w:rFonts w:asciiTheme="majorHAnsi" w:hAnsiTheme="majorHAnsi" w:cstheme="majorHAnsi"/>
          <w:color w:val="080A0A"/>
          <w:sz w:val="28"/>
          <w:szCs w:val="28"/>
        </w:rPr>
        <w:t>What are</w:t>
      </w:r>
      <w:r w:rsidR="0050097E" w:rsidRPr="002E36F3">
        <w:rPr>
          <w:rFonts w:asciiTheme="majorHAnsi" w:hAnsiTheme="majorHAnsi" w:cstheme="majorHAnsi"/>
          <w:color w:val="080A0A"/>
          <w:sz w:val="28"/>
          <w:szCs w:val="28"/>
        </w:rPr>
        <w:t xml:space="preserve"> the possible benefits from using a combined human/computer reading approach to this text</w:t>
      </w:r>
      <w:r>
        <w:rPr>
          <w:rFonts w:asciiTheme="majorHAnsi" w:hAnsiTheme="majorHAnsi" w:cstheme="majorHAnsi"/>
          <w:color w:val="080A0A"/>
          <w:sz w:val="28"/>
          <w:szCs w:val="28"/>
        </w:rPr>
        <w:t>?</w:t>
      </w:r>
      <w:r w:rsidR="0050097E" w:rsidRPr="002E36F3">
        <w:rPr>
          <w:rFonts w:asciiTheme="majorHAnsi" w:hAnsiTheme="majorHAnsi" w:cstheme="majorHAnsi"/>
          <w:color w:val="080A0A"/>
          <w:sz w:val="28"/>
          <w:szCs w:val="28"/>
        </w:rPr>
        <w:t xml:space="preserve"> How do these methods shape the way we interpret the text and, more broadly, how these methods shape representations and knowledge related to narratives of female oppression in the Gilded Age? If you're interested, you might locate other texts written in this era and do a comparative analysis.</w:t>
      </w:r>
    </w:p>
    <w:p w14:paraId="00000006" w14:textId="77777777" w:rsidR="00773660" w:rsidRPr="002E36F3" w:rsidRDefault="00773660">
      <w:pPr>
        <w:rPr>
          <w:rFonts w:asciiTheme="majorHAnsi" w:hAnsiTheme="majorHAnsi" w:cstheme="majorHAnsi"/>
          <w:sz w:val="28"/>
          <w:szCs w:val="28"/>
        </w:rPr>
      </w:pPr>
    </w:p>
    <w:sectPr w:rsidR="00773660" w:rsidRPr="002E36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60"/>
    <w:rsid w:val="002E36F3"/>
    <w:rsid w:val="0050097E"/>
    <w:rsid w:val="00600776"/>
    <w:rsid w:val="0077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75663"/>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00776"/>
    <w:rPr>
      <w:color w:val="0000FF" w:themeColor="hyperlink"/>
      <w:u w:val="single"/>
    </w:rPr>
  </w:style>
  <w:style w:type="character" w:styleId="UnresolvedMention">
    <w:name w:val="Unresolved Mention"/>
    <w:basedOn w:val="DefaultParagraphFont"/>
    <w:uiPriority w:val="99"/>
    <w:semiHidden/>
    <w:unhideWhenUsed/>
    <w:rsid w:val="00600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fS_82WGlZFWdEh0abDhXMIvSFi2VZbUSfGjTpfvvDgw/edit?usp=sharing" TargetMode="External"/><Relationship Id="rId5" Type="http://schemas.openxmlformats.org/officeDocument/2006/relationships/hyperlink" Target="https://voyant-tools.org/" TargetMode="External"/><Relationship Id="rId4" Type="http://schemas.openxmlformats.org/officeDocument/2006/relationships/hyperlink" Target="https://perus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2021-01-04T23:19:00Z</dcterms:created>
  <dcterms:modified xsi:type="dcterms:W3CDTF">2021-01-04T23:28:00Z</dcterms:modified>
</cp:coreProperties>
</file>