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Palacios, Katie “The 7 Principles of Universal Design: A Nonlecture”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https://youtu.be/d-GzKyK0iw4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Williams, George H. (2012). “Disability, Universal Design, and the Digital Humanities.” Chapter 12 in Debates in the Digital Humanities (Matthew K. Gold, Editor). Minneapolis: University of Minnesota Press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https://dhdebates.gc.cuny.edu/read/untitled-88c11800-9446-469b-a3be-3fdb36bfbd1e/section/2a59a6fe-3e93-43ae-a42f-1b26d1b4becc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d-GzKyK0iw4" TargetMode="External"/><Relationship Id="rId7" Type="http://schemas.openxmlformats.org/officeDocument/2006/relationships/hyperlink" Target="https://dhdebates.gc.cuny.edu/read/untitled-88c11800-9446-469b-a3be-3fdb36bfbd1e/section/2a59a6fe-3e93-43ae-a42f-1b26d1b4be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