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0A3D" w14:textId="77777777" w:rsidR="004806C9" w:rsidRDefault="004806C9">
      <w:pPr>
        <w:spacing w:before="800"/>
      </w:pPr>
    </w:p>
    <w:p w14:paraId="2B7CA28C" w14:textId="77777777" w:rsidR="004806C9" w:rsidRPr="00BE55CF" w:rsidRDefault="00000000">
      <w:pPr>
        <w:jc w:val="center"/>
        <w:rPr>
          <w:rFonts w:ascii="Century Schoolbook" w:hAnsi="Century Schoolbook"/>
        </w:rPr>
      </w:pPr>
      <w:r w:rsidRPr="00BE55CF">
        <w:rPr>
          <w:rFonts w:ascii="Century Schoolbook" w:eastAsia="Georgia" w:hAnsi="Century Schoolbook" w:cs="Georgia"/>
          <w:b/>
          <w:bCs/>
          <w:color w:val="1F3864"/>
          <w:sz w:val="56"/>
          <w:szCs w:val="56"/>
        </w:rPr>
        <w:t>ENTREGA 4</w:t>
      </w:r>
    </w:p>
    <w:p w14:paraId="6774AD46" w14:textId="77777777" w:rsidR="004806C9" w:rsidRPr="00BE55CF" w:rsidRDefault="00000000">
      <w:pPr>
        <w:spacing w:before="120" w:after="100"/>
        <w:jc w:val="center"/>
        <w:rPr>
          <w:rFonts w:ascii="Aptos Serif" w:hAnsi="Aptos Serif" w:cs="Aptos Serif"/>
        </w:rPr>
      </w:pPr>
      <w:r w:rsidRPr="00BE55CF">
        <w:rPr>
          <w:rFonts w:ascii="Aptos Serif" w:eastAsia="Georgia" w:hAnsi="Aptos Serif" w:cs="Aptos Serif"/>
          <w:color w:val="2E5395"/>
          <w:sz w:val="36"/>
          <w:szCs w:val="36"/>
        </w:rPr>
        <w:t>Instalación y Configuración</w:t>
      </w:r>
    </w:p>
    <w:p w14:paraId="02283D29" w14:textId="21539102" w:rsidR="004806C9" w:rsidRDefault="00000000">
      <w:pPr>
        <w:spacing w:before="60" w:after="500"/>
        <w:jc w:val="center"/>
      </w:pPr>
      <w:r>
        <w:rPr>
          <w:i/>
          <w:iCs/>
          <w:color w:val="595959"/>
          <w:sz w:val="24"/>
          <w:szCs w:val="24"/>
        </w:rPr>
        <w:t>Sistema Mundial de Fútbol</w:t>
      </w:r>
    </w:p>
    <w:p w14:paraId="5CBF027E" w14:textId="77777777" w:rsidR="004806C9" w:rsidRDefault="004806C9">
      <w:pPr>
        <w:pBdr>
          <w:top w:val="single" w:sz="6" w:space="8" w:color="2E5395"/>
        </w:pBdr>
        <w:spacing w:before="400" w:after="300"/>
      </w:pPr>
    </w:p>
    <w:p w14:paraId="26CF893F" w14:textId="3CABFC8E" w:rsidR="004806C9" w:rsidRPr="00BD09F2" w:rsidRDefault="00000000">
      <w:pPr>
        <w:spacing w:after="80"/>
        <w:rPr>
          <w:b/>
          <w:bCs/>
          <w:color w:val="1F3864"/>
        </w:rPr>
      </w:pPr>
      <w:r>
        <w:rPr>
          <w:b/>
          <w:bCs/>
          <w:color w:val="1F3864"/>
        </w:rPr>
        <w:t>Grupo N°</w:t>
      </w:r>
      <w:r w:rsidR="00BD09F2">
        <w:rPr>
          <w:b/>
          <w:bCs/>
          <w:color w:val="1F3864"/>
        </w:rPr>
        <w:t xml:space="preserve"> </w:t>
      </w:r>
      <w:r w:rsidR="00BD09F2" w:rsidRPr="00BD09F2">
        <w:rPr>
          <w:b/>
          <w:bCs/>
          <w:color w:val="1F3864"/>
        </w:rPr>
        <w:t>4</w:t>
      </w:r>
    </w:p>
    <w:p w14:paraId="02D10ED5" w14:textId="2274A7B9" w:rsidR="004806C9" w:rsidRDefault="00000000">
      <w:pPr>
        <w:spacing w:after="60"/>
      </w:pPr>
      <w:r>
        <w:rPr>
          <w:b/>
          <w:bCs/>
          <w:color w:val="1F3864"/>
        </w:rPr>
        <w:t>Integrantes</w:t>
      </w:r>
      <w:r w:rsidR="00BD09F2">
        <w:rPr>
          <w:b/>
          <w:bCs/>
          <w:color w:val="1F3864"/>
        </w:rPr>
        <w:t>:</w:t>
      </w:r>
    </w:p>
    <w:p w14:paraId="2932A5CC" w14:textId="6484D41A" w:rsidR="004806C9" w:rsidRDefault="00BD09F2">
      <w:pPr>
        <w:pStyle w:val="Prrafodelista"/>
        <w:numPr>
          <w:ilvl w:val="0"/>
          <w:numId w:val="2"/>
        </w:numPr>
        <w:spacing w:after="100" w:line="276" w:lineRule="auto"/>
      </w:pPr>
      <w:r>
        <w:t>Ávila, Agustín</w:t>
      </w:r>
      <w:r w:rsidR="00000000">
        <w:t xml:space="preserve"> — </w:t>
      </w:r>
      <w:r w:rsidRPr="00BD09F2">
        <w:t>@AvilaAlexAgustin</w:t>
      </w:r>
    </w:p>
    <w:p w14:paraId="170F413B" w14:textId="7A5669D7" w:rsidR="004806C9" w:rsidRDefault="00BD09F2">
      <w:pPr>
        <w:pStyle w:val="Prrafodelista"/>
        <w:numPr>
          <w:ilvl w:val="0"/>
          <w:numId w:val="2"/>
        </w:numPr>
        <w:spacing w:after="100" w:line="276" w:lineRule="auto"/>
      </w:pPr>
      <w:r>
        <w:t>Blanco, Pablo</w:t>
      </w:r>
      <w:r w:rsidR="00000000">
        <w:t>— @</w:t>
      </w:r>
      <w:r w:rsidRPr="00BD09F2">
        <w:t>periodistaunlam2023-cpu</w:t>
      </w:r>
    </w:p>
    <w:p w14:paraId="3F462ECE" w14:textId="55A65F6A" w:rsidR="004806C9" w:rsidRDefault="00BD09F2">
      <w:pPr>
        <w:pStyle w:val="Prrafodelista"/>
        <w:numPr>
          <w:ilvl w:val="0"/>
          <w:numId w:val="2"/>
        </w:numPr>
        <w:spacing w:after="100" w:line="276" w:lineRule="auto"/>
      </w:pPr>
      <w:r>
        <w:t>Sosa, Jesús</w:t>
      </w:r>
      <w:r w:rsidR="00000000">
        <w:t xml:space="preserve"> — @</w:t>
      </w:r>
      <w:r w:rsidRPr="00BD09F2">
        <w:t>bnpablo</w:t>
      </w:r>
    </w:p>
    <w:p w14:paraId="027E5B6C" w14:textId="77777777" w:rsidR="004806C9" w:rsidRDefault="004806C9">
      <w:pPr>
        <w:spacing w:before="120"/>
      </w:pPr>
    </w:p>
    <w:p w14:paraId="4485F5C2" w14:textId="609986D4" w:rsidR="004806C9" w:rsidRDefault="00000000">
      <w:pPr>
        <w:spacing w:after="80"/>
      </w:pPr>
      <w:r>
        <w:rPr>
          <w:b/>
          <w:bCs/>
          <w:color w:val="1F3864"/>
        </w:rPr>
        <w:t xml:space="preserve">Comisión: </w:t>
      </w:r>
      <w:r w:rsidR="00BD09F2" w:rsidRPr="00BD09F2">
        <w:t>02-5600</w:t>
      </w:r>
    </w:p>
    <w:p w14:paraId="6231DDCE" w14:textId="27329CB0" w:rsidR="004806C9" w:rsidRDefault="00000000">
      <w:pPr>
        <w:spacing w:after="80"/>
      </w:pPr>
      <w:r>
        <w:rPr>
          <w:b/>
          <w:bCs/>
          <w:color w:val="1F3864"/>
        </w:rPr>
        <w:t xml:space="preserve">Fecha: </w:t>
      </w:r>
      <w:r w:rsidR="00BD09F2" w:rsidRPr="00BD09F2">
        <w:t>02/10/2026</w:t>
      </w:r>
    </w:p>
    <w:p w14:paraId="47CDAC01" w14:textId="77777777" w:rsidR="00BD09F2" w:rsidRDefault="00BD09F2">
      <w:pPr>
        <w:spacing w:after="80"/>
      </w:pPr>
    </w:p>
    <w:p w14:paraId="2E171FDF" w14:textId="77777777" w:rsidR="004806C9" w:rsidRDefault="00000000">
      <w:r>
        <w:br w:type="page"/>
      </w:r>
    </w:p>
    <w:p w14:paraId="482E8767" w14:textId="77777777" w:rsidR="004806C9" w:rsidRDefault="00000000">
      <w:pPr>
        <w:pBdr>
          <w:left w:val="single" w:sz="18" w:space="8" w:color="2E5395"/>
        </w:pBdr>
        <w:shd w:val="clear" w:color="auto" w:fill="EEF2F8"/>
        <w:spacing w:before="120" w:after="200"/>
        <w:ind w:left="200"/>
      </w:pPr>
      <w:r>
        <w:rPr>
          <w:i/>
          <w:iCs/>
          <w:color w:val="595959"/>
          <w:sz w:val="20"/>
          <w:szCs w:val="20"/>
        </w:rPr>
        <w:lastRenderedPageBreak/>
        <w:t>Documento técnico dirigido a un administrador de bases de datos. No incluye capturas de pantalla; todas las decisiones se justifican en texto.</w:t>
      </w:r>
    </w:p>
    <w:p w14:paraId="3C0D48A5" w14:textId="77777777" w:rsidR="004806C9" w:rsidRDefault="00000000">
      <w:pPr>
        <w:pStyle w:val="Ttulo1"/>
        <w:pBdr>
          <w:bottom w:val="single" w:sz="6" w:space="4" w:color="2E5395"/>
        </w:pBdr>
      </w:pPr>
      <w:r>
        <w:t>1. Declaraciones</w:t>
      </w:r>
    </w:p>
    <w:p w14:paraId="64A8ADB1" w14:textId="77777777" w:rsidR="004806C9" w:rsidRDefault="00000000">
      <w:pPr>
        <w:spacing w:after="160" w:line="276" w:lineRule="auto"/>
      </w:pPr>
      <w:r>
        <w:t>Se deja constancia de los siguientes puntos, válidos para la totalidad del presente documento:</w:t>
      </w:r>
    </w:p>
    <w:p w14:paraId="361C51A4" w14:textId="77777777" w:rsidR="004806C9" w:rsidRDefault="00000000">
      <w:pPr>
        <w:pStyle w:val="Prrafodelista"/>
        <w:numPr>
          <w:ilvl w:val="0"/>
          <w:numId w:val="2"/>
        </w:numPr>
        <w:spacing w:after="100" w:line="276" w:lineRule="auto"/>
      </w:pPr>
      <w:r>
        <w:t>El entorno descripto corresponde a una instalación de desarrollo y pruebas académicas, no a un entorno productivo.</w:t>
      </w:r>
    </w:p>
    <w:p w14:paraId="7774E175" w14:textId="77777777" w:rsidR="004806C9" w:rsidRDefault="00000000">
      <w:pPr>
        <w:pStyle w:val="Prrafodelista"/>
        <w:numPr>
          <w:ilvl w:val="0"/>
          <w:numId w:val="2"/>
        </w:numPr>
        <w:spacing w:after="100" w:line="276" w:lineRule="auto"/>
      </w:pPr>
      <w:r>
        <w:t>La instancia documentada es una instalación stand-alone, sin mecanismos de alta disponibilidad (clustering, Always On Availability Groups) ni réplicas.</w:t>
      </w:r>
    </w:p>
    <w:p w14:paraId="59FA4063" w14:textId="77777777" w:rsidR="004806C9" w:rsidRDefault="00000000">
      <w:pPr>
        <w:pStyle w:val="Prrafodelista"/>
        <w:numPr>
          <w:ilvl w:val="0"/>
          <w:numId w:val="2"/>
        </w:numPr>
        <w:spacing w:after="100" w:line="276" w:lineRule="auto"/>
      </w:pPr>
      <w:r>
        <w:t>Las decisiones de configuración se basan en el volumen de datos proyectado para el sistema (sedes, selecciones, partidos, campañas publicitarias e importaciones históricas) descripto en el enunciado del Trabajo Práctico, y en los recursos de hardware disponibles para el grupo durante el desarrollo.</w:t>
      </w:r>
    </w:p>
    <w:p w14:paraId="7084EB9B" w14:textId="77777777" w:rsidR="004806C9" w:rsidRDefault="00000000">
      <w:pPr>
        <w:pStyle w:val="Prrafodelista"/>
        <w:numPr>
          <w:ilvl w:val="0"/>
          <w:numId w:val="2"/>
        </w:numPr>
        <w:spacing w:after="100" w:line="276" w:lineRule="auto"/>
      </w:pPr>
      <w:r>
        <w:t>Conforme lo solicitado en la consigna de esta entrega, no se incluyen capturas de pantalla; toda referencia a pasos de instalación se describe en texto.</w:t>
      </w:r>
    </w:p>
    <w:p w14:paraId="364F8AC0" w14:textId="0B66BF17" w:rsidR="004806C9" w:rsidRDefault="00000000">
      <w:pPr>
        <w:pStyle w:val="Prrafodelista"/>
        <w:numPr>
          <w:ilvl w:val="0"/>
          <w:numId w:val="2"/>
        </w:numPr>
        <w:spacing w:after="100" w:line="276" w:lineRule="auto"/>
      </w:pPr>
      <w:r>
        <w:t>Rutas de archivos, nombres de login y contraseñas mencionad</w:t>
      </w:r>
      <w:r w:rsidR="00313417">
        <w:t>a</w:t>
      </w:r>
      <w:r>
        <w:t>s son ilustrativos del entorno de desarrollo del grupo; de migrarse a un entorno productivo deberán revisarse.</w:t>
      </w:r>
    </w:p>
    <w:p w14:paraId="248AC1E4" w14:textId="77777777" w:rsidR="004806C9" w:rsidRDefault="00000000">
      <w:pPr>
        <w:pStyle w:val="Prrafodelista"/>
        <w:numPr>
          <w:ilvl w:val="0"/>
          <w:numId w:val="2"/>
        </w:numPr>
        <w:spacing w:after="100" w:line="276" w:lineRule="auto"/>
      </w:pPr>
      <w:r>
        <w:t>Los aspectos de seguridad avanzada (roles granulares y cifrado de datos sensibles) y la política de respaldo (RPO) se desarrollan en detalle en la Entrega 8; en este documento solo se fija la configuración base del motor y del servicio.</w:t>
      </w:r>
    </w:p>
    <w:p w14:paraId="7A3D0F02" w14:textId="77777777" w:rsidR="004806C9" w:rsidRDefault="00000000">
      <w:pPr>
        <w:pStyle w:val="Ttulo1"/>
        <w:pBdr>
          <w:bottom w:val="single" w:sz="6" w:space="4" w:color="2E5395"/>
        </w:pBdr>
      </w:pPr>
      <w:r>
        <w:t>2. Motor de base de datos elegido</w:t>
      </w:r>
    </w:p>
    <w:p w14:paraId="1375AF00" w14:textId="77777777" w:rsidR="004806C9" w:rsidRDefault="00000000">
      <w:pPr>
        <w:pStyle w:val="Ttulo2"/>
      </w:pPr>
      <w:r>
        <w:t>Edición de SQL Server</w:t>
      </w:r>
    </w:p>
    <w:p w14:paraId="24C73C70" w14:textId="77777777" w:rsidR="004806C9" w:rsidRDefault="00000000">
      <w:pPr>
        <w:pStyle w:val="Prrafodelista"/>
        <w:numPr>
          <w:ilvl w:val="0"/>
          <w:numId w:val="2"/>
        </w:numPr>
        <w:spacing w:after="100" w:line="276" w:lineRule="auto"/>
      </w:pPr>
      <w:r>
        <w:t>Producto: Microsoft SQL Server 2022.</w:t>
      </w:r>
    </w:p>
    <w:p w14:paraId="0A665953" w14:textId="77777777" w:rsidR="004806C9" w:rsidRDefault="00000000">
      <w:pPr>
        <w:pStyle w:val="Prrafodelista"/>
        <w:numPr>
          <w:ilvl w:val="0"/>
          <w:numId w:val="2"/>
        </w:numPr>
        <w:spacing w:after="100" w:line="276" w:lineRule="auto"/>
      </w:pPr>
      <w:r>
        <w:t>Edición: Developer Edition.</w:t>
      </w:r>
    </w:p>
    <w:p w14:paraId="137D8751" w14:textId="77777777" w:rsidR="004806C9" w:rsidRDefault="00000000">
      <w:pPr>
        <w:pStyle w:val="Prrafodelista"/>
        <w:numPr>
          <w:ilvl w:val="0"/>
          <w:numId w:val="2"/>
        </w:numPr>
        <w:spacing w:after="100" w:line="276" w:lineRule="auto"/>
      </w:pPr>
      <w:r>
        <w:t>Justificación: la Developer Edition incluye el mismo conjunto de funcionalidades que la edición Enterprise (seguridad a nivel de fila, Always Encrypted, particionamiento de tablas, Extended Events avanzados, etc.) sin costo de licenciamiento, bajo la condición de uso exclusivo para desarrollo y pruebas, que es exactamente el escenario de este Trabajo Práctico. Esto permite validar en esta etapa funcionalidades que luego se requerirán en la Entrega 8 (cifrado de datos sensibles) sin tener que migrar de edición más adelante.</w:t>
      </w:r>
    </w:p>
    <w:p w14:paraId="51BCF0D0" w14:textId="77777777" w:rsidR="004806C9" w:rsidRDefault="00000000">
      <w:pPr>
        <w:pStyle w:val="Prrafodelista"/>
        <w:numPr>
          <w:ilvl w:val="0"/>
          <w:numId w:val="2"/>
        </w:numPr>
        <w:spacing w:after="100" w:line="276" w:lineRule="auto"/>
      </w:pPr>
      <w:r>
        <w:t>Alternativa descartada: SQL Server Express, por su límite de 10 GB por base de datos y de 1,4 GB de buffer pool (1 GB en versiones previas), insuficiente ante el crecimiento esperado por la carga del juego de datos mínimo (selecciones, partidos, convocatorias) sumado a las importaciones masivas de la Entrega 6.</w:t>
      </w:r>
    </w:p>
    <w:p w14:paraId="586F32DA" w14:textId="77777777" w:rsidR="004806C9" w:rsidRDefault="00000000">
      <w:pPr>
        <w:pStyle w:val="Prrafodelista"/>
        <w:numPr>
          <w:ilvl w:val="0"/>
          <w:numId w:val="2"/>
        </w:numPr>
        <w:spacing w:after="100" w:line="276" w:lineRule="auto"/>
      </w:pPr>
      <w:r>
        <w:t>Sistema operativo del motor: Windows Server 2022 Standard (la misma instalación es compatible con Windows 10/11 Pro de 64 bits, usado por los integrantes en sus entornos locales de desarrollo).</w:t>
      </w:r>
    </w:p>
    <w:p w14:paraId="3CFEC67D" w14:textId="77777777" w:rsidR="004806C9" w:rsidRDefault="00000000">
      <w:pPr>
        <w:pStyle w:val="Ttulo2"/>
      </w:pPr>
      <w:r>
        <w:t>Recursos de la máquina de instalación</w:t>
      </w:r>
    </w:p>
    <w:p w14:paraId="15117577" w14:textId="77777777" w:rsidR="004806C9" w:rsidRDefault="00000000">
      <w:pPr>
        <w:pStyle w:val="Prrafodelista"/>
        <w:numPr>
          <w:ilvl w:val="0"/>
          <w:numId w:val="2"/>
        </w:numPr>
        <w:spacing w:after="100" w:line="276" w:lineRule="auto"/>
      </w:pPr>
      <w:r>
        <w:t>CPU: 4 núcleos virtuales (vCPU), arquitectura x64.</w:t>
      </w:r>
    </w:p>
    <w:p w14:paraId="59D417B7" w14:textId="77777777" w:rsidR="004806C9" w:rsidRDefault="00000000">
      <w:pPr>
        <w:pStyle w:val="Prrafodelista"/>
        <w:numPr>
          <w:ilvl w:val="0"/>
          <w:numId w:val="2"/>
        </w:numPr>
        <w:spacing w:after="100" w:line="276" w:lineRule="auto"/>
      </w:pPr>
      <w:r>
        <w:t>Memoria RAM física: 16 GB.</w:t>
      </w:r>
    </w:p>
    <w:p w14:paraId="389EBE3E" w14:textId="77777777" w:rsidR="004806C9" w:rsidRDefault="00000000">
      <w:pPr>
        <w:pStyle w:val="Prrafodelista"/>
        <w:numPr>
          <w:ilvl w:val="0"/>
          <w:numId w:val="2"/>
        </w:numPr>
        <w:spacing w:after="100" w:line="276" w:lineRule="auto"/>
      </w:pPr>
      <w:r>
        <w:lastRenderedPageBreak/>
        <w:t>Almacenamiento: 120 GB en disco de estado sólido (SSD), distribuidos en dos unidades lógicas: una para el sistema operativo y los binarios de SQL Server (unidad C:, 60 GB) y otra dedicada exclusivamente a los archivos de la base de datos (unidad D:, 60 GB), conforme al criterio detallado en la sección “Ubicación de archivos”.</w:t>
      </w:r>
    </w:p>
    <w:p w14:paraId="3CF5268B" w14:textId="77777777" w:rsidR="004806C9" w:rsidRDefault="00000000">
      <w:pPr>
        <w:pStyle w:val="Prrafodelista"/>
        <w:numPr>
          <w:ilvl w:val="0"/>
          <w:numId w:val="2"/>
        </w:numPr>
        <w:spacing w:after="100" w:line="276" w:lineRule="auto"/>
      </w:pPr>
      <w:r>
        <w:t>Red: adaptador Gigabit Ethernet.</w:t>
      </w:r>
    </w:p>
    <w:p w14:paraId="23D46A0E" w14:textId="77777777" w:rsidR="004806C9" w:rsidRDefault="00000000">
      <w:pPr>
        <w:pStyle w:val="Prrafodelista"/>
        <w:numPr>
          <w:ilvl w:val="0"/>
          <w:numId w:val="2"/>
        </w:numPr>
        <w:spacing w:after="100" w:line="276" w:lineRule="auto"/>
      </w:pPr>
      <w:r>
        <w:t>Estos recursos superan los requisitos mínimos publicados por Microsoft para SQL Server 2022 (2 núcleos a 1,4 GHz y 2 GB de RAM) y dejan margen de crecimiento para el desarrollo de las Entregas 5 a 9, en particular para los procesos de importación masiva y la generación de reportes con joins extensos.</w:t>
      </w:r>
    </w:p>
    <w:p w14:paraId="26F56079" w14:textId="77777777" w:rsidR="004806C9" w:rsidRDefault="00000000">
      <w:pPr>
        <w:pStyle w:val="Ttulo1"/>
        <w:pBdr>
          <w:bottom w:val="single" w:sz="6" w:space="4" w:color="2E5395"/>
        </w:pBdr>
      </w:pPr>
      <w:r>
        <w:t>3. Proceso de instalación</w:t>
      </w:r>
    </w:p>
    <w:p w14:paraId="2E82BD14" w14:textId="77777777" w:rsidR="004806C9" w:rsidRDefault="00000000">
      <w:pPr>
        <w:pStyle w:val="Prrafodelista"/>
        <w:numPr>
          <w:ilvl w:val="0"/>
          <w:numId w:val="2"/>
        </w:numPr>
        <w:spacing w:after="100" w:line="276" w:lineRule="auto"/>
      </w:pPr>
      <w:r>
        <w:t>Modalidad de instalación: instalador gráfico de SQL Server 2022 (Setup Wizard) sobre el sistema operativo base, modalidad elegida por tratarse de una única instalación de desarrollo sin necesidad de automatización ni reproducibilidad vía scripts de aprovisionamiento.</w:t>
      </w:r>
    </w:p>
    <w:p w14:paraId="689C67CD" w14:textId="77777777" w:rsidR="004806C9" w:rsidRDefault="00000000">
      <w:pPr>
        <w:pStyle w:val="Prrafodelista"/>
        <w:numPr>
          <w:ilvl w:val="0"/>
          <w:numId w:val="2"/>
        </w:numPr>
        <w:spacing w:after="100" w:line="276" w:lineRule="auto"/>
      </w:pPr>
      <w:r>
        <w:t>Componentes instalados: Database Engine Services, SQL Server Management Studio (SSMS, instalado por separado), herramientas de conectividad cliente y SQL Server Agent. Se excluyen Analysis Services, Integration Services y Reporting Services por no ser requeridos por el alcance del TP.</w:t>
      </w:r>
    </w:p>
    <w:p w14:paraId="534724DF" w14:textId="77777777" w:rsidR="004806C9" w:rsidRDefault="00000000">
      <w:pPr>
        <w:pStyle w:val="Prrafodelista"/>
        <w:numPr>
          <w:ilvl w:val="0"/>
          <w:numId w:val="2"/>
        </w:numPr>
        <w:spacing w:after="100" w:line="276" w:lineRule="auto"/>
      </w:pPr>
      <w:r>
        <w:t>Tipo de instancia: instancia default (sin nombre), ya que la máquina aloja una única instancia de SQL Server y se simplifica la cadena de conexión para la aplicación y los procesos de importación.</w:t>
      </w:r>
    </w:p>
    <w:p w14:paraId="6B5E7373" w14:textId="77777777" w:rsidR="004806C9" w:rsidRDefault="00000000">
      <w:pPr>
        <w:pStyle w:val="Prrafodelista"/>
        <w:numPr>
          <w:ilvl w:val="0"/>
          <w:numId w:val="2"/>
        </w:numPr>
        <w:spacing w:after="100" w:line="276" w:lineRule="auto"/>
      </w:pPr>
      <w:r>
        <w:t>Modo de autenticación: se configura en Modo mixto (Windows + SQL Server Authentication) desde el propio instalador; el detalle y la justificación se desarrollan en la sección de Configuración de seguridad.</w:t>
      </w:r>
    </w:p>
    <w:p w14:paraId="217FE6F5" w14:textId="77777777" w:rsidR="004806C9" w:rsidRDefault="00000000">
      <w:pPr>
        <w:pStyle w:val="Prrafodelista"/>
        <w:numPr>
          <w:ilvl w:val="0"/>
          <w:numId w:val="2"/>
        </w:numPr>
        <w:spacing w:after="100" w:line="276" w:lineRule="auto"/>
      </w:pPr>
      <w:r w:rsidRPr="00BD09F2">
        <w:rPr>
          <w:lang w:val="en-US"/>
        </w:rPr>
        <w:t xml:space="preserve">Collation: Modern_Spanish_CI_AS. </w:t>
      </w:r>
      <w:r>
        <w:t>Se elige sensibilidad a acentos y case-insensitive para reflejar correctamente el ordenamiento y las búsquedas sobre nombres de jugadores, selecciones y sedes en español, sin exigir coincidencia exacta de mayúsculas/minúsculas en las búsquedas de la aplicación.</w:t>
      </w:r>
    </w:p>
    <w:p w14:paraId="42CC194C" w14:textId="77777777" w:rsidR="004806C9" w:rsidRDefault="00000000">
      <w:pPr>
        <w:pStyle w:val="Ttulo2"/>
      </w:pPr>
      <w:r>
        <w:t>Protocolo y puerto de atención</w:t>
      </w:r>
    </w:p>
    <w:p w14:paraId="2AF35FB6" w14:textId="77777777" w:rsidR="004806C9" w:rsidRDefault="00000000">
      <w:pPr>
        <w:pStyle w:val="Prrafodelista"/>
        <w:numPr>
          <w:ilvl w:val="0"/>
          <w:numId w:val="2"/>
        </w:numPr>
        <w:spacing w:after="100" w:line="276" w:lineRule="auto"/>
      </w:pPr>
      <w:r>
        <w:t>Protocolo de red habilitado: TCP/IP, habilitado en el SQL Server Configuration Manager como único protocolo activo para conexiones de red.</w:t>
      </w:r>
    </w:p>
    <w:p w14:paraId="55ABA08F" w14:textId="77777777" w:rsidR="004806C9" w:rsidRDefault="00000000">
      <w:pPr>
        <w:pStyle w:val="Prrafodelista"/>
        <w:numPr>
          <w:ilvl w:val="0"/>
          <w:numId w:val="2"/>
        </w:numPr>
        <w:spacing w:after="100" w:line="276" w:lineRule="auto"/>
      </w:pPr>
      <w:r>
        <w:t>Named Pipes: deshabilitado, al no requerirse conectividad sobre recursos compartidos de red ni compatibilidad con clientes legados.</w:t>
      </w:r>
    </w:p>
    <w:p w14:paraId="343B66D1" w14:textId="77777777" w:rsidR="004806C9" w:rsidRDefault="00000000">
      <w:pPr>
        <w:pStyle w:val="Prrafodelista"/>
        <w:numPr>
          <w:ilvl w:val="0"/>
          <w:numId w:val="2"/>
        </w:numPr>
        <w:spacing w:after="100" w:line="276" w:lineRule="auto"/>
      </w:pPr>
      <w:r>
        <w:t>Shared Memory: se mantiene habilitado únicamente para las conexiones locales (SSMS y procesos ejecutados en la propia máquina del servidor), por ser el protocolo de menor latencia para ese escenario.</w:t>
      </w:r>
    </w:p>
    <w:p w14:paraId="65E423BC" w14:textId="77777777" w:rsidR="004806C9" w:rsidRDefault="00000000">
      <w:pPr>
        <w:pStyle w:val="Prrafodelista"/>
        <w:numPr>
          <w:ilvl w:val="0"/>
          <w:numId w:val="2"/>
        </w:numPr>
        <w:spacing w:after="100" w:line="276" w:lineRule="auto"/>
      </w:pPr>
      <w:r>
        <w:t>Puerto de atención: se fija de forma estática el puerto TCP 1433 para la instancia default, en lugar de dejarlo en asignación dinámica.</w:t>
      </w:r>
    </w:p>
    <w:p w14:paraId="7C3BCBE5" w14:textId="77777777" w:rsidR="004806C9" w:rsidRDefault="00000000">
      <w:pPr>
        <w:pStyle w:val="Prrafodelista"/>
        <w:numPr>
          <w:ilvl w:val="0"/>
          <w:numId w:val="2"/>
        </w:numPr>
        <w:spacing w:after="100" w:line="276" w:lineRule="auto"/>
      </w:pPr>
      <w:r>
        <w:t>Dado que el puerto queda fijo y la instancia es única (sin instancias nombradas), se deshabilita el servicio SQL Server Browser, reduciendo la superficie de exposición del servidor.</w:t>
      </w:r>
    </w:p>
    <w:p w14:paraId="1D09FFE9" w14:textId="77777777" w:rsidR="004806C9" w:rsidRDefault="00000000">
      <w:pPr>
        <w:pStyle w:val="Ttulo1"/>
        <w:pBdr>
          <w:bottom w:val="single" w:sz="6" w:space="4" w:color="2E5395"/>
        </w:pBdr>
      </w:pPr>
      <w:r>
        <w:t>4. Ubicación de archivos</w:t>
      </w:r>
    </w:p>
    <w:p w14:paraId="23AB60E4" w14:textId="77777777" w:rsidR="004806C9" w:rsidRDefault="00000000">
      <w:pPr>
        <w:pStyle w:val="Prrafodelista"/>
        <w:numPr>
          <w:ilvl w:val="0"/>
          <w:numId w:val="2"/>
        </w:numPr>
        <w:spacing w:after="100" w:line="276" w:lineRule="auto"/>
      </w:pPr>
      <w:r>
        <w:t>Archivos de datos (.mdf/.ndf): D:\SQLData\MundialFutbol\</w:t>
      </w:r>
    </w:p>
    <w:p w14:paraId="00B0DD1B" w14:textId="77777777" w:rsidR="004806C9" w:rsidRDefault="00000000">
      <w:pPr>
        <w:pStyle w:val="Prrafodelista"/>
        <w:numPr>
          <w:ilvl w:val="0"/>
          <w:numId w:val="2"/>
        </w:numPr>
        <w:spacing w:after="100" w:line="276" w:lineRule="auto"/>
      </w:pPr>
      <w:r>
        <w:lastRenderedPageBreak/>
        <w:t>Archivo de log (.ldf): D:\SQLLogs\MundialFutbol\ (en una carpeta separada de los archivos de datos dentro de la misma unidad D:, dado que la máquina de desarrollo cuenta con una única unidad adicional disponible; en un entorno con más discos físicos se recomienda separar datos y logs en unidades distintas para aislar la carga de E/S).</w:t>
      </w:r>
    </w:p>
    <w:p w14:paraId="1C1EF2DB" w14:textId="77777777" w:rsidR="004806C9" w:rsidRDefault="00000000">
      <w:pPr>
        <w:pStyle w:val="Prrafodelista"/>
        <w:numPr>
          <w:ilvl w:val="0"/>
          <w:numId w:val="2"/>
        </w:numPr>
        <w:spacing w:after="100" w:line="276" w:lineRule="auto"/>
      </w:pPr>
      <w:r>
        <w:t>tempdb: D:\SQLTempDB\, en una carpeta propia para poder monitorear su crecimiento de forma independiente del resto de las bases.</w:t>
      </w:r>
    </w:p>
    <w:p w14:paraId="6A578F2D" w14:textId="77777777" w:rsidR="004806C9" w:rsidRDefault="00000000">
      <w:pPr>
        <w:pStyle w:val="Prrafodelista"/>
        <w:numPr>
          <w:ilvl w:val="0"/>
          <w:numId w:val="2"/>
        </w:numPr>
        <w:spacing w:after="100" w:line="276" w:lineRule="auto"/>
      </w:pPr>
      <w:r>
        <w:t>Carpeta de backups: D:\SQLBackups\MundialFutbol\ (la política de retención y frecuencia de respaldo se definirá en detalle en la Entrega 8).</w:t>
      </w:r>
    </w:p>
    <w:p w14:paraId="3C1CB1F6" w14:textId="77777777" w:rsidR="004806C9" w:rsidRDefault="00000000">
      <w:pPr>
        <w:pStyle w:val="Ttulo1"/>
        <w:pBdr>
          <w:bottom w:val="single" w:sz="6" w:space="4" w:color="2E5395"/>
        </w:pBdr>
      </w:pPr>
      <w:r>
        <w:t>5. Tamaño de la base de datos</w:t>
      </w:r>
    </w:p>
    <w:p w14:paraId="33E40F39" w14:textId="77777777" w:rsidR="004806C9" w:rsidRDefault="00000000">
      <w:pPr>
        <w:pStyle w:val="Prrafodelista"/>
        <w:numPr>
          <w:ilvl w:val="0"/>
          <w:numId w:val="2"/>
        </w:numPr>
        <w:spacing w:after="100" w:line="276" w:lineRule="auto"/>
      </w:pPr>
      <w:r>
        <w:t>Archivo de datos primario (.mdf): tamaño inicial 500 MB, con autocrecimiento configurado en incrementos fijos de 128 MB (se evita el autogrowth por porcentaje para prevenir saltos de tamaño cada vez más grandes a medida que el archivo crece).</w:t>
      </w:r>
    </w:p>
    <w:p w14:paraId="4F28C3EA" w14:textId="77777777" w:rsidR="004806C9" w:rsidRDefault="00000000">
      <w:pPr>
        <w:pStyle w:val="Prrafodelista"/>
        <w:numPr>
          <w:ilvl w:val="0"/>
          <w:numId w:val="2"/>
        </w:numPr>
        <w:spacing w:after="100" w:line="276" w:lineRule="auto"/>
      </w:pPr>
      <w:r>
        <w:t>Archivo de log (.ldf): tamaño inicial 250 MB, con autocrecimiento en incrementos fijos de 64 MB.</w:t>
      </w:r>
    </w:p>
    <w:p w14:paraId="69F0C96A" w14:textId="77777777" w:rsidR="004806C9" w:rsidRDefault="00000000">
      <w:pPr>
        <w:pStyle w:val="Prrafodelista"/>
        <w:numPr>
          <w:ilvl w:val="0"/>
          <w:numId w:val="2"/>
        </w:numPr>
        <w:spacing w:after="100" w:line="276" w:lineRule="auto"/>
      </w:pPr>
      <w:r>
        <w:t>Tamaño máximo: sin límite fijo (restringido solo por el espacio en disco disponible), con monitoreo manual del espacio libre, ya que en esta etapa del desarrollo resulta difícil fijar un techo definitivo: los criterios de aceptación exigen un piso de datos (16 selecciones con 23 convocados, 24 partidos, 15 árbitros, campañas publicitarias de 6 países) al que se suma el volumen variable de las importaciones masivas (Entrega 6).</w:t>
      </w:r>
    </w:p>
    <w:p w14:paraId="556BC671" w14:textId="77777777" w:rsidR="004806C9" w:rsidRDefault="00000000">
      <w:pPr>
        <w:pStyle w:val="Prrafodelista"/>
        <w:numPr>
          <w:ilvl w:val="0"/>
          <w:numId w:val="2"/>
        </w:numPr>
        <w:spacing w:after="100" w:line="276" w:lineRule="auto"/>
      </w:pPr>
      <w:r>
        <w:t>Proyección inicial: se estima un tamaño de base de datos de entre 300 y 600 MB una vez cargado el juego de datos mínimo (seed data). Durante los días de partido simulados (alta escritura de goles, tarjetas y cambios) se espera un crecimiento más acelerado del archivo de log, por lo que el esquema de autogrowth se revisará una vez cargado el juego de datos completo.</w:t>
      </w:r>
    </w:p>
    <w:p w14:paraId="22A8BC36" w14:textId="77777777" w:rsidR="004806C9" w:rsidRDefault="00000000">
      <w:pPr>
        <w:pStyle w:val="Prrafodelista"/>
        <w:numPr>
          <w:ilvl w:val="0"/>
          <w:numId w:val="2"/>
        </w:numPr>
        <w:spacing w:after="100" w:line="276" w:lineRule="auto"/>
      </w:pPr>
      <w:r>
        <w:t>tempdb: se configura un archivo de datos por núcleo lógico disponible, hasta un máximo de 4 (según la recomendación de Microsoft para instancias de hasta 8 núcleos), cada uno con tamaño inicial de 128 MB y autocrecimiento de 64 MB, todos del mismo tamaño para evitar contención por el algoritmo de llenado proporcional (proportional fill).</w:t>
      </w:r>
    </w:p>
    <w:p w14:paraId="3E493151" w14:textId="77777777" w:rsidR="004806C9" w:rsidRDefault="00000000">
      <w:pPr>
        <w:pStyle w:val="Ttulo1"/>
        <w:pBdr>
          <w:bottom w:val="single" w:sz="6" w:space="4" w:color="2E5395"/>
        </w:pBdr>
      </w:pPr>
      <w:r>
        <w:t>6. Configuración de memoria</w:t>
      </w:r>
    </w:p>
    <w:p w14:paraId="18F5D821" w14:textId="77777777" w:rsidR="004806C9" w:rsidRDefault="00000000">
      <w:pPr>
        <w:pStyle w:val="Prrafodelista"/>
        <w:numPr>
          <w:ilvl w:val="0"/>
          <w:numId w:val="2"/>
        </w:numPr>
        <w:spacing w:after="100" w:line="276" w:lineRule="auto"/>
      </w:pPr>
      <w:r w:rsidRPr="00BD09F2">
        <w:rPr>
          <w:lang w:val="en-US"/>
        </w:rPr>
        <w:t xml:space="preserve">Min server memory: 2048 MB (2 GB). </w:t>
      </w:r>
      <w:r>
        <w:t>Garantiza que el motor no libere memoria por debajo de este piso ante picos de uso de otros procesos del sistema operativo, evitando caídas de performance.</w:t>
      </w:r>
    </w:p>
    <w:p w14:paraId="2A712C74" w14:textId="77777777" w:rsidR="004806C9" w:rsidRDefault="00000000">
      <w:pPr>
        <w:pStyle w:val="Prrafodelista"/>
        <w:numPr>
          <w:ilvl w:val="0"/>
          <w:numId w:val="2"/>
        </w:numPr>
        <w:spacing w:after="100" w:line="276" w:lineRule="auto"/>
      </w:pPr>
      <w:r>
        <w:t>Max server memory: 8192 MB (8 GB), es decir, la mitad de los 16 GB de RAM física disponibles. Se reserva el resto para el sistema operativo, SSMS y otras herramientas que conviven en la misma máquina durante el desarrollo.</w:t>
      </w:r>
    </w:p>
    <w:p w14:paraId="52C31609" w14:textId="77777777" w:rsidR="004806C9" w:rsidRDefault="00000000">
      <w:pPr>
        <w:pStyle w:val="Prrafodelista"/>
        <w:numPr>
          <w:ilvl w:val="0"/>
          <w:numId w:val="2"/>
        </w:numPr>
        <w:spacing w:after="100" w:line="276" w:lineRule="auto"/>
      </w:pPr>
      <w:r>
        <w:t>Max Degree of Parallelism (MAXDOP): 2 (la mitad de los núcleos disponibles). Permite que las consultas de reportes (Entrega 7) se beneficien de paralelismo sin saturar la totalidad de la CPU en una máquina compartida con otras tareas de desarrollo.</w:t>
      </w:r>
    </w:p>
    <w:p w14:paraId="21314471" w14:textId="77777777" w:rsidR="004806C9" w:rsidRDefault="00000000">
      <w:pPr>
        <w:pStyle w:val="Prrafodelista"/>
        <w:numPr>
          <w:ilvl w:val="0"/>
          <w:numId w:val="2"/>
        </w:numPr>
        <w:spacing w:after="100" w:line="276" w:lineRule="auto"/>
      </w:pPr>
      <w:r>
        <w:t>Cost Threshold for Parallelism: se eleva de 5 (valor por defecto) a 25, de forma que solo las consultas más costosas (reportes con joins extensos y tablas pivot) generen planes paralelos, evitando el overhead de paralelizar operaciones transaccionales simples (altas, bajas y modificaciones).</w:t>
      </w:r>
    </w:p>
    <w:p w14:paraId="7A1B6F79" w14:textId="77777777" w:rsidR="004806C9" w:rsidRDefault="00000000">
      <w:pPr>
        <w:pStyle w:val="Ttulo1"/>
        <w:pBdr>
          <w:bottom w:val="single" w:sz="6" w:space="4" w:color="2E5395"/>
        </w:pBdr>
      </w:pPr>
      <w:r>
        <w:lastRenderedPageBreak/>
        <w:t>7. Configuración de seguridad</w:t>
      </w:r>
    </w:p>
    <w:p w14:paraId="09907FA7" w14:textId="77777777" w:rsidR="004806C9" w:rsidRDefault="00000000">
      <w:pPr>
        <w:pStyle w:val="Prrafodelista"/>
        <w:numPr>
          <w:ilvl w:val="0"/>
          <w:numId w:val="2"/>
        </w:numPr>
        <w:spacing w:after="100" w:line="276" w:lineRule="auto"/>
      </w:pPr>
      <w:r>
        <w:t>Modo de autenticación: Mixto (Windows Authentication + SQL Server Authentication), para permitir tanto el acceso de los integrantes del grupo mediante sus cuentas de Windows como el uso de logins SQL dedicados para la aplicación y los procesos de importación (Entrega 6) y la aplicación de gestión (Entrega 9).</w:t>
      </w:r>
    </w:p>
    <w:p w14:paraId="077DE58A" w14:textId="77777777" w:rsidR="004806C9" w:rsidRDefault="00000000">
      <w:pPr>
        <w:pStyle w:val="Prrafodelista"/>
        <w:numPr>
          <w:ilvl w:val="0"/>
          <w:numId w:val="2"/>
        </w:numPr>
        <w:spacing w:after="100" w:line="276" w:lineRule="auto"/>
      </w:pPr>
      <w:r>
        <w:t>Cuenta de servicio del motor: cuenta de servicio dedicada de dominio/local (en lugar de Local System), siguiendo el principio de mínimo privilegio a nivel del sistema operativo.</w:t>
      </w:r>
    </w:p>
    <w:p w14:paraId="03DB97A2" w14:textId="77777777" w:rsidR="004806C9" w:rsidRDefault="00000000">
      <w:pPr>
        <w:pStyle w:val="Prrafodelista"/>
        <w:numPr>
          <w:ilvl w:val="0"/>
          <w:numId w:val="2"/>
        </w:numPr>
        <w:spacing w:after="100" w:line="276" w:lineRule="auto"/>
      </w:pPr>
      <w:r>
        <w:t>Firewall: se habilita una única regla de entrada para el puerto TCP 1433, restringida a la subred de los integrantes del grupo; no hay exposición del servidor a Internet.</w:t>
      </w:r>
    </w:p>
    <w:p w14:paraId="1A54D3AE" w14:textId="77777777" w:rsidR="004806C9" w:rsidRDefault="00000000">
      <w:pPr>
        <w:pStyle w:val="Prrafodelista"/>
        <w:numPr>
          <w:ilvl w:val="0"/>
          <w:numId w:val="2"/>
        </w:numPr>
        <w:spacing w:after="100" w:line="276" w:lineRule="auto"/>
      </w:pPr>
      <w:r>
        <w:t>Política de contraseñas: para los logins SQL creados se mantienen activadas las opciones CHECK_POLICY y CHECK_EXPIRATION, de forma que se apliquen las políticas de complejidad y vencimiento definidas por el sistema operativo.</w:t>
      </w:r>
    </w:p>
    <w:p w14:paraId="43498C08" w14:textId="77777777" w:rsidR="004806C9" w:rsidRDefault="00000000">
      <w:pPr>
        <w:pStyle w:val="Prrafodelista"/>
        <w:numPr>
          <w:ilvl w:val="0"/>
          <w:numId w:val="2"/>
        </w:numPr>
        <w:spacing w:after="100" w:line="276" w:lineRule="auto"/>
      </w:pPr>
      <w:r>
        <w:t>Principio de mínimo privilegio: en esta etapa solo se crea el login administrador del grupo con rol sysadmin, necesario para completar la instalación y las entregas siguientes. Los roles de aplicación (administrador, cargador de resultados, gestor de publicidad, consulta) con permisos granulares se documentan e implementan en la Entrega 8.</w:t>
      </w:r>
    </w:p>
    <w:p w14:paraId="778DF63B" w14:textId="77777777" w:rsidR="004806C9" w:rsidRDefault="00000000">
      <w:pPr>
        <w:pStyle w:val="Ttulo1"/>
        <w:pBdr>
          <w:bottom w:val="single" w:sz="6" w:space="4" w:color="2E5395"/>
        </w:pBdr>
      </w:pPr>
      <w:r>
        <w:t>8. Configuración inicial de eventos</w:t>
      </w:r>
    </w:p>
    <w:p w14:paraId="1C2C21C8" w14:textId="77777777" w:rsidR="004806C9" w:rsidRDefault="00000000">
      <w:pPr>
        <w:pStyle w:val="Prrafodelista"/>
        <w:numPr>
          <w:ilvl w:val="0"/>
          <w:numId w:val="2"/>
        </w:numPr>
        <w:spacing w:after="100" w:line="276" w:lineRule="auto"/>
      </w:pPr>
      <w:r>
        <w:t>SQL Server Agent: se habilita y se configura su inicio en modo automático, dado que se utilizará para programar alertas y, eventualmente, tareas de backup (Entrega 8).</w:t>
      </w:r>
    </w:p>
    <w:p w14:paraId="6418C24E" w14:textId="77777777" w:rsidR="004806C9" w:rsidRDefault="00000000">
      <w:pPr>
        <w:pStyle w:val="Prrafodelista"/>
        <w:numPr>
          <w:ilvl w:val="0"/>
          <w:numId w:val="2"/>
        </w:numPr>
        <w:spacing w:after="100" w:line="276" w:lineRule="auto"/>
      </w:pPr>
      <w:r>
        <w:t>Registro de errores (Error Log): se amplía la cantidad de archivos históricos conservados de 6 (valor por defecto) a 10, para mantener mayor trazabilidad durante todo el desarrollo de las entregas siguientes.</w:t>
      </w:r>
    </w:p>
    <w:p w14:paraId="24E32392" w14:textId="77777777" w:rsidR="004806C9" w:rsidRDefault="00000000">
      <w:pPr>
        <w:pStyle w:val="Prrafodelista"/>
        <w:numPr>
          <w:ilvl w:val="0"/>
          <w:numId w:val="2"/>
        </w:numPr>
        <w:spacing w:after="100" w:line="276" w:lineRule="auto"/>
      </w:pPr>
      <w:r>
        <w:t>Extended Events: se crea una sesión liviana que captura los eventos login_failed y deadlock_graph, de utilidad para depurar los procedimientos almacenados con transacciones de la Entrega 5 y para detectar bloqueos durante las pruebas de importación masiva de la Entrega 6.</w:t>
      </w:r>
    </w:p>
    <w:p w14:paraId="38D86DD5" w14:textId="77777777" w:rsidR="004806C9" w:rsidRDefault="00000000">
      <w:pPr>
        <w:pStyle w:val="Prrafodelista"/>
        <w:numPr>
          <w:ilvl w:val="0"/>
          <w:numId w:val="2"/>
        </w:numPr>
        <w:spacing w:after="100" w:line="276" w:lineRule="auto"/>
      </w:pPr>
      <w:r>
        <w:t>Alertas de SQL Server Agent: se configuran alertas estándar para errores de severidad 19 a 25 (errores graves/fatales del motor), con notificación por correo una vez definido el operador junto con Database Mail en la Entrega 8.</w:t>
      </w:r>
    </w:p>
    <w:p w14:paraId="61FA5D64" w14:textId="77777777" w:rsidR="004806C9" w:rsidRDefault="00000000">
      <w:pPr>
        <w:pStyle w:val="Prrafodelista"/>
        <w:numPr>
          <w:ilvl w:val="0"/>
          <w:numId w:val="2"/>
        </w:numPr>
        <w:spacing w:after="100" w:line="276" w:lineRule="auto"/>
      </w:pPr>
      <w:r>
        <w:t>Auditoría (SQL Server Audit): no se habilita en esta etapa; queda reservada para la Entrega 8, en conjunto con el cifrado de los datos sensibles de jugadores, cuerpos técnicos y árbitros.</w:t>
      </w:r>
    </w:p>
    <w:p w14:paraId="5CDDBD70" w14:textId="77777777" w:rsidR="004806C9" w:rsidRDefault="00000000">
      <w:pPr>
        <w:pStyle w:val="Ttulo1"/>
        <w:pBdr>
          <w:bottom w:val="single" w:sz="6" w:space="4" w:color="2E5395"/>
        </w:pBdr>
      </w:pPr>
      <w:r>
        <w:t>9. Verificación de la instalación</w:t>
      </w:r>
    </w:p>
    <w:p w14:paraId="41B9520C" w14:textId="77777777" w:rsidR="004806C9" w:rsidRDefault="00000000">
      <w:pPr>
        <w:pStyle w:val="Prrafodelista"/>
        <w:numPr>
          <w:ilvl w:val="0"/>
          <w:numId w:val="2"/>
        </w:numPr>
        <w:spacing w:after="100" w:line="276" w:lineRule="auto"/>
      </w:pPr>
      <w:r>
        <w:t>Validación del estado del servicio: se verifica que el servicio de Windows “SQL Server (MSSQLSERVER)” y el servicio “SQL Server Agent (MSSQLSERVER)” se encuentren iniciados y configurados en modo automático.</w:t>
      </w:r>
    </w:p>
    <w:p w14:paraId="7D8D6076" w14:textId="77777777" w:rsidR="004806C9" w:rsidRDefault="00000000">
      <w:pPr>
        <w:pStyle w:val="Prrafodelista"/>
        <w:numPr>
          <w:ilvl w:val="0"/>
          <w:numId w:val="2"/>
        </w:numPr>
        <w:spacing w:after="100" w:line="276" w:lineRule="auto"/>
      </w:pPr>
      <w:r>
        <w:t>Validación de versión y edición: se ejecuta una consulta sobre SERVERPROPERTY (ProductVersion, Edition, ProductLevel) para confirmar que la instancia corresponde a SQL Server 2022 Developer Edition.</w:t>
      </w:r>
    </w:p>
    <w:p w14:paraId="33BA815C" w14:textId="77777777" w:rsidR="004806C9" w:rsidRDefault="00000000">
      <w:pPr>
        <w:pStyle w:val="Prrafodelista"/>
        <w:numPr>
          <w:ilvl w:val="0"/>
          <w:numId w:val="2"/>
        </w:numPr>
        <w:spacing w:after="100" w:line="276" w:lineRule="auto"/>
      </w:pPr>
      <w:r>
        <w:lastRenderedPageBreak/>
        <w:t>Validación de puerto y protocolo: se confirma, mediante el log de errores del motor al iniciar el servicio, que la instancia está escuchando en el puerto TCP 1433 sobre el protocolo TCP/IP.</w:t>
      </w:r>
    </w:p>
    <w:p w14:paraId="15016EE1" w14:textId="77777777" w:rsidR="004806C9" w:rsidRDefault="00000000">
      <w:pPr>
        <w:pStyle w:val="Prrafodelista"/>
        <w:numPr>
          <w:ilvl w:val="0"/>
          <w:numId w:val="2"/>
        </w:numPr>
        <w:spacing w:after="100" w:line="276" w:lineRule="auto"/>
      </w:pPr>
      <w:r>
        <w:t>Prueba de conexión remota: se realiza una conexión de prueba desde la máquina de otro integrante del grupo utilizando un login SQL, confirmando que el modo mixto y las reglas de firewall configuradas permiten el acceso esperado.</w:t>
      </w:r>
    </w:p>
    <w:p w14:paraId="73077A03" w14:textId="77777777" w:rsidR="004806C9" w:rsidRDefault="00000000">
      <w:pPr>
        <w:pStyle w:val="Prrafodelista"/>
        <w:numPr>
          <w:ilvl w:val="0"/>
          <w:numId w:val="2"/>
        </w:numPr>
        <w:spacing w:after="100" w:line="276" w:lineRule="auto"/>
      </w:pPr>
      <w:r>
        <w:t>Resultado: la instancia responde correctamente en las cuatro validaciones, quedando operativa para el desarrollo de la Entrega 5 (generación de la base de datos y los objetos del esquema).</w:t>
      </w:r>
    </w:p>
    <w:p w14:paraId="00E0C1DA" w14:textId="77777777" w:rsidR="004806C9" w:rsidRDefault="00000000">
      <w:pPr>
        <w:pStyle w:val="Ttulo1"/>
        <w:pBdr>
          <w:bottom w:val="single" w:sz="6" w:space="4" w:color="2E5395"/>
        </w:pBdr>
      </w:pPr>
      <w:r>
        <w:t>10. Consideraciones adicionales</w:t>
      </w:r>
    </w:p>
    <w:p w14:paraId="497965F1" w14:textId="77777777" w:rsidR="004806C9" w:rsidRDefault="00000000">
      <w:pPr>
        <w:pStyle w:val="Prrafodelista"/>
        <w:numPr>
          <w:ilvl w:val="0"/>
          <w:numId w:val="2"/>
        </w:numPr>
        <w:spacing w:after="100" w:line="276" w:lineRule="auto"/>
      </w:pPr>
      <w:r>
        <w:t>Se aplican las actualizaciones acumulativas (Cumulative Updates) disponibles para SQL Server 2022 al momento de la instalación, a fin de partir de una base con las correcciones de seguridad y estabilidad más recientes.</w:t>
      </w:r>
    </w:p>
    <w:p w14:paraId="5148ACA9" w14:textId="77777777" w:rsidR="004806C9" w:rsidRDefault="00000000">
      <w:pPr>
        <w:pStyle w:val="Prrafodelista"/>
        <w:numPr>
          <w:ilvl w:val="0"/>
          <w:numId w:val="2"/>
        </w:numPr>
        <w:spacing w:after="100" w:line="276" w:lineRule="auto"/>
      </w:pPr>
      <w:r>
        <w:t>Dado el patrón de uso esperado (escritura intensiva durante los días de partido simulados, según se detalla en la Entrega 8), se prevé revisar en una etapa posterior la configuración de autogrowth de datos y log definida en este documento, una vez cargado el juego de datos completo exigido por los Criterios de Aceptación del enunciado.</w:t>
      </w:r>
    </w:p>
    <w:p w14:paraId="6C14BA17" w14:textId="77777777" w:rsidR="004806C9" w:rsidRDefault="004806C9">
      <w:pPr>
        <w:pBdr>
          <w:top w:val="single" w:sz="6" w:space="8" w:color="2E5395"/>
        </w:pBdr>
        <w:spacing w:before="500"/>
      </w:pPr>
    </w:p>
    <w:p w14:paraId="7233F75E" w14:textId="77777777" w:rsidR="004806C9" w:rsidRDefault="00000000">
      <w:pPr>
        <w:spacing w:before="200"/>
      </w:pPr>
      <w:r>
        <w:rPr>
          <w:i/>
          <w:iCs/>
          <w:color w:val="595959"/>
          <w:sz w:val="20"/>
          <w:szCs w:val="20"/>
        </w:rPr>
        <w:t>Este documento se incluye en la carpeta “doc” del repositorio GitHub del grupo, junto con la carátula correspondiente.</w:t>
      </w:r>
    </w:p>
    <w:sectPr w:rsidR="004806C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Serif">
    <w:charset w:val="00"/>
    <w:family w:val="roman"/>
    <w:pitch w:val="variable"/>
    <w:sig w:usb0="A11526FF" w:usb1="C000ECFB" w:usb2="0001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C644C"/>
    <w:multiLevelType w:val="hybridMultilevel"/>
    <w:tmpl w:val="03E60BD0"/>
    <w:lvl w:ilvl="0" w:tplc="A2DA1242">
      <w:start w:val="1"/>
      <w:numFmt w:val="bullet"/>
      <w:lvlText w:val="●"/>
      <w:lvlJc w:val="left"/>
      <w:pPr>
        <w:ind w:left="720" w:hanging="360"/>
      </w:pPr>
    </w:lvl>
    <w:lvl w:ilvl="1" w:tplc="D33052CA">
      <w:start w:val="1"/>
      <w:numFmt w:val="bullet"/>
      <w:lvlText w:val="○"/>
      <w:lvlJc w:val="left"/>
      <w:pPr>
        <w:ind w:left="1440" w:hanging="360"/>
      </w:pPr>
    </w:lvl>
    <w:lvl w:ilvl="2" w:tplc="A198D9E0">
      <w:start w:val="1"/>
      <w:numFmt w:val="bullet"/>
      <w:lvlText w:val="■"/>
      <w:lvlJc w:val="left"/>
      <w:pPr>
        <w:ind w:left="2160" w:hanging="360"/>
      </w:pPr>
    </w:lvl>
    <w:lvl w:ilvl="3" w:tplc="177C6ECC">
      <w:start w:val="1"/>
      <w:numFmt w:val="bullet"/>
      <w:lvlText w:val="●"/>
      <w:lvlJc w:val="left"/>
      <w:pPr>
        <w:ind w:left="2880" w:hanging="360"/>
      </w:pPr>
    </w:lvl>
    <w:lvl w:ilvl="4" w:tplc="E8F6B170">
      <w:start w:val="1"/>
      <w:numFmt w:val="bullet"/>
      <w:lvlText w:val="○"/>
      <w:lvlJc w:val="left"/>
      <w:pPr>
        <w:ind w:left="3600" w:hanging="360"/>
      </w:pPr>
    </w:lvl>
    <w:lvl w:ilvl="5" w:tplc="A4969250">
      <w:start w:val="1"/>
      <w:numFmt w:val="bullet"/>
      <w:lvlText w:val="■"/>
      <w:lvlJc w:val="left"/>
      <w:pPr>
        <w:ind w:left="4320" w:hanging="360"/>
      </w:pPr>
    </w:lvl>
    <w:lvl w:ilvl="6" w:tplc="862CD3D8">
      <w:start w:val="1"/>
      <w:numFmt w:val="bullet"/>
      <w:lvlText w:val="●"/>
      <w:lvlJc w:val="left"/>
      <w:pPr>
        <w:ind w:left="5040" w:hanging="360"/>
      </w:pPr>
    </w:lvl>
    <w:lvl w:ilvl="7" w:tplc="BEEE673E">
      <w:start w:val="1"/>
      <w:numFmt w:val="bullet"/>
      <w:lvlText w:val="●"/>
      <w:lvlJc w:val="left"/>
      <w:pPr>
        <w:ind w:left="5760" w:hanging="360"/>
      </w:pPr>
    </w:lvl>
    <w:lvl w:ilvl="8" w:tplc="3EB2A252">
      <w:start w:val="1"/>
      <w:numFmt w:val="bullet"/>
      <w:lvlText w:val="●"/>
      <w:lvlJc w:val="left"/>
      <w:pPr>
        <w:ind w:left="6480" w:hanging="360"/>
      </w:pPr>
    </w:lvl>
  </w:abstractNum>
  <w:abstractNum w:abstractNumId="1" w15:restartNumberingAfterBreak="0">
    <w:nsid w:val="7717069B"/>
    <w:multiLevelType w:val="hybridMultilevel"/>
    <w:tmpl w:val="33AE064A"/>
    <w:lvl w:ilvl="0" w:tplc="91A84F82">
      <w:start w:val="1"/>
      <w:numFmt w:val="bullet"/>
      <w:lvlText w:val="•"/>
      <w:lvlJc w:val="left"/>
      <w:pPr>
        <w:ind w:left="460" w:hanging="260"/>
      </w:pPr>
    </w:lvl>
    <w:lvl w:ilvl="1" w:tplc="B89E0120">
      <w:start w:val="1"/>
      <w:numFmt w:val="bullet"/>
      <w:lvlText w:val="–"/>
      <w:lvlJc w:val="left"/>
      <w:pPr>
        <w:ind w:left="820" w:hanging="260"/>
      </w:pPr>
    </w:lvl>
    <w:lvl w:ilvl="2" w:tplc="7E088280">
      <w:numFmt w:val="decimal"/>
      <w:lvlText w:val=""/>
      <w:lvlJc w:val="left"/>
    </w:lvl>
    <w:lvl w:ilvl="3" w:tplc="C884F2FA">
      <w:numFmt w:val="decimal"/>
      <w:lvlText w:val=""/>
      <w:lvlJc w:val="left"/>
    </w:lvl>
    <w:lvl w:ilvl="4" w:tplc="03AC1E72">
      <w:numFmt w:val="decimal"/>
      <w:lvlText w:val=""/>
      <w:lvlJc w:val="left"/>
    </w:lvl>
    <w:lvl w:ilvl="5" w:tplc="6C20839A">
      <w:numFmt w:val="decimal"/>
      <w:lvlText w:val=""/>
      <w:lvlJc w:val="left"/>
    </w:lvl>
    <w:lvl w:ilvl="6" w:tplc="3496BF48">
      <w:numFmt w:val="decimal"/>
      <w:lvlText w:val=""/>
      <w:lvlJc w:val="left"/>
    </w:lvl>
    <w:lvl w:ilvl="7" w:tplc="A3489404">
      <w:numFmt w:val="decimal"/>
      <w:lvlText w:val=""/>
      <w:lvlJc w:val="left"/>
    </w:lvl>
    <w:lvl w:ilvl="8" w:tplc="DFD82010">
      <w:numFmt w:val="decimal"/>
      <w:lvlText w:val=""/>
      <w:lvlJc w:val="left"/>
    </w:lvl>
  </w:abstractNum>
  <w:num w:numId="1" w16cid:durableId="499201257">
    <w:abstractNumId w:val="0"/>
    <w:lvlOverride w:ilvl="0">
      <w:startOverride w:val="1"/>
    </w:lvlOverride>
  </w:num>
  <w:num w:numId="2" w16cid:durableId="162597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6C9"/>
    <w:rsid w:val="00313417"/>
    <w:rsid w:val="004806C9"/>
    <w:rsid w:val="00BD09F2"/>
    <w:rsid w:val="00BE55CF"/>
    <w:rsid w:val="00EB69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A94E"/>
  <w15:docId w15:val="{B19B1CF7-7888-494F-9297-B168B929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rFonts w:ascii="Georgia" w:eastAsia="Georgia" w:hAnsi="Georgia" w:cs="Georgia"/>
      <w:b/>
      <w:bCs/>
      <w:color w:val="1F3864"/>
      <w:sz w:val="30"/>
      <w:szCs w:val="30"/>
    </w:rPr>
  </w:style>
  <w:style w:type="paragraph" w:styleId="Ttulo2">
    <w:name w:val="heading 2"/>
    <w:uiPriority w:val="9"/>
    <w:unhideWhenUsed/>
    <w:qFormat/>
    <w:pPr>
      <w:spacing w:before="240" w:after="120"/>
      <w:outlineLvl w:val="1"/>
    </w:pPr>
    <w:rPr>
      <w:rFonts w:ascii="Georgia" w:eastAsia="Georgia" w:hAnsi="Georgia" w:cs="Georgia"/>
      <w:b/>
      <w:bCs/>
      <w:color w:val="2E539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1991</Words>
  <Characters>10954</Characters>
  <Application>Microsoft Office Word</Application>
  <DocSecurity>0</DocSecurity>
  <Lines>91</Lines>
  <Paragraphs>25</Paragraphs>
  <ScaleCrop>false</ScaleCrop>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SOSA JESUS SANTIAGO</cp:lastModifiedBy>
  <cp:revision>4</cp:revision>
  <dcterms:created xsi:type="dcterms:W3CDTF">2026-10-01T17:08:00Z</dcterms:created>
  <dcterms:modified xsi:type="dcterms:W3CDTF">2026-10-01T18:55:00Z</dcterms:modified>
</cp:coreProperties>
</file>