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33DC" w14:textId="77777777" w:rsidR="00C44D81" w:rsidRDefault="00C44D81">
      <w:pPr>
        <w:spacing w:before="800"/>
      </w:pPr>
    </w:p>
    <w:p w14:paraId="4C215D7B" w14:textId="77777777" w:rsidR="00C44D81" w:rsidRDefault="0012184F">
      <w:pPr>
        <w:jc w:val="center"/>
        <w:rPr>
          <w:rFonts w:ascii="Century Schoolbook" w:hAnsi="Century Schoolbook"/>
          <w:sz w:val="32"/>
          <w:szCs w:val="32"/>
        </w:rPr>
      </w:pPr>
      <w:r>
        <w:rPr>
          <w:rFonts w:ascii="Century Schoolbook" w:eastAsia="Georgia" w:hAnsi="Century Schoolbook" w:cs="Georgia"/>
          <w:b/>
          <w:bCs/>
          <w:color w:val="1F3864"/>
          <w:sz w:val="32"/>
          <w:szCs w:val="32"/>
        </w:rPr>
        <w:t>ENTREGA 4</w:t>
      </w:r>
    </w:p>
    <w:p w14:paraId="370C1A5D" w14:textId="77777777" w:rsidR="00C44D81" w:rsidRDefault="0012184F">
      <w:pPr>
        <w:spacing w:before="120" w:after="100"/>
        <w:jc w:val="center"/>
        <w:rPr>
          <w:rFonts w:ascii="Aptos Serif" w:hAnsi="Aptos Serif" w:cs="Aptos Serif"/>
          <w:sz w:val="52"/>
          <w:szCs w:val="52"/>
        </w:rPr>
      </w:pPr>
      <w:r>
        <w:rPr>
          <w:rFonts w:ascii="Aptos Serif" w:eastAsia="Georgia" w:hAnsi="Aptos Serif" w:cs="Aptos Serif"/>
          <w:color w:val="2E5395"/>
          <w:sz w:val="52"/>
          <w:szCs w:val="52"/>
        </w:rPr>
        <w:t>Instalación y Configuración</w:t>
      </w:r>
    </w:p>
    <w:p w14:paraId="665C4417" w14:textId="77777777" w:rsidR="00C44D81" w:rsidRDefault="0012184F">
      <w:pPr>
        <w:spacing w:before="60" w:after="500" w:line="259" w:lineRule="auto"/>
        <w:jc w:val="center"/>
      </w:pPr>
      <w:r>
        <w:rPr>
          <w:i/>
          <w:iCs/>
          <w:color w:val="595959" w:themeColor="text1" w:themeTint="A6"/>
          <w:sz w:val="24"/>
          <w:szCs w:val="24"/>
        </w:rPr>
        <w:t>Sistema de Registro y Gestión del Mundial de Fútbol</w:t>
      </w:r>
    </w:p>
    <w:p w14:paraId="7CAD0C2E" w14:textId="77777777" w:rsidR="00C44D81" w:rsidRDefault="00C44D81">
      <w:pPr>
        <w:pBdr>
          <w:top w:val="single" w:sz="6" w:space="8" w:color="2E5395"/>
        </w:pBdr>
        <w:spacing w:before="400"/>
        <w:rPr>
          <w:b/>
          <w:bCs/>
          <w:color w:val="1F3864"/>
          <w:sz w:val="32"/>
          <w:szCs w:val="32"/>
        </w:rPr>
      </w:pPr>
    </w:p>
    <w:p w14:paraId="15B93B26" w14:textId="77777777" w:rsidR="00C44D81" w:rsidRDefault="0012184F">
      <w:pPr>
        <w:spacing w:before="120" w:after="80"/>
        <w:rPr>
          <w:b/>
          <w:bCs/>
          <w:color w:val="1F3864"/>
          <w:sz w:val="32"/>
          <w:szCs w:val="32"/>
        </w:rPr>
      </w:pPr>
      <w:r>
        <w:rPr>
          <w:b/>
          <w:bCs/>
          <w:color w:val="1F3864"/>
          <w:sz w:val="32"/>
          <w:szCs w:val="32"/>
        </w:rPr>
        <w:t>Grupo N° 4</w:t>
      </w:r>
    </w:p>
    <w:p w14:paraId="7E1ECCC9" w14:textId="77777777" w:rsidR="00C44D81" w:rsidRDefault="0012184F">
      <w:pPr>
        <w:spacing w:before="120" w:after="300"/>
        <w:rPr>
          <w:b/>
          <w:bCs/>
          <w:color w:val="1F3864"/>
          <w:sz w:val="32"/>
          <w:szCs w:val="32"/>
        </w:rPr>
      </w:pPr>
      <w:r>
        <w:rPr>
          <w:b/>
          <w:bCs/>
          <w:color w:val="1F3864"/>
          <w:sz w:val="32"/>
          <w:szCs w:val="32"/>
        </w:rPr>
        <w:t>Integrantes:</w:t>
      </w:r>
    </w:p>
    <w:p w14:paraId="7EA32CC2" w14:textId="77777777" w:rsidR="00C44D81" w:rsidRDefault="0012184F" w:rsidP="0012184F">
      <w:pPr>
        <w:pStyle w:val="Prrafodelista"/>
        <w:numPr>
          <w:ilvl w:val="0"/>
          <w:numId w:val="2"/>
        </w:numPr>
        <w:spacing w:after="100" w:line="276" w:lineRule="auto"/>
        <w:rPr>
          <w:b/>
          <w:bCs/>
          <w:sz w:val="32"/>
          <w:szCs w:val="32"/>
        </w:rPr>
      </w:pPr>
      <w:r>
        <w:rPr>
          <w:b/>
          <w:bCs/>
          <w:sz w:val="32"/>
          <w:szCs w:val="32"/>
        </w:rPr>
        <w:t>Ávila, Agustín — @AvilaAlexAgustin</w:t>
      </w:r>
    </w:p>
    <w:p w14:paraId="54F9047D" w14:textId="77777777" w:rsidR="00C44D81" w:rsidRDefault="0012184F" w:rsidP="0012184F">
      <w:pPr>
        <w:pStyle w:val="Prrafodelista"/>
        <w:numPr>
          <w:ilvl w:val="0"/>
          <w:numId w:val="3"/>
        </w:numPr>
        <w:spacing w:after="100" w:line="276" w:lineRule="auto"/>
        <w:rPr>
          <w:b/>
          <w:bCs/>
          <w:sz w:val="32"/>
          <w:szCs w:val="32"/>
        </w:rPr>
      </w:pPr>
      <w:r>
        <w:rPr>
          <w:b/>
          <w:bCs/>
          <w:sz w:val="32"/>
          <w:szCs w:val="32"/>
        </w:rPr>
        <w:t xml:space="preserve">Blanco, Pablo — @bnpablo </w:t>
      </w:r>
    </w:p>
    <w:p w14:paraId="702E0C8B" w14:textId="77777777" w:rsidR="00C44D81" w:rsidRDefault="0012184F" w:rsidP="0012184F">
      <w:pPr>
        <w:pStyle w:val="Prrafodelista"/>
        <w:numPr>
          <w:ilvl w:val="0"/>
          <w:numId w:val="4"/>
        </w:numPr>
        <w:spacing w:after="100" w:line="276" w:lineRule="auto"/>
        <w:rPr>
          <w:b/>
          <w:bCs/>
          <w:sz w:val="32"/>
          <w:szCs w:val="32"/>
        </w:rPr>
      </w:pPr>
      <w:r>
        <w:rPr>
          <w:b/>
          <w:bCs/>
          <w:sz w:val="32"/>
          <w:szCs w:val="32"/>
        </w:rPr>
        <w:t>Leopaldi, Agustín — @agustinleopaldi</w:t>
      </w:r>
    </w:p>
    <w:p w14:paraId="31A4283C" w14:textId="77777777" w:rsidR="00C44D81" w:rsidRDefault="0012184F" w:rsidP="0012184F">
      <w:pPr>
        <w:pStyle w:val="Prrafodelista"/>
        <w:numPr>
          <w:ilvl w:val="0"/>
          <w:numId w:val="5"/>
        </w:numPr>
        <w:spacing w:after="100" w:line="276" w:lineRule="auto"/>
        <w:rPr>
          <w:b/>
          <w:bCs/>
          <w:sz w:val="32"/>
          <w:szCs w:val="32"/>
        </w:rPr>
      </w:pPr>
      <w:r>
        <w:rPr>
          <w:b/>
          <w:bCs/>
          <w:sz w:val="32"/>
          <w:szCs w:val="32"/>
        </w:rPr>
        <w:t>Sosa, Jesús — @periodistaunlam2023-cpu</w:t>
      </w:r>
    </w:p>
    <w:p w14:paraId="01A84378" w14:textId="77777777" w:rsidR="00C44D81" w:rsidRDefault="0012184F">
      <w:pPr>
        <w:spacing w:after="80"/>
        <w:rPr>
          <w:sz w:val="32"/>
          <w:szCs w:val="32"/>
        </w:rPr>
      </w:pPr>
      <w:r>
        <w:rPr>
          <w:b/>
          <w:bCs/>
          <w:color w:val="1F3864"/>
          <w:sz w:val="32"/>
          <w:szCs w:val="32"/>
        </w:rPr>
        <w:t xml:space="preserve">Comisión: </w:t>
      </w:r>
      <w:r>
        <w:rPr>
          <w:b/>
          <w:bCs/>
          <w:sz w:val="32"/>
          <w:szCs w:val="32"/>
        </w:rPr>
        <w:t>02-5600</w:t>
      </w:r>
    </w:p>
    <w:p w14:paraId="2F30F284" w14:textId="77777777" w:rsidR="00C44D81" w:rsidRDefault="0012184F">
      <w:pPr>
        <w:spacing w:after="80"/>
        <w:rPr>
          <w:b/>
          <w:bCs/>
          <w:sz w:val="32"/>
          <w:szCs w:val="32"/>
        </w:rPr>
      </w:pPr>
      <w:r>
        <w:rPr>
          <w:b/>
          <w:bCs/>
          <w:color w:val="1F3864"/>
          <w:sz w:val="32"/>
          <w:szCs w:val="32"/>
        </w:rPr>
        <w:t xml:space="preserve">Fecha de Entrega: </w:t>
      </w:r>
      <w:r>
        <w:rPr>
          <w:b/>
          <w:bCs/>
          <w:sz w:val="32"/>
          <w:szCs w:val="32"/>
        </w:rPr>
        <w:t>02/10/2026</w:t>
      </w:r>
    </w:p>
    <w:p w14:paraId="03D473F8" w14:textId="77777777" w:rsidR="00C44D81" w:rsidRDefault="00C44D81">
      <w:pPr>
        <w:spacing w:after="80"/>
      </w:pPr>
    </w:p>
    <w:p w14:paraId="0871B10C" w14:textId="77777777" w:rsidR="00C44D81" w:rsidRDefault="0012184F">
      <w:r>
        <w:br w:type="page"/>
      </w:r>
    </w:p>
    <w:p w14:paraId="0CA1E12E" w14:textId="77777777" w:rsidR="00C44D81" w:rsidRDefault="0012184F">
      <w:pPr>
        <w:pBdr>
          <w:bottom w:val="single" w:sz="6" w:space="4" w:color="2E5395"/>
        </w:pBdr>
        <w:spacing w:after="240"/>
      </w:pPr>
      <w:r>
        <w:rPr>
          <w:rFonts w:ascii="Georgia" w:hAnsi="Georgia"/>
          <w:b/>
          <w:color w:val="1F3864"/>
          <w:sz w:val="40"/>
        </w:rPr>
        <w:lastRenderedPageBreak/>
        <w:t>Índice</w:t>
      </w:r>
    </w:p>
    <w:sdt>
      <w:sdtPr>
        <w:id w:val="-1467507510"/>
        <w:docPartObj>
          <w:docPartGallery w:val="Table of Contents"/>
          <w:docPartUnique/>
        </w:docPartObj>
      </w:sdtPr>
      <w:sdtEndPr/>
      <w:sdtContent>
        <w:p w14:paraId="39486C4E" w14:textId="77777777" w:rsidR="00C44D81" w:rsidRDefault="0012184F">
          <w:pPr>
            <w:pStyle w:val="TDC1"/>
            <w:tabs>
              <w:tab w:val="clear" w:pos="9638"/>
              <w:tab w:val="right" w:leader="dot" w:pos="9637"/>
            </w:tabs>
          </w:pPr>
          <w:r>
            <w:fldChar w:fldCharType="begin"/>
          </w:r>
          <w:r>
            <w:rPr>
              <w:rStyle w:val="IndexLink"/>
              <w:webHidden/>
            </w:rPr>
            <w:instrText xml:space="preserve"> TOC \z \o "1-2" \u \h</w:instrText>
          </w:r>
          <w:r>
            <w:rPr>
              <w:rStyle w:val="IndexLink"/>
            </w:rPr>
            <w:fldChar w:fldCharType="separate"/>
          </w:r>
          <w:hyperlink w:anchor="__RefHeading___Toc302_2025764130">
            <w:r>
              <w:rPr>
                <w:rStyle w:val="IndexLink"/>
                <w:webHidden/>
              </w:rPr>
              <w:t>1. Declaraciones</w:t>
            </w:r>
            <w:r>
              <w:rPr>
                <w:rStyle w:val="IndexLink"/>
                <w:webHidden/>
              </w:rPr>
              <w:tab/>
              <w:t>3</w:t>
            </w:r>
          </w:hyperlink>
        </w:p>
        <w:p w14:paraId="2A6FAC37" w14:textId="77777777" w:rsidR="00C44D81" w:rsidRDefault="0012184F">
          <w:pPr>
            <w:pStyle w:val="TDC1"/>
            <w:tabs>
              <w:tab w:val="clear" w:pos="9638"/>
              <w:tab w:val="right" w:leader="dot" w:pos="9637"/>
            </w:tabs>
          </w:pPr>
          <w:hyperlink w:anchor="__RefHeading___Toc304_2025764130">
            <w:r>
              <w:rPr>
                <w:rStyle w:val="IndexLink"/>
                <w:webHidden/>
              </w:rPr>
              <w:t>2. Motor de base de datos elegido</w:t>
            </w:r>
            <w:r>
              <w:rPr>
                <w:rStyle w:val="IndexLink"/>
                <w:webHidden/>
              </w:rPr>
              <w:tab/>
              <w:t>3</w:t>
            </w:r>
          </w:hyperlink>
        </w:p>
        <w:p w14:paraId="192E7ADF" w14:textId="77777777" w:rsidR="00C44D81" w:rsidRDefault="0012184F">
          <w:pPr>
            <w:pStyle w:val="TDC2"/>
            <w:tabs>
              <w:tab w:val="clear" w:pos="9355"/>
              <w:tab w:val="right" w:leader="dot" w:pos="9637"/>
            </w:tabs>
          </w:pPr>
          <w:hyperlink w:anchor="__RefHeading___Toc306_2025764130">
            <w:r>
              <w:rPr>
                <w:rStyle w:val="IndexLink"/>
                <w:webHidden/>
              </w:rPr>
              <w:t>Edición de SQL Server</w:t>
            </w:r>
            <w:r>
              <w:rPr>
                <w:rStyle w:val="IndexLink"/>
                <w:webHidden/>
              </w:rPr>
              <w:tab/>
              <w:t>3</w:t>
            </w:r>
          </w:hyperlink>
        </w:p>
        <w:p w14:paraId="272C7C07" w14:textId="77777777" w:rsidR="00C44D81" w:rsidRDefault="0012184F">
          <w:pPr>
            <w:pStyle w:val="TDC2"/>
            <w:tabs>
              <w:tab w:val="clear" w:pos="9355"/>
              <w:tab w:val="right" w:leader="dot" w:pos="9637"/>
            </w:tabs>
          </w:pPr>
          <w:hyperlink w:anchor="__RefHeading___Toc308_2025764130">
            <w:r>
              <w:rPr>
                <w:rStyle w:val="IndexLink"/>
                <w:webHidden/>
              </w:rPr>
              <w:t>Recursos de la máquina de instalación</w:t>
            </w:r>
            <w:r>
              <w:rPr>
                <w:rStyle w:val="IndexLink"/>
                <w:webHidden/>
              </w:rPr>
              <w:tab/>
              <w:t>4</w:t>
            </w:r>
          </w:hyperlink>
        </w:p>
        <w:p w14:paraId="709EE92A" w14:textId="77777777" w:rsidR="00C44D81" w:rsidRDefault="0012184F">
          <w:pPr>
            <w:pStyle w:val="TDC1"/>
            <w:tabs>
              <w:tab w:val="clear" w:pos="9638"/>
              <w:tab w:val="right" w:leader="dot" w:pos="9637"/>
            </w:tabs>
          </w:pPr>
          <w:hyperlink w:anchor="__RefHeading___Toc310_2025764130">
            <w:r>
              <w:rPr>
                <w:rStyle w:val="IndexLink"/>
                <w:webHidden/>
              </w:rPr>
              <w:t>3. Proceso de instalación</w:t>
            </w:r>
            <w:r>
              <w:rPr>
                <w:rStyle w:val="IndexLink"/>
                <w:webHidden/>
              </w:rPr>
              <w:tab/>
              <w:t>4</w:t>
            </w:r>
          </w:hyperlink>
        </w:p>
        <w:p w14:paraId="1B63DB2F" w14:textId="77777777" w:rsidR="00C44D81" w:rsidRDefault="0012184F">
          <w:pPr>
            <w:pStyle w:val="TDC2"/>
            <w:tabs>
              <w:tab w:val="clear" w:pos="9355"/>
              <w:tab w:val="right" w:leader="dot" w:pos="9637"/>
            </w:tabs>
          </w:pPr>
          <w:hyperlink w:anchor="__RefHeading___Toc312_2025764130">
            <w:r>
              <w:rPr>
                <w:rStyle w:val="IndexLink"/>
                <w:webHidden/>
              </w:rPr>
              <w:t>Modos de acceso</w:t>
            </w:r>
            <w:r>
              <w:rPr>
                <w:rStyle w:val="IndexLink"/>
                <w:webHidden/>
              </w:rPr>
              <w:tab/>
              <w:t>4</w:t>
            </w:r>
          </w:hyperlink>
        </w:p>
        <w:p w14:paraId="60DC5557" w14:textId="77777777" w:rsidR="00C44D81" w:rsidRDefault="0012184F">
          <w:pPr>
            <w:pStyle w:val="TDC2"/>
            <w:tabs>
              <w:tab w:val="clear" w:pos="9355"/>
              <w:tab w:val="right" w:leader="dot" w:pos="9637"/>
            </w:tabs>
          </w:pPr>
          <w:hyperlink w:anchor="__RefHeading___Toc314_2025764130">
            <w:r>
              <w:rPr>
                <w:rStyle w:val="IndexLink"/>
                <w:webHidden/>
              </w:rPr>
              <w:t>Protocolo y puerto de atención</w:t>
            </w:r>
            <w:r>
              <w:rPr>
                <w:rStyle w:val="IndexLink"/>
                <w:webHidden/>
              </w:rPr>
              <w:tab/>
              <w:t>4</w:t>
            </w:r>
          </w:hyperlink>
        </w:p>
        <w:p w14:paraId="7FC2DE71" w14:textId="77777777" w:rsidR="00C44D81" w:rsidRDefault="0012184F">
          <w:pPr>
            <w:pStyle w:val="TDC1"/>
            <w:tabs>
              <w:tab w:val="clear" w:pos="9638"/>
              <w:tab w:val="right" w:leader="dot" w:pos="9637"/>
            </w:tabs>
          </w:pPr>
          <w:hyperlink w:anchor="__RefHeading___Toc316_2025764130">
            <w:r>
              <w:rPr>
                <w:rStyle w:val="IndexLink"/>
                <w:webHidden/>
              </w:rPr>
              <w:t>4. Ubicación de archivos</w:t>
            </w:r>
            <w:r>
              <w:rPr>
                <w:rStyle w:val="IndexLink"/>
                <w:webHidden/>
              </w:rPr>
              <w:tab/>
              <w:t>5</w:t>
            </w:r>
          </w:hyperlink>
        </w:p>
        <w:p w14:paraId="71DC8E35" w14:textId="77777777" w:rsidR="00C44D81" w:rsidRDefault="0012184F">
          <w:pPr>
            <w:pStyle w:val="TDC1"/>
            <w:tabs>
              <w:tab w:val="clear" w:pos="9638"/>
              <w:tab w:val="right" w:leader="dot" w:pos="9637"/>
            </w:tabs>
          </w:pPr>
          <w:hyperlink w:anchor="__RefHeading___Toc318_2025764130">
            <w:r>
              <w:rPr>
                <w:rStyle w:val="IndexLink"/>
                <w:webHidden/>
              </w:rPr>
              <w:t>5. Tamaño de la base de datos</w:t>
            </w:r>
            <w:r>
              <w:rPr>
                <w:rStyle w:val="IndexLink"/>
                <w:webHidden/>
              </w:rPr>
              <w:tab/>
              <w:t>5</w:t>
            </w:r>
          </w:hyperlink>
        </w:p>
        <w:p w14:paraId="35487C85" w14:textId="77777777" w:rsidR="00C44D81" w:rsidRDefault="0012184F">
          <w:pPr>
            <w:pStyle w:val="TDC1"/>
            <w:tabs>
              <w:tab w:val="clear" w:pos="9638"/>
              <w:tab w:val="right" w:leader="dot" w:pos="9637"/>
            </w:tabs>
          </w:pPr>
          <w:hyperlink w:anchor="__RefHeading___Toc320_2025764130">
            <w:r>
              <w:rPr>
                <w:rStyle w:val="IndexLink"/>
                <w:webHidden/>
              </w:rPr>
              <w:t>6. Configuración de memoria</w:t>
            </w:r>
            <w:r>
              <w:rPr>
                <w:rStyle w:val="IndexLink"/>
                <w:webHidden/>
              </w:rPr>
              <w:tab/>
              <w:t>6</w:t>
            </w:r>
          </w:hyperlink>
        </w:p>
        <w:p w14:paraId="38DDB822" w14:textId="77777777" w:rsidR="00C44D81" w:rsidRDefault="0012184F">
          <w:pPr>
            <w:pStyle w:val="TDC1"/>
            <w:tabs>
              <w:tab w:val="clear" w:pos="9638"/>
              <w:tab w:val="right" w:leader="dot" w:pos="9637"/>
            </w:tabs>
          </w:pPr>
          <w:hyperlink w:anchor="__RefHeading___Toc322_2025764130">
            <w:r>
              <w:rPr>
                <w:rStyle w:val="IndexLink"/>
                <w:webHidden/>
              </w:rPr>
              <w:t>7. Configuración de seguridad</w:t>
            </w:r>
            <w:r>
              <w:rPr>
                <w:rStyle w:val="IndexLink"/>
                <w:webHidden/>
              </w:rPr>
              <w:tab/>
              <w:t>6</w:t>
            </w:r>
          </w:hyperlink>
        </w:p>
        <w:p w14:paraId="2CEDC493" w14:textId="77777777" w:rsidR="00C44D81" w:rsidRDefault="0012184F">
          <w:pPr>
            <w:pStyle w:val="TDC1"/>
            <w:tabs>
              <w:tab w:val="clear" w:pos="9638"/>
              <w:tab w:val="right" w:leader="dot" w:pos="9637"/>
            </w:tabs>
          </w:pPr>
          <w:hyperlink w:anchor="__RefHeading___Toc324_2025764130">
            <w:r>
              <w:rPr>
                <w:rStyle w:val="IndexLink"/>
                <w:webHidden/>
              </w:rPr>
              <w:t>8. Configuración inicial de eventos</w:t>
            </w:r>
            <w:r>
              <w:rPr>
                <w:rStyle w:val="IndexLink"/>
                <w:webHidden/>
              </w:rPr>
              <w:tab/>
              <w:t>7</w:t>
            </w:r>
          </w:hyperlink>
        </w:p>
        <w:p w14:paraId="389AF52C" w14:textId="77777777" w:rsidR="00C44D81" w:rsidRDefault="0012184F">
          <w:pPr>
            <w:pStyle w:val="TDC1"/>
            <w:tabs>
              <w:tab w:val="clear" w:pos="9638"/>
              <w:tab w:val="right" w:leader="dot" w:pos="9637"/>
            </w:tabs>
          </w:pPr>
          <w:hyperlink w:anchor="__RefHeading___Toc326_2025764130">
            <w:r>
              <w:rPr>
                <w:rStyle w:val="IndexLink"/>
                <w:webHidden/>
              </w:rPr>
              <w:t>9. Verificación de la instalación</w:t>
            </w:r>
            <w:r>
              <w:rPr>
                <w:rStyle w:val="IndexLink"/>
                <w:webHidden/>
              </w:rPr>
              <w:tab/>
              <w:t>7</w:t>
            </w:r>
          </w:hyperlink>
        </w:p>
        <w:p w14:paraId="2BBC748C" w14:textId="77777777" w:rsidR="00C44D81" w:rsidRDefault="0012184F">
          <w:pPr>
            <w:pStyle w:val="TDC1"/>
            <w:tabs>
              <w:tab w:val="clear" w:pos="9638"/>
              <w:tab w:val="right" w:leader="dot" w:pos="9637"/>
            </w:tabs>
          </w:pPr>
          <w:hyperlink w:anchor="__RefHeading___Toc328_2025764130">
            <w:r>
              <w:rPr>
                <w:rStyle w:val="IndexLink"/>
                <w:webHidden/>
              </w:rPr>
              <w:t>10. Consideraciones adicionales</w:t>
            </w:r>
            <w:r>
              <w:rPr>
                <w:rStyle w:val="IndexLink"/>
                <w:webHidden/>
              </w:rPr>
              <w:tab/>
              <w:t>7</w:t>
            </w:r>
          </w:hyperlink>
        </w:p>
        <w:p w14:paraId="77CFF759" w14:textId="77777777" w:rsidR="00C44D81" w:rsidRDefault="0012184F">
          <w:pPr>
            <w:pStyle w:val="TDC1"/>
            <w:tabs>
              <w:tab w:val="clear" w:pos="9638"/>
              <w:tab w:val="right" w:leader="dot" w:pos="9637"/>
            </w:tabs>
          </w:pPr>
          <w:hyperlink w:anchor="__RefHeading___Toc330_2025764130">
            <w:r>
              <w:rPr>
                <w:rStyle w:val="IndexLink"/>
                <w:webHidden/>
              </w:rPr>
              <w:t>11. Referencias</w:t>
            </w:r>
            <w:r>
              <w:rPr>
                <w:rStyle w:val="IndexLink"/>
                <w:webHidden/>
              </w:rPr>
              <w:tab/>
              <w:t>8</w:t>
            </w:r>
          </w:hyperlink>
          <w:r>
            <w:rPr>
              <w:rStyle w:val="IndexLink"/>
            </w:rPr>
            <w:fldChar w:fldCharType="end"/>
          </w:r>
        </w:p>
      </w:sdtContent>
    </w:sdt>
    <w:p w14:paraId="0050FF08" w14:textId="77777777" w:rsidR="00C44D81" w:rsidRDefault="0012184F">
      <w:r>
        <w:br w:type="page"/>
      </w:r>
    </w:p>
    <w:p w14:paraId="3E548663" w14:textId="77777777" w:rsidR="00C44D81" w:rsidRDefault="0012184F">
      <w:pPr>
        <w:pStyle w:val="Ttulo1"/>
        <w:pBdr>
          <w:bottom w:val="single" w:sz="6" w:space="4" w:color="2E5395"/>
        </w:pBdr>
        <w:spacing w:before="0"/>
      </w:pPr>
      <w:bookmarkStart w:id="0" w:name="__RefHeading___Toc302_2025764130"/>
      <w:bookmarkEnd w:id="0"/>
      <w:r>
        <w:lastRenderedPageBreak/>
        <w:t>1. Declaraciones</w:t>
      </w:r>
    </w:p>
    <w:p w14:paraId="4BB44B73" w14:textId="77777777" w:rsidR="00C44D81" w:rsidRDefault="0012184F">
      <w:pPr>
        <w:spacing w:after="160" w:line="276" w:lineRule="auto"/>
      </w:pPr>
      <w:r>
        <w:t>Se deja constancia de los siguientes puntos, válidos para la totalidad del presente documento:</w:t>
      </w:r>
    </w:p>
    <w:p w14:paraId="5EBF4794" w14:textId="77777777" w:rsidR="00C44D81" w:rsidRDefault="0012184F" w:rsidP="0012184F">
      <w:pPr>
        <w:pStyle w:val="Prrafodelista"/>
        <w:numPr>
          <w:ilvl w:val="0"/>
          <w:numId w:val="6"/>
        </w:numPr>
        <w:spacing w:after="100" w:line="276" w:lineRule="auto"/>
      </w:pPr>
      <w:r>
        <w:t>El entorno descripto corresponde a una instalación de desarrollo y pruebas académicas, no a un entorno productivo.</w:t>
      </w:r>
    </w:p>
    <w:p w14:paraId="6B29D992" w14:textId="77777777" w:rsidR="00C44D81" w:rsidRDefault="0012184F" w:rsidP="0012184F">
      <w:pPr>
        <w:pStyle w:val="Prrafodelista"/>
        <w:numPr>
          <w:ilvl w:val="0"/>
          <w:numId w:val="7"/>
        </w:numPr>
        <w:spacing w:after="100" w:line="276" w:lineRule="auto"/>
      </w:pPr>
      <w:r>
        <w:t>La instancia documentada es una instalación stand-alone, sin mecanismos de alta disponibilidad (</w:t>
      </w:r>
      <w:proofErr w:type="spellStart"/>
      <w:r>
        <w:t>clustering</w:t>
      </w:r>
      <w:proofErr w:type="spellEnd"/>
      <w:r>
        <w:t xml:space="preserve">, </w:t>
      </w:r>
      <w:proofErr w:type="spellStart"/>
      <w:r>
        <w:t>Always</w:t>
      </w:r>
      <w:proofErr w:type="spellEnd"/>
      <w:r>
        <w:t xml:space="preserve"> On </w:t>
      </w:r>
      <w:proofErr w:type="spellStart"/>
      <w:r>
        <w:t>Availability</w:t>
      </w:r>
      <w:proofErr w:type="spellEnd"/>
      <w:r>
        <w:t xml:space="preserve"> </w:t>
      </w:r>
      <w:proofErr w:type="spellStart"/>
      <w:r>
        <w:t>Groups</w:t>
      </w:r>
      <w:proofErr w:type="spellEnd"/>
      <w:r>
        <w:t>) ni réplicas.</w:t>
      </w:r>
    </w:p>
    <w:p w14:paraId="3F8CA9F4" w14:textId="77777777" w:rsidR="00C44D81" w:rsidRDefault="0012184F" w:rsidP="0012184F">
      <w:pPr>
        <w:pStyle w:val="Prrafodelista"/>
        <w:numPr>
          <w:ilvl w:val="0"/>
          <w:numId w:val="8"/>
        </w:numPr>
        <w:spacing w:after="100" w:line="276" w:lineRule="auto"/>
      </w:pPr>
      <w:r>
        <w:t>Las decisiones de configuración se basan en un volumen estimado de 4 GB para la base de datos, cuyo desglose se detalla en la sección 5, y en los recursos de hardware de los equipos en que se realizó la instalación.</w:t>
      </w:r>
    </w:p>
    <w:p w14:paraId="1260CF7C" w14:textId="77777777" w:rsidR="00C44D81" w:rsidRDefault="0012184F" w:rsidP="0012184F">
      <w:pPr>
        <w:pStyle w:val="Prrafodelista"/>
        <w:numPr>
          <w:ilvl w:val="0"/>
          <w:numId w:val="9"/>
        </w:numPr>
        <w:spacing w:after="100" w:line="276" w:lineRule="auto"/>
      </w:pPr>
      <w:r>
        <w:t>Conforme lo solicitado en la consigna de esta entrega, no se incluyen capturas de pantalla; toda referencia a pasos de instalación se describe en texto.</w:t>
      </w:r>
    </w:p>
    <w:p w14:paraId="2704735B" w14:textId="77777777" w:rsidR="00C44D81" w:rsidRDefault="0012184F" w:rsidP="0012184F">
      <w:pPr>
        <w:pStyle w:val="Prrafodelista"/>
        <w:numPr>
          <w:ilvl w:val="0"/>
          <w:numId w:val="10"/>
        </w:numPr>
        <w:spacing w:after="100" w:line="276" w:lineRule="auto"/>
      </w:pPr>
      <w:r>
        <w:t>Rutas de archivos, nombres de login y contraseñas mencionadas son ilustrativos del entorno de desarrollo del grupo; de migrarse a un entorno productivo deberán revisarse.</w:t>
      </w:r>
    </w:p>
    <w:p w14:paraId="70CA4372" w14:textId="77777777" w:rsidR="00C44D81" w:rsidRDefault="0012184F" w:rsidP="0012184F">
      <w:pPr>
        <w:pStyle w:val="Prrafodelista"/>
        <w:numPr>
          <w:ilvl w:val="0"/>
          <w:numId w:val="11"/>
        </w:numPr>
        <w:spacing w:after="100" w:line="276" w:lineRule="auto"/>
      </w:pPr>
      <w:r>
        <w:t>Los aspectos de seguridad avanzada (roles granulares y cifrado de datos sensibles) y la política de respaldo (RPO) se desarrollan en detalle en la Entrega 8; en este documento solo se fija la configuración base del motor y del servicio.</w:t>
      </w:r>
    </w:p>
    <w:p w14:paraId="1A8A6101" w14:textId="77777777" w:rsidR="00C44D81" w:rsidRDefault="0012184F">
      <w:pPr>
        <w:pStyle w:val="Ttulo1"/>
        <w:pBdr>
          <w:bottom w:val="single" w:sz="6" w:space="4" w:color="2E5395"/>
        </w:pBdr>
      </w:pPr>
      <w:bookmarkStart w:id="1" w:name="__RefHeading___Toc304_2025764130"/>
      <w:bookmarkEnd w:id="1"/>
      <w:r>
        <w:t>2. Motor de base de datos elegido</w:t>
      </w:r>
    </w:p>
    <w:p w14:paraId="49B82F1E" w14:textId="77777777" w:rsidR="00C44D81" w:rsidRDefault="0012184F">
      <w:pPr>
        <w:pStyle w:val="Ttulo2"/>
      </w:pPr>
      <w:bookmarkStart w:id="2" w:name="__RefHeading___Toc306_2025764130"/>
      <w:bookmarkEnd w:id="2"/>
      <w:r>
        <w:t>Edición de SQL Server</w:t>
      </w:r>
    </w:p>
    <w:p w14:paraId="39F45DE0" w14:textId="77777777" w:rsidR="00C44D81" w:rsidRDefault="0012184F" w:rsidP="0012184F">
      <w:pPr>
        <w:pStyle w:val="Prrafodelista"/>
        <w:numPr>
          <w:ilvl w:val="0"/>
          <w:numId w:val="12"/>
        </w:numPr>
        <w:spacing w:after="100" w:line="276" w:lineRule="auto"/>
      </w:pPr>
      <w:r>
        <w:rPr>
          <w:b/>
          <w:bCs/>
        </w:rPr>
        <w:t>Edición:</w:t>
      </w:r>
      <w:r>
        <w:t xml:space="preserve"> Express.</w:t>
      </w:r>
    </w:p>
    <w:p w14:paraId="6EC23B41" w14:textId="77777777" w:rsidR="00C44D81" w:rsidRDefault="0012184F" w:rsidP="0012184F">
      <w:pPr>
        <w:pStyle w:val="Prrafodelista"/>
        <w:numPr>
          <w:ilvl w:val="0"/>
          <w:numId w:val="13"/>
        </w:numPr>
      </w:pPr>
      <w:r>
        <w:rPr>
          <w:b/>
          <w:bCs/>
        </w:rPr>
        <w:t>Justificación:</w:t>
      </w:r>
      <w:r>
        <w:t xml:space="preserve"> el volumen estimado de 4 GB queda holgadamente por debajo del límite de 10 GB por base de datos que impone la edición, que contabiliza únicamente los archivos de datos. Express no tiene costo de licenciamiento e incluye las funcionalidades que el sistema requiere: cifrado mediante claves simétricas y </w:t>
      </w:r>
      <w:proofErr w:type="spellStart"/>
      <w:r>
        <w:t>Always</w:t>
      </w:r>
      <w:proofErr w:type="spellEnd"/>
      <w:r>
        <w:t xml:space="preserve"> </w:t>
      </w:r>
      <w:proofErr w:type="spellStart"/>
      <w:r>
        <w:t>Encrypted</w:t>
      </w:r>
      <w:proofErr w:type="spellEnd"/>
      <w:r>
        <w:t xml:space="preserve">, seguridad basada en roles, procedimientos almacenados y Extended </w:t>
      </w:r>
      <w:proofErr w:type="spellStart"/>
      <w:r>
        <w:t>Events</w:t>
      </w:r>
      <w:proofErr w:type="spellEnd"/>
      <w:r>
        <w:t>.</w:t>
      </w:r>
    </w:p>
    <w:p w14:paraId="2C68277F" w14:textId="77777777" w:rsidR="00C44D81" w:rsidRDefault="0012184F" w:rsidP="0012184F">
      <w:pPr>
        <w:pStyle w:val="Prrafodelista"/>
        <w:numPr>
          <w:ilvl w:val="0"/>
          <w:numId w:val="14"/>
        </w:numPr>
      </w:pPr>
      <w:r>
        <w:rPr>
          <w:b/>
          <w:bCs/>
        </w:rPr>
        <w:t>Limitaciones asumidas:</w:t>
      </w:r>
      <w:r>
        <w:t xml:space="preserve"> el buffer pool está limitado a 1.410 MB, el motor utiliza como máximo 1 socket o 4 núcleos, y la edición no incluye SQL Server Agent ni </w:t>
      </w:r>
      <w:proofErr w:type="spellStart"/>
      <w:r>
        <w:t>Database</w:t>
      </w:r>
      <w:proofErr w:type="spellEnd"/>
      <w:r>
        <w:t xml:space="preserve"> Mail. Su tratamiento se detalla en las secciones 5, 6 y 8. Las tareas programadas se resuelven con el Programador de tareas de Windows y la herramienta </w:t>
      </w:r>
      <w:proofErr w:type="spellStart"/>
      <w:r>
        <w:t>sqlcmd</w:t>
      </w:r>
      <w:proofErr w:type="spellEnd"/>
      <w:r>
        <w:t>.</w:t>
      </w:r>
    </w:p>
    <w:p w14:paraId="32C008C8" w14:textId="77777777" w:rsidR="00C44D81" w:rsidRDefault="0012184F" w:rsidP="0012184F">
      <w:pPr>
        <w:pStyle w:val="Prrafodelista"/>
        <w:numPr>
          <w:ilvl w:val="0"/>
          <w:numId w:val="15"/>
        </w:numPr>
      </w:pPr>
      <w:r>
        <w:rPr>
          <w:b/>
          <w:bCs/>
        </w:rPr>
        <w:t>Alternativa descartada:</w:t>
      </w:r>
      <w:r>
        <w:t xml:space="preserve"> SQL Server Standard. Es la edición recomendada para un entorno productivo, ya que no tiene un límite práctico de tamaño, incluye SQL Server Agent y admite alta disponibilidad básica. Se descarta porque requiere licenciamiento y sus ventajas no son necesarias para el volumen previsto.</w:t>
      </w:r>
    </w:p>
    <w:p w14:paraId="0C1DABBD" w14:textId="77777777" w:rsidR="00C44D81" w:rsidRDefault="0012184F" w:rsidP="0012184F">
      <w:pPr>
        <w:pStyle w:val="Prrafodelista"/>
        <w:numPr>
          <w:ilvl w:val="0"/>
          <w:numId w:val="16"/>
        </w:numPr>
        <w:spacing w:after="100" w:line="276" w:lineRule="auto"/>
      </w:pPr>
      <w:r>
        <w:rPr>
          <w:b/>
          <w:bCs/>
        </w:rPr>
        <w:t>Sistema operativo:</w:t>
      </w:r>
      <w:r>
        <w:t xml:space="preserve"> Windows 11 Pro de 64 bits.</w:t>
      </w:r>
    </w:p>
    <w:p w14:paraId="69522549" w14:textId="77777777" w:rsidR="00C44D81" w:rsidRDefault="00C44D81">
      <w:pPr>
        <w:pStyle w:val="Ttulo2"/>
      </w:pPr>
    </w:p>
    <w:p w14:paraId="0F6D4122" w14:textId="77777777" w:rsidR="00C44D81" w:rsidRDefault="0012184F">
      <w:r>
        <w:br w:type="page"/>
      </w:r>
    </w:p>
    <w:p w14:paraId="6D686022" w14:textId="77777777" w:rsidR="00C44D81" w:rsidRDefault="0012184F">
      <w:pPr>
        <w:pStyle w:val="Ttulo2"/>
        <w:spacing w:before="0"/>
      </w:pPr>
      <w:bookmarkStart w:id="3" w:name="__RefHeading___Toc308_2025764130"/>
      <w:bookmarkEnd w:id="3"/>
      <w:r>
        <w:lastRenderedPageBreak/>
        <w:t>Recursos de la máquina de instalación</w:t>
      </w:r>
    </w:p>
    <w:p w14:paraId="583CEDB0" w14:textId="77777777" w:rsidR="00C44D81" w:rsidRDefault="0012184F" w:rsidP="0012184F">
      <w:pPr>
        <w:pStyle w:val="Prrafodelista"/>
        <w:numPr>
          <w:ilvl w:val="0"/>
          <w:numId w:val="17"/>
        </w:numPr>
        <w:spacing w:after="100" w:line="276" w:lineRule="auto"/>
      </w:pPr>
      <w:r>
        <w:rPr>
          <w:b/>
          <w:bCs/>
        </w:rPr>
        <w:t>Requisitos mínimos:</w:t>
      </w:r>
      <w:r>
        <w:t xml:space="preserve"> según la documentación de Microsoft para SQL Server 2022, se requiere un procesador x64 de 1,4 GHz (se recomienda 2,0 GHz o superior), 512 MB de RAM para la edición Express, 6 GB de espacio libre en disco y .NET Framework 4.7.2.</w:t>
      </w:r>
    </w:p>
    <w:p w14:paraId="34776429" w14:textId="77777777" w:rsidR="00C44D81" w:rsidRDefault="0012184F" w:rsidP="0012184F">
      <w:pPr>
        <w:pStyle w:val="Prrafodelista"/>
        <w:numPr>
          <w:ilvl w:val="0"/>
          <w:numId w:val="18"/>
        </w:numPr>
      </w:pPr>
      <w:r>
        <w:rPr>
          <w:b/>
          <w:bCs/>
        </w:rPr>
        <w:t>Configuración recomendada:</w:t>
      </w:r>
      <w:r>
        <w:t xml:space="preserve"> procesador x64 de 4 núcleos, que es el máximo que aprovecha la edición Express; 8 GB de RAM, considerando que el motor convive con el sistema operativo y las herramientas de administración; y un disco SSD con al menos 20 GB libres para el motor, la base de datos, </w:t>
      </w:r>
      <w:proofErr w:type="spellStart"/>
      <w:r>
        <w:t>tempdb</w:t>
      </w:r>
      <w:proofErr w:type="spellEnd"/>
      <w:r>
        <w:t xml:space="preserve"> y los respaldos.</w:t>
      </w:r>
    </w:p>
    <w:p w14:paraId="634A4FF6" w14:textId="77777777" w:rsidR="00C44D81" w:rsidRDefault="0012184F">
      <w:pPr>
        <w:pStyle w:val="Ttulo1"/>
        <w:pBdr>
          <w:bottom w:val="single" w:sz="6" w:space="4" w:color="2E5395"/>
        </w:pBdr>
      </w:pPr>
      <w:bookmarkStart w:id="4" w:name="__RefHeading___Toc310_2025764130"/>
      <w:bookmarkEnd w:id="4"/>
      <w:r>
        <w:t>3. Proceso de instalación</w:t>
      </w:r>
    </w:p>
    <w:p w14:paraId="34EA6CC1" w14:textId="77777777" w:rsidR="00C44D81" w:rsidRDefault="0012184F" w:rsidP="0012184F">
      <w:pPr>
        <w:pStyle w:val="Prrafodelista"/>
        <w:numPr>
          <w:ilvl w:val="0"/>
          <w:numId w:val="19"/>
        </w:numPr>
        <w:spacing w:after="100" w:line="276" w:lineRule="auto"/>
      </w:pPr>
      <w:r>
        <w:rPr>
          <w:b/>
          <w:bCs/>
        </w:rPr>
        <w:t>Modalidad de instalación:</w:t>
      </w:r>
      <w:r>
        <w:t xml:space="preserve"> instalador gráfico de SQL Server 2022 (</w:t>
      </w:r>
      <w:proofErr w:type="spellStart"/>
      <w:r>
        <w:t>Setup</w:t>
      </w:r>
      <w:proofErr w:type="spellEnd"/>
      <w:r>
        <w:t xml:space="preserve"> </w:t>
      </w:r>
      <w:proofErr w:type="spellStart"/>
      <w:r>
        <w:t>Wizard</w:t>
      </w:r>
      <w:proofErr w:type="spellEnd"/>
      <w:r>
        <w:t>) sobre el sistema operativo base, modalidad elegida por tratarse de una única instalación de desarrollo sin necesidad de automatización ni reproducibilidad vía scripts de aprovisionamiento.</w:t>
      </w:r>
    </w:p>
    <w:p w14:paraId="205B0088" w14:textId="77777777" w:rsidR="00C44D81" w:rsidRDefault="0012184F" w:rsidP="0012184F">
      <w:pPr>
        <w:pStyle w:val="Prrafodelista"/>
        <w:numPr>
          <w:ilvl w:val="0"/>
          <w:numId w:val="20"/>
        </w:numPr>
        <w:spacing w:after="100" w:line="276" w:lineRule="auto"/>
      </w:pPr>
      <w:r>
        <w:rPr>
          <w:b/>
          <w:bCs/>
        </w:rPr>
        <w:t>Componentes instalados:</w:t>
      </w:r>
      <w:r>
        <w:t xml:space="preserve"> </w:t>
      </w:r>
      <w:proofErr w:type="spellStart"/>
      <w:r>
        <w:t>Database</w:t>
      </w:r>
      <w:proofErr w:type="spellEnd"/>
      <w:r>
        <w:t xml:space="preserve"> </w:t>
      </w:r>
      <w:proofErr w:type="spellStart"/>
      <w:r>
        <w:t>Engine</w:t>
      </w:r>
      <w:proofErr w:type="spellEnd"/>
      <w:r>
        <w:t xml:space="preserve"> </w:t>
      </w:r>
      <w:proofErr w:type="spellStart"/>
      <w:r>
        <w:t>Services</w:t>
      </w:r>
      <w:proofErr w:type="spellEnd"/>
      <w:r>
        <w:t xml:space="preserve">. SQL Server Management Studio (SSMS) se instala por separado. Se excluyen </w:t>
      </w:r>
      <w:proofErr w:type="spellStart"/>
      <w:r>
        <w:t>Replication</w:t>
      </w:r>
      <w:proofErr w:type="spellEnd"/>
      <w:r>
        <w:t>, Full-Text Search y los demás servicios opcionales por no ser requeridos.</w:t>
      </w:r>
    </w:p>
    <w:p w14:paraId="5E3021C5" w14:textId="77777777" w:rsidR="00C44D81" w:rsidRDefault="0012184F" w:rsidP="0012184F">
      <w:pPr>
        <w:pStyle w:val="Prrafodelista"/>
        <w:numPr>
          <w:ilvl w:val="0"/>
          <w:numId w:val="21"/>
        </w:numPr>
        <w:spacing w:after="100" w:line="276" w:lineRule="auto"/>
      </w:pPr>
      <w:r>
        <w:rPr>
          <w:b/>
          <w:bCs/>
        </w:rPr>
        <w:t>Tipo de instancia:</w:t>
      </w:r>
      <w:r>
        <w:t xml:space="preserve"> instancia por defecto (MSSQLSERVER). El asistente de Express propone una instancia nombrada (SQLEXPRESS); se reemplaza por la instancia por defecto dado que cada equipo aloja una única instancia, lo que permite conectarse utilizando solo el nombre del equipo.</w:t>
      </w:r>
    </w:p>
    <w:p w14:paraId="778C5D87" w14:textId="77777777" w:rsidR="00C44D81" w:rsidRDefault="0012184F" w:rsidP="0012184F">
      <w:pPr>
        <w:pStyle w:val="Prrafodelista"/>
        <w:numPr>
          <w:ilvl w:val="0"/>
          <w:numId w:val="22"/>
        </w:numPr>
        <w:spacing w:after="100" w:line="276" w:lineRule="auto"/>
      </w:pPr>
      <w:r>
        <w:rPr>
          <w:b/>
          <w:bCs/>
        </w:rPr>
        <w:t>Modo de autenticación:</w:t>
      </w:r>
      <w:r>
        <w:t xml:space="preserve"> se configura en Modo mixto (Windows + SQL Server </w:t>
      </w:r>
      <w:proofErr w:type="spellStart"/>
      <w:r>
        <w:t>Authentication</w:t>
      </w:r>
      <w:proofErr w:type="spellEnd"/>
      <w:r>
        <w:t>) desde el propio instalador; el detalle y la justificación se desarrollan en el apartado "Modo de acceso".</w:t>
      </w:r>
    </w:p>
    <w:p w14:paraId="5EECF183" w14:textId="77777777" w:rsidR="00C44D81" w:rsidRDefault="0012184F" w:rsidP="0012184F">
      <w:pPr>
        <w:pStyle w:val="Prrafodelista"/>
        <w:numPr>
          <w:ilvl w:val="0"/>
          <w:numId w:val="23"/>
        </w:numPr>
        <w:spacing w:after="100" w:line="276" w:lineRule="auto"/>
      </w:pPr>
      <w:r>
        <w:rPr>
          <w:b/>
          <w:bCs/>
          <w:lang w:val="en-US"/>
        </w:rPr>
        <w:t>Collation:</w:t>
      </w:r>
      <w:r>
        <w:rPr>
          <w:lang w:val="en-US"/>
        </w:rPr>
        <w:t xml:space="preserve"> </w:t>
      </w:r>
      <w:proofErr w:type="spellStart"/>
      <w:r>
        <w:rPr>
          <w:lang w:val="en-US"/>
        </w:rPr>
        <w:t>Modern_Spanish_CI_AS</w:t>
      </w:r>
      <w:proofErr w:type="spellEnd"/>
      <w:r>
        <w:rPr>
          <w:lang w:val="en-US"/>
        </w:rPr>
        <w:t xml:space="preserve">. </w:t>
      </w:r>
      <w:r>
        <w:t xml:space="preserve">Se elige sensibilidad </w:t>
      </w:r>
      <w:proofErr w:type="gramStart"/>
      <w:r>
        <w:t>a</w:t>
      </w:r>
      <w:proofErr w:type="gramEnd"/>
      <w:r>
        <w:t xml:space="preserve"> acentos y case-</w:t>
      </w:r>
      <w:proofErr w:type="spellStart"/>
      <w:r>
        <w:t>insensitive</w:t>
      </w:r>
      <w:proofErr w:type="spellEnd"/>
      <w:r>
        <w:t xml:space="preserve"> para reflejar correctamente el ordenamiento y las búsquedas sobre nombres de jugadores, selecciones y sedes en español, sin exigir coincidencia exacta de mayúsculas/minúsculas en las búsquedas de la aplicación.</w:t>
      </w:r>
    </w:p>
    <w:p w14:paraId="42FA16F7" w14:textId="77777777" w:rsidR="00C44D81" w:rsidRDefault="0012184F">
      <w:pPr>
        <w:pStyle w:val="Ttulo2"/>
        <w:spacing w:line="259" w:lineRule="auto"/>
      </w:pPr>
      <w:bookmarkStart w:id="5" w:name="__RefHeading___Toc312_2025764130"/>
      <w:bookmarkEnd w:id="5"/>
      <w:r>
        <w:t>Modos de acceso</w:t>
      </w:r>
    </w:p>
    <w:p w14:paraId="0F4FDC8C" w14:textId="77777777" w:rsidR="00C44D81" w:rsidRDefault="0012184F">
      <w:pPr>
        <w:pStyle w:val="Prrafodelista"/>
        <w:numPr>
          <w:ilvl w:val="0"/>
          <w:numId w:val="1"/>
        </w:numPr>
      </w:pPr>
      <w:r>
        <w:rPr>
          <w:b/>
          <w:bCs/>
        </w:rPr>
        <w:t>Modo de autenticación:</w:t>
      </w:r>
      <w:r>
        <w:t xml:space="preserve"> mixto (Windows </w:t>
      </w:r>
      <w:proofErr w:type="spellStart"/>
      <w:r>
        <w:t>Authentication</w:t>
      </w:r>
      <w:proofErr w:type="spellEnd"/>
      <w:r>
        <w:t xml:space="preserve"> y SQL Server </w:t>
      </w:r>
      <w:proofErr w:type="spellStart"/>
      <w:r>
        <w:t>Authentication</w:t>
      </w:r>
      <w:proofErr w:type="spellEnd"/>
      <w:r>
        <w:t xml:space="preserve">). Se requieren ambos porque la autenticación de Windows entre equipos distintos depende de un dominio de Active </w:t>
      </w:r>
      <w:proofErr w:type="spellStart"/>
      <w:r>
        <w:t>Directory</w:t>
      </w:r>
      <w:proofErr w:type="spellEnd"/>
      <w:r>
        <w:t xml:space="preserve">, del que la red local no dispone; las conexiones remotas se resuelven, por lo tanto, con </w:t>
      </w:r>
      <w:proofErr w:type="spellStart"/>
      <w:r>
        <w:t>logins</w:t>
      </w:r>
      <w:proofErr w:type="spellEnd"/>
      <w:r>
        <w:t xml:space="preserve"> de SQL Server.</w:t>
      </w:r>
    </w:p>
    <w:p w14:paraId="05CCA009" w14:textId="77777777" w:rsidR="00C44D81" w:rsidRDefault="0012184F">
      <w:pPr>
        <w:pStyle w:val="Prrafodelista"/>
        <w:numPr>
          <w:ilvl w:val="0"/>
          <w:numId w:val="1"/>
        </w:numPr>
      </w:pPr>
      <w:r>
        <w:rPr>
          <w:b/>
          <w:bCs/>
        </w:rPr>
        <w:t>Administración local:</w:t>
      </w:r>
      <w:r>
        <w:t xml:space="preserve"> desde el propio equipo, mediante SSMS y el protocolo </w:t>
      </w:r>
      <w:proofErr w:type="spellStart"/>
      <w:r>
        <w:t>Shared</w:t>
      </w:r>
      <w:proofErr w:type="spellEnd"/>
      <w:r>
        <w:t xml:space="preserve"> Memory, con autenticación de Windows. La cuenta del administrador se agrega al rol </w:t>
      </w:r>
      <w:proofErr w:type="spellStart"/>
      <w:r>
        <w:t>sysadmin</w:t>
      </w:r>
      <w:proofErr w:type="spellEnd"/>
      <w:r>
        <w:t xml:space="preserve"> durante la instalación.</w:t>
      </w:r>
    </w:p>
    <w:p w14:paraId="16241D17" w14:textId="77777777" w:rsidR="00C44D81" w:rsidRDefault="0012184F">
      <w:pPr>
        <w:pStyle w:val="Prrafodelista"/>
        <w:numPr>
          <w:ilvl w:val="0"/>
          <w:numId w:val="1"/>
        </w:numPr>
      </w:pPr>
      <w:r>
        <w:rPr>
          <w:b/>
          <w:bCs/>
        </w:rPr>
        <w:t>Acceso remoto:</w:t>
      </w:r>
      <w:r>
        <w:t xml:space="preserve"> desde otros equipos de la misma red local, mediante TCP/IP sobre el puerto 1433, con autenticación de SQL Server a través de un login dedicado sujeto a la política de contraseñas de Windows.</w:t>
      </w:r>
    </w:p>
    <w:p w14:paraId="027CA817" w14:textId="77777777" w:rsidR="00C44D81" w:rsidRDefault="0012184F">
      <w:pPr>
        <w:pStyle w:val="Prrafodelista"/>
        <w:numPr>
          <w:ilvl w:val="0"/>
          <w:numId w:val="1"/>
        </w:numPr>
      </w:pPr>
      <w:r>
        <w:rPr>
          <w:b/>
          <w:bCs/>
        </w:rPr>
        <w:t>Aplicación y procesos de importación:</w:t>
      </w:r>
      <w:r>
        <w:t xml:space="preserve"> de forma local o desde la red, con </w:t>
      </w:r>
      <w:proofErr w:type="spellStart"/>
      <w:r>
        <w:t>logins</w:t>
      </w:r>
      <w:proofErr w:type="spellEnd"/>
      <w:r>
        <w:t xml:space="preserve"> de SQL Server cuyos permisos se definen en el plan de seguridad.</w:t>
      </w:r>
    </w:p>
    <w:p w14:paraId="03493EB2" w14:textId="77777777" w:rsidR="00C44D81" w:rsidRDefault="0012184F">
      <w:pPr>
        <w:pStyle w:val="Prrafodelista"/>
        <w:numPr>
          <w:ilvl w:val="0"/>
          <w:numId w:val="1"/>
        </w:numPr>
      </w:pPr>
      <w:r>
        <w:rPr>
          <w:b/>
          <w:bCs/>
        </w:rPr>
        <w:t xml:space="preserve">Cuenta </w:t>
      </w:r>
      <w:proofErr w:type="spellStart"/>
      <w:r>
        <w:rPr>
          <w:b/>
          <w:bCs/>
        </w:rPr>
        <w:t>sa</w:t>
      </w:r>
      <w:proofErr w:type="spellEnd"/>
      <w:r>
        <w:rPr>
          <w:b/>
          <w:bCs/>
        </w:rPr>
        <w:t xml:space="preserve"> (</w:t>
      </w:r>
      <w:proofErr w:type="spellStart"/>
      <w:r>
        <w:rPr>
          <w:b/>
          <w:bCs/>
        </w:rPr>
        <w:t>System</w:t>
      </w:r>
      <w:proofErr w:type="spellEnd"/>
      <w:r>
        <w:rPr>
          <w:b/>
          <w:bCs/>
        </w:rPr>
        <w:t xml:space="preserve"> </w:t>
      </w:r>
      <w:proofErr w:type="spellStart"/>
      <w:r>
        <w:rPr>
          <w:b/>
          <w:bCs/>
        </w:rPr>
        <w:t>Administrator</w:t>
      </w:r>
      <w:proofErr w:type="spellEnd"/>
      <w:r>
        <w:rPr>
          <w:b/>
          <w:bCs/>
        </w:rPr>
        <w:t>):</w:t>
      </w:r>
      <w:r>
        <w:t xml:space="preserve"> se deshabilita una vez configurado el acceso de administración, por tratarse del login de mayor privilegio y de nombre conocido, y por lo tanto el primer objetivo de un ataque por fuerza bruta.</w:t>
      </w:r>
    </w:p>
    <w:p w14:paraId="2BF6D8F5" w14:textId="77777777" w:rsidR="00C44D81" w:rsidRDefault="0012184F">
      <w:pPr>
        <w:pStyle w:val="Ttulo2"/>
      </w:pPr>
      <w:bookmarkStart w:id="6" w:name="__RefHeading___Toc314_2025764130"/>
      <w:bookmarkEnd w:id="6"/>
      <w:r>
        <w:t>Protocolo y puerto de atención</w:t>
      </w:r>
    </w:p>
    <w:p w14:paraId="37EDF283" w14:textId="77777777" w:rsidR="00C44D81" w:rsidRDefault="0012184F" w:rsidP="0012184F">
      <w:pPr>
        <w:pStyle w:val="Prrafodelista"/>
        <w:numPr>
          <w:ilvl w:val="0"/>
          <w:numId w:val="24"/>
        </w:numPr>
        <w:spacing w:after="100" w:line="276" w:lineRule="auto"/>
      </w:pPr>
      <w:r>
        <w:rPr>
          <w:b/>
          <w:bCs/>
        </w:rPr>
        <w:lastRenderedPageBreak/>
        <w:t>Protocolo de red habilitado:</w:t>
      </w:r>
      <w:r>
        <w:t xml:space="preserve"> TCP/IP, que en la edición Express viene deshabilitado por defecto y se habilita manualmente en SQL Server </w:t>
      </w:r>
      <w:proofErr w:type="spellStart"/>
      <w:r>
        <w:t>Configuration</w:t>
      </w:r>
      <w:proofErr w:type="spellEnd"/>
      <w:r>
        <w:t xml:space="preserve"> Manager. Es el único protocolo activo para conexiones de red.</w:t>
      </w:r>
    </w:p>
    <w:p w14:paraId="3E7D50AD" w14:textId="77777777" w:rsidR="00C44D81" w:rsidRDefault="0012184F" w:rsidP="0012184F">
      <w:pPr>
        <w:pStyle w:val="Prrafodelista"/>
        <w:numPr>
          <w:ilvl w:val="0"/>
          <w:numId w:val="25"/>
        </w:numPr>
        <w:spacing w:after="100" w:line="276" w:lineRule="auto"/>
      </w:pPr>
      <w:r>
        <w:rPr>
          <w:b/>
          <w:bCs/>
        </w:rPr>
        <w:t>Named Pipes:</w:t>
      </w:r>
      <w:r>
        <w:t xml:space="preserve"> deshabilitado, al no requerirse conectividad sobre recursos compartidos de red ni compatibilidad con clientes legados.</w:t>
      </w:r>
    </w:p>
    <w:p w14:paraId="688CC274" w14:textId="77777777" w:rsidR="00C44D81" w:rsidRDefault="0012184F" w:rsidP="0012184F">
      <w:pPr>
        <w:pStyle w:val="Prrafodelista"/>
        <w:numPr>
          <w:ilvl w:val="0"/>
          <w:numId w:val="26"/>
        </w:numPr>
        <w:spacing w:after="100" w:line="276" w:lineRule="auto"/>
      </w:pPr>
      <w:proofErr w:type="spellStart"/>
      <w:r>
        <w:rPr>
          <w:b/>
          <w:bCs/>
        </w:rPr>
        <w:t>Shared</w:t>
      </w:r>
      <w:proofErr w:type="spellEnd"/>
      <w:r>
        <w:rPr>
          <w:b/>
          <w:bCs/>
        </w:rPr>
        <w:t xml:space="preserve"> Memory: </w:t>
      </w:r>
      <w:r>
        <w:t>se mantiene habilitado únicamente para las conexiones locales (SSMS y procesos ejecutados en la propia máquina del servidor), por ser el protocolo de menor latencia para ese escenario.</w:t>
      </w:r>
    </w:p>
    <w:p w14:paraId="7B0CD286" w14:textId="77777777" w:rsidR="00C44D81" w:rsidRDefault="0012184F" w:rsidP="0012184F">
      <w:pPr>
        <w:pStyle w:val="Prrafodelista"/>
        <w:numPr>
          <w:ilvl w:val="0"/>
          <w:numId w:val="27"/>
        </w:numPr>
        <w:spacing w:line="276" w:lineRule="auto"/>
        <w:ind w:left="459" w:hanging="261"/>
      </w:pPr>
      <w:r>
        <w:rPr>
          <w:b/>
          <w:bCs/>
        </w:rPr>
        <w:t>Puerto de atención:</w:t>
      </w:r>
      <w:r>
        <w:t xml:space="preserve"> se fija de forma estática el puerto TCP 1433 para la instancia default, en lugar de dejarlo en asignación dinámica.</w:t>
      </w:r>
    </w:p>
    <w:p w14:paraId="35F55E95" w14:textId="77777777" w:rsidR="00C44D81" w:rsidRDefault="0012184F">
      <w:pPr>
        <w:pStyle w:val="Prrafodelista"/>
        <w:spacing w:after="100" w:line="276" w:lineRule="auto"/>
        <w:ind w:left="460"/>
      </w:pPr>
      <w:r>
        <w:t>Dado que el puerto queda fijo y la instancia es única (sin instancias nombradas), se deshabilita el servicio SQL Server Browser, reduciendo la superficie de exposición del servidor.</w:t>
      </w:r>
    </w:p>
    <w:p w14:paraId="213A565E" w14:textId="77777777" w:rsidR="00C44D81" w:rsidRDefault="0012184F">
      <w:pPr>
        <w:pStyle w:val="Ttulo1"/>
        <w:pBdr>
          <w:bottom w:val="single" w:sz="6" w:space="4" w:color="2E5395"/>
        </w:pBdr>
      </w:pPr>
      <w:bookmarkStart w:id="7" w:name="__RefHeading___Toc316_2025764130"/>
      <w:bookmarkEnd w:id="7"/>
      <w:r>
        <w:t>4. Ubicación de archivos</w:t>
      </w:r>
    </w:p>
    <w:p w14:paraId="56101EA0" w14:textId="77777777" w:rsidR="00C44D81" w:rsidRDefault="0012184F" w:rsidP="0012184F">
      <w:pPr>
        <w:pStyle w:val="Prrafodelista"/>
        <w:numPr>
          <w:ilvl w:val="0"/>
          <w:numId w:val="28"/>
        </w:numPr>
        <w:spacing w:after="100" w:line="276" w:lineRule="auto"/>
      </w:pPr>
      <w:r>
        <w:rPr>
          <w:b/>
          <w:bCs/>
        </w:rPr>
        <w:t>Archivos de datos (.</w:t>
      </w:r>
      <w:proofErr w:type="spellStart"/>
      <w:r>
        <w:rPr>
          <w:b/>
          <w:bCs/>
        </w:rPr>
        <w:t>mdf</w:t>
      </w:r>
      <w:proofErr w:type="spellEnd"/>
      <w:r>
        <w:rPr>
          <w:b/>
          <w:bCs/>
        </w:rPr>
        <w:t>/.</w:t>
      </w:r>
      <w:proofErr w:type="spellStart"/>
      <w:r>
        <w:rPr>
          <w:b/>
          <w:bCs/>
        </w:rPr>
        <w:t>ndf</w:t>
      </w:r>
      <w:proofErr w:type="spellEnd"/>
      <w:r>
        <w:rPr>
          <w:b/>
          <w:bCs/>
        </w:rPr>
        <w:t>):</w:t>
      </w:r>
      <w:r>
        <w:t xml:space="preserve"> D:\SQLData\MundialFutbol\</w:t>
      </w:r>
    </w:p>
    <w:p w14:paraId="4373CF18" w14:textId="77777777" w:rsidR="00C44D81" w:rsidRDefault="0012184F" w:rsidP="0012184F">
      <w:pPr>
        <w:pStyle w:val="Prrafodelista"/>
        <w:numPr>
          <w:ilvl w:val="0"/>
          <w:numId w:val="29"/>
        </w:numPr>
        <w:spacing w:after="100" w:line="276" w:lineRule="auto"/>
      </w:pPr>
      <w:r>
        <w:rPr>
          <w:b/>
          <w:bCs/>
        </w:rPr>
        <w:t>Archivo de log (.</w:t>
      </w:r>
      <w:proofErr w:type="spellStart"/>
      <w:r>
        <w:rPr>
          <w:b/>
          <w:bCs/>
        </w:rPr>
        <w:t>ldf</w:t>
      </w:r>
      <w:proofErr w:type="spellEnd"/>
      <w:r>
        <w:rPr>
          <w:b/>
          <w:bCs/>
        </w:rPr>
        <w:t>):</w:t>
      </w:r>
      <w:r>
        <w:t xml:space="preserve"> D:\SQLLogs\MundialFutbol\ (en una carpeta separada de los archivos de datos dentro de la misma unidad D: dado que la máquina de desarrollo cuenta con una única unidad adicional disponible; en un entorno con más discos físicos se recomienda separar datos y logs en unidades distintas para aislar la carga de E/S).</w:t>
      </w:r>
    </w:p>
    <w:p w14:paraId="4CDCA5EF" w14:textId="77777777" w:rsidR="00C44D81" w:rsidRDefault="0012184F" w:rsidP="0012184F">
      <w:pPr>
        <w:pStyle w:val="Prrafodelista"/>
        <w:numPr>
          <w:ilvl w:val="0"/>
          <w:numId w:val="30"/>
        </w:numPr>
        <w:spacing w:after="100" w:line="276" w:lineRule="auto"/>
      </w:pPr>
      <w:proofErr w:type="spellStart"/>
      <w:r>
        <w:rPr>
          <w:b/>
          <w:bCs/>
        </w:rPr>
        <w:t>tempdb</w:t>
      </w:r>
      <w:proofErr w:type="spellEnd"/>
      <w:r>
        <w:rPr>
          <w:b/>
          <w:bCs/>
        </w:rPr>
        <w:t>:</w:t>
      </w:r>
      <w:r>
        <w:t xml:space="preserve"> D:\SQLTempDB\, en una carpeta propia para poder monitorear su crecimiento de forma independiente del resto de las bases.</w:t>
      </w:r>
    </w:p>
    <w:p w14:paraId="47D68FF9" w14:textId="77777777" w:rsidR="00C44D81" w:rsidRDefault="0012184F" w:rsidP="0012184F">
      <w:pPr>
        <w:pStyle w:val="Prrafodelista"/>
        <w:numPr>
          <w:ilvl w:val="0"/>
          <w:numId w:val="31"/>
        </w:numPr>
        <w:spacing w:after="100" w:line="276" w:lineRule="auto"/>
      </w:pPr>
      <w:r>
        <w:rPr>
          <w:b/>
          <w:bCs/>
        </w:rPr>
        <w:t xml:space="preserve">Carpeta de </w:t>
      </w:r>
      <w:proofErr w:type="spellStart"/>
      <w:r>
        <w:rPr>
          <w:b/>
          <w:bCs/>
        </w:rPr>
        <w:t>backups</w:t>
      </w:r>
      <w:proofErr w:type="spellEnd"/>
      <w:r>
        <w:rPr>
          <w:b/>
          <w:bCs/>
        </w:rPr>
        <w:t>:</w:t>
      </w:r>
      <w:r>
        <w:t xml:space="preserve"> D:\SQLBackups\MundialFutbol\ </w:t>
      </w:r>
    </w:p>
    <w:p w14:paraId="0D5E2E9C" w14:textId="77777777" w:rsidR="00C44D81" w:rsidRDefault="0012184F">
      <w:pPr>
        <w:pStyle w:val="Ttulo1"/>
        <w:pBdr>
          <w:bottom w:val="single" w:sz="6" w:space="4" w:color="2E5395"/>
        </w:pBdr>
      </w:pPr>
      <w:bookmarkStart w:id="8" w:name="__RefHeading___Toc318_2025764130"/>
      <w:bookmarkEnd w:id="8"/>
      <w:r>
        <w:t>5. Tamaño de la base de datos</w:t>
      </w:r>
    </w:p>
    <w:p w14:paraId="712EC067" w14:textId="77777777" w:rsidR="00C44D81" w:rsidRDefault="0012184F" w:rsidP="0012184F">
      <w:pPr>
        <w:pStyle w:val="Prrafodelista"/>
        <w:numPr>
          <w:ilvl w:val="0"/>
          <w:numId w:val="32"/>
        </w:numPr>
        <w:spacing w:after="100" w:line="276" w:lineRule="auto"/>
      </w:pPr>
      <w:r>
        <w:rPr>
          <w:b/>
          <w:bCs/>
        </w:rPr>
        <w:t>Estimación:</w:t>
      </w:r>
      <w:r>
        <w:t xml:space="preserve"> se estima un tamaño total de 4 GB, compuesto aproximadamente por 1 GB de datos operativos del torneo (partidos, goles, tarjetas, sustituciones, designaciones y publicidad), 1 GB de datos históricos importados, 0,5 GB de índices, 1 GB de log de transacciones dimensionado para cargas masivas y 0,5 GB de margen de crecimiento.</w:t>
      </w:r>
    </w:p>
    <w:p w14:paraId="2998364A" w14:textId="77777777" w:rsidR="00C44D81" w:rsidRDefault="0012184F" w:rsidP="0012184F">
      <w:pPr>
        <w:pStyle w:val="Prrafodelista"/>
        <w:numPr>
          <w:ilvl w:val="0"/>
          <w:numId w:val="33"/>
        </w:numPr>
      </w:pPr>
      <w:r>
        <w:rPr>
          <w:b/>
          <w:bCs/>
        </w:rPr>
        <w:t>Archivo de datos primario (.</w:t>
      </w:r>
      <w:proofErr w:type="spellStart"/>
      <w:r>
        <w:rPr>
          <w:b/>
          <w:bCs/>
        </w:rPr>
        <w:t>mdf</w:t>
      </w:r>
      <w:proofErr w:type="spellEnd"/>
      <w:r>
        <w:rPr>
          <w:b/>
          <w:bCs/>
        </w:rPr>
        <w:t>):</w:t>
      </w:r>
      <w:r>
        <w:t xml:space="preserve"> tamaño inicial de 3 GB, con autocrecimiento en incrementos fijos de 256 MB y un tamaño máximo de 9 GB. El máximo se fija por debajo del límite de 10 GB de la edición para que el error se produzca con margen para reaccionar.</w:t>
      </w:r>
    </w:p>
    <w:p w14:paraId="4F678CEC" w14:textId="77777777" w:rsidR="00C44D81" w:rsidRDefault="0012184F" w:rsidP="0012184F">
      <w:pPr>
        <w:pStyle w:val="Prrafodelista"/>
        <w:numPr>
          <w:ilvl w:val="0"/>
          <w:numId w:val="34"/>
        </w:numPr>
      </w:pPr>
      <w:r>
        <w:rPr>
          <w:b/>
          <w:bCs/>
        </w:rPr>
        <w:t>Archivo de log (.</w:t>
      </w:r>
      <w:proofErr w:type="spellStart"/>
      <w:r>
        <w:rPr>
          <w:b/>
          <w:bCs/>
        </w:rPr>
        <w:t>ldf</w:t>
      </w:r>
      <w:proofErr w:type="spellEnd"/>
      <w:r>
        <w:rPr>
          <w:b/>
          <w:bCs/>
        </w:rPr>
        <w:t>):</w:t>
      </w:r>
      <w:r>
        <w:t xml:space="preserve"> tamaño inicial de 1 GB, con autocrecimiento en incrementos fijos de 256 MB y un tamaño máximo de 4 GB, para evitar que un crecimiento anómalo agote el espacio en disco.</w:t>
      </w:r>
    </w:p>
    <w:p w14:paraId="529623FB" w14:textId="77777777" w:rsidR="00C44D81" w:rsidRDefault="0012184F" w:rsidP="0012184F">
      <w:pPr>
        <w:pStyle w:val="Prrafodelista"/>
        <w:numPr>
          <w:ilvl w:val="0"/>
          <w:numId w:val="35"/>
        </w:numPr>
      </w:pPr>
      <w:r>
        <w:rPr>
          <w:b/>
          <w:bCs/>
        </w:rPr>
        <w:t>Criterio de dimensionamiento:</w:t>
      </w:r>
      <w:r>
        <w:t xml:space="preserve"> los archivos se crean con el tamaño estimado para evitar crecimientos durante las cargas masivas, que interrumpen momentáneamente las transacciones. El autocrecimiento se define en valores fijos y no en porcentaje, para evitar incrementos cada vez mayores.</w:t>
      </w:r>
    </w:p>
    <w:p w14:paraId="64EF43C0" w14:textId="77777777" w:rsidR="00C44D81" w:rsidRDefault="0012184F" w:rsidP="0012184F">
      <w:pPr>
        <w:pStyle w:val="Prrafodelista"/>
        <w:numPr>
          <w:ilvl w:val="0"/>
          <w:numId w:val="36"/>
        </w:numPr>
      </w:pPr>
      <w:r>
        <w:rPr>
          <w:b/>
          <w:bCs/>
        </w:rPr>
        <w:t>Modelo de recuperación:</w:t>
      </w:r>
      <w:r>
        <w:t xml:space="preserve"> SIMPLE. Con el modelo FULL, el log solo se libera tras un respaldo del log; al no contar la edición con SQL Server Agent para programar esos respaldos, el archivo crecería sin control. El modelo se reevalúa al definir la política de respaldo.</w:t>
      </w:r>
    </w:p>
    <w:p w14:paraId="4A070859" w14:textId="77777777" w:rsidR="00C44D81" w:rsidRDefault="0012184F" w:rsidP="0012184F">
      <w:pPr>
        <w:pStyle w:val="Prrafodelista"/>
        <w:numPr>
          <w:ilvl w:val="0"/>
          <w:numId w:val="37"/>
        </w:numPr>
        <w:spacing w:after="100" w:line="276" w:lineRule="auto"/>
      </w:pPr>
      <w:proofErr w:type="spellStart"/>
      <w:r>
        <w:rPr>
          <w:b/>
          <w:bCs/>
        </w:rPr>
        <w:lastRenderedPageBreak/>
        <w:t>tempdb</w:t>
      </w:r>
      <w:proofErr w:type="spellEnd"/>
      <w:r>
        <w:rPr>
          <w:b/>
          <w:bCs/>
        </w:rPr>
        <w:t xml:space="preserve">: </w:t>
      </w:r>
      <w:r>
        <w:t>se configura un archivo de datos por núcleo, hasta el máximo de 4 que utiliza la edición Express, cada uno con tamaño inicial de 128 MB y autocrecimiento de 64 MB, todos del mismo tamaño para evitar contención por el algoritmo de llenado proporcional (</w:t>
      </w:r>
      <w:proofErr w:type="spellStart"/>
      <w:r>
        <w:t>proportional</w:t>
      </w:r>
      <w:proofErr w:type="spellEnd"/>
      <w:r>
        <w:t xml:space="preserve"> </w:t>
      </w:r>
      <w:proofErr w:type="spellStart"/>
      <w:r>
        <w:t>fill</w:t>
      </w:r>
      <w:proofErr w:type="spellEnd"/>
      <w:r>
        <w:t>).</w:t>
      </w:r>
    </w:p>
    <w:p w14:paraId="0AD811E1" w14:textId="77777777" w:rsidR="00C44D81" w:rsidRDefault="0012184F">
      <w:pPr>
        <w:pStyle w:val="Ttulo1"/>
        <w:pBdr>
          <w:bottom w:val="single" w:sz="6" w:space="4" w:color="2E5395"/>
        </w:pBdr>
      </w:pPr>
      <w:bookmarkStart w:id="9" w:name="__RefHeading___Toc320_2025764130"/>
      <w:bookmarkEnd w:id="9"/>
      <w:r>
        <w:t>6. Configuración de memoria</w:t>
      </w:r>
    </w:p>
    <w:p w14:paraId="1E32AC86" w14:textId="77777777" w:rsidR="00C44D81" w:rsidRDefault="0012184F" w:rsidP="0012184F">
      <w:pPr>
        <w:pStyle w:val="Prrafodelista"/>
        <w:numPr>
          <w:ilvl w:val="0"/>
          <w:numId w:val="38"/>
        </w:numPr>
        <w:spacing w:after="100" w:line="276" w:lineRule="auto"/>
      </w:pPr>
      <w:r>
        <w:rPr>
          <w:b/>
          <w:bCs/>
        </w:rPr>
        <w:t xml:space="preserve">Min server </w:t>
      </w:r>
      <w:proofErr w:type="spellStart"/>
      <w:r>
        <w:rPr>
          <w:b/>
          <w:bCs/>
        </w:rPr>
        <w:t>memory</w:t>
      </w:r>
      <w:proofErr w:type="spellEnd"/>
      <w:r>
        <w:rPr>
          <w:b/>
          <w:bCs/>
        </w:rPr>
        <w:t>:</w:t>
      </w:r>
      <w:r>
        <w:t xml:space="preserve"> 512 MB. Garantiza un piso de memoria para el motor ante la demanda de otros procesos del equipo.</w:t>
      </w:r>
    </w:p>
    <w:p w14:paraId="1911449C" w14:textId="77777777" w:rsidR="00C44D81" w:rsidRDefault="0012184F" w:rsidP="0012184F">
      <w:pPr>
        <w:pStyle w:val="Prrafodelista"/>
        <w:numPr>
          <w:ilvl w:val="0"/>
          <w:numId w:val="39"/>
        </w:numPr>
        <w:spacing w:after="100" w:line="276" w:lineRule="auto"/>
      </w:pPr>
      <w:r>
        <w:rPr>
          <w:b/>
          <w:bCs/>
        </w:rPr>
        <w:t xml:space="preserve">Max server </w:t>
      </w:r>
      <w:proofErr w:type="spellStart"/>
      <w:r>
        <w:rPr>
          <w:b/>
          <w:bCs/>
        </w:rPr>
        <w:t>memory</w:t>
      </w:r>
      <w:proofErr w:type="spellEnd"/>
      <w:r>
        <w:rPr>
          <w:b/>
          <w:bCs/>
        </w:rPr>
        <w:t>:</w:t>
      </w:r>
      <w:r>
        <w:t xml:space="preserve"> 2.048 MB. La edición Express limita el buffer pool a 1.410 MB; el valor configurado cubre además la memoria que el motor utiliza fuera del buffer pool, como la caché de planes y las conexiones. El resto de la memoria física queda disponible para el sistema operativo y las herramientas de administración.</w:t>
      </w:r>
    </w:p>
    <w:p w14:paraId="4681C36D" w14:textId="77777777" w:rsidR="00C44D81" w:rsidRDefault="0012184F" w:rsidP="0012184F">
      <w:pPr>
        <w:pStyle w:val="Prrafodelista"/>
        <w:numPr>
          <w:ilvl w:val="0"/>
          <w:numId w:val="40"/>
        </w:numPr>
        <w:spacing w:after="100" w:line="276" w:lineRule="auto"/>
      </w:pPr>
      <w:r>
        <w:rPr>
          <w:b/>
          <w:bCs/>
        </w:rPr>
        <w:t xml:space="preserve">Max Degree </w:t>
      </w:r>
      <w:proofErr w:type="spellStart"/>
      <w:r>
        <w:rPr>
          <w:b/>
          <w:bCs/>
        </w:rPr>
        <w:t>of</w:t>
      </w:r>
      <w:proofErr w:type="spellEnd"/>
      <w:r>
        <w:rPr>
          <w:b/>
          <w:bCs/>
        </w:rPr>
        <w:t xml:space="preserve"> </w:t>
      </w:r>
      <w:proofErr w:type="spellStart"/>
      <w:r>
        <w:rPr>
          <w:b/>
          <w:bCs/>
        </w:rPr>
        <w:t>Parallelism</w:t>
      </w:r>
      <w:proofErr w:type="spellEnd"/>
      <w:r>
        <w:rPr>
          <w:b/>
          <w:bCs/>
        </w:rPr>
        <w:t xml:space="preserve"> (MAXDOP):</w:t>
      </w:r>
      <w:r>
        <w:t xml:space="preserve"> 2 (la mitad de los 4 núcleos que utiliza la edición). Permite que las consultas de reportes (Entrega 7) se beneficien de paralelismo sin saturar la totalidad de la CPU en una máquina compartida con otras tareas de desarrollo.</w:t>
      </w:r>
    </w:p>
    <w:p w14:paraId="7B33139F" w14:textId="77777777" w:rsidR="00C44D81" w:rsidRDefault="0012184F" w:rsidP="0012184F">
      <w:pPr>
        <w:pStyle w:val="Prrafodelista"/>
        <w:numPr>
          <w:ilvl w:val="0"/>
          <w:numId w:val="41"/>
        </w:numPr>
        <w:spacing w:after="100" w:line="276" w:lineRule="auto"/>
      </w:pPr>
      <w:proofErr w:type="spellStart"/>
      <w:r>
        <w:rPr>
          <w:b/>
          <w:bCs/>
        </w:rPr>
        <w:t>Cost</w:t>
      </w:r>
      <w:proofErr w:type="spellEnd"/>
      <w:r>
        <w:rPr>
          <w:b/>
          <w:bCs/>
        </w:rPr>
        <w:t xml:space="preserve"> </w:t>
      </w:r>
      <w:proofErr w:type="spellStart"/>
      <w:r>
        <w:rPr>
          <w:b/>
          <w:bCs/>
        </w:rPr>
        <w:t>Threshold</w:t>
      </w:r>
      <w:proofErr w:type="spellEnd"/>
      <w:r>
        <w:rPr>
          <w:b/>
          <w:bCs/>
        </w:rPr>
        <w:t xml:space="preserve"> </w:t>
      </w:r>
      <w:proofErr w:type="spellStart"/>
      <w:r>
        <w:rPr>
          <w:b/>
          <w:bCs/>
        </w:rPr>
        <w:t>for</w:t>
      </w:r>
      <w:proofErr w:type="spellEnd"/>
      <w:r>
        <w:rPr>
          <w:b/>
          <w:bCs/>
        </w:rPr>
        <w:t xml:space="preserve"> </w:t>
      </w:r>
      <w:proofErr w:type="spellStart"/>
      <w:r>
        <w:rPr>
          <w:b/>
          <w:bCs/>
        </w:rPr>
        <w:t>Parallelism</w:t>
      </w:r>
      <w:proofErr w:type="spellEnd"/>
      <w:r>
        <w:rPr>
          <w:b/>
          <w:bCs/>
        </w:rPr>
        <w:t>:</w:t>
      </w:r>
      <w:r>
        <w:t xml:space="preserve"> se eleva de 5 (valor por defecto) a 25, de forma que solo las consultas más costosas (reportes con </w:t>
      </w:r>
      <w:proofErr w:type="spellStart"/>
      <w:r>
        <w:t>joins</w:t>
      </w:r>
      <w:proofErr w:type="spellEnd"/>
      <w:r>
        <w:t xml:space="preserve"> extensos y tablas </w:t>
      </w:r>
      <w:proofErr w:type="spellStart"/>
      <w:r>
        <w:t>pivot</w:t>
      </w:r>
      <w:proofErr w:type="spellEnd"/>
      <w:r>
        <w:t xml:space="preserve">) generen planes paralelos, evitando el </w:t>
      </w:r>
      <w:proofErr w:type="spellStart"/>
      <w:r>
        <w:t>overhead</w:t>
      </w:r>
      <w:proofErr w:type="spellEnd"/>
      <w:r>
        <w:t xml:space="preserve"> de paralelizar operaciones transaccionales simples (altas, bajas y modificaciones).</w:t>
      </w:r>
    </w:p>
    <w:p w14:paraId="7184B198" w14:textId="77777777" w:rsidR="00C44D81" w:rsidRDefault="0012184F">
      <w:pPr>
        <w:pStyle w:val="Ttulo1"/>
        <w:pBdr>
          <w:bottom w:val="single" w:sz="6" w:space="4" w:color="2E5395"/>
        </w:pBdr>
      </w:pPr>
      <w:bookmarkStart w:id="10" w:name="__RefHeading___Toc322_2025764130"/>
      <w:bookmarkEnd w:id="10"/>
      <w:r>
        <w:t>7. Configuración de seguridad</w:t>
      </w:r>
    </w:p>
    <w:p w14:paraId="0A9E17B9" w14:textId="77777777" w:rsidR="00C44D81" w:rsidRDefault="0012184F" w:rsidP="0012184F">
      <w:pPr>
        <w:pStyle w:val="Prrafodelista"/>
        <w:numPr>
          <w:ilvl w:val="0"/>
          <w:numId w:val="42"/>
        </w:numPr>
        <w:spacing w:after="100" w:line="276" w:lineRule="auto"/>
      </w:pPr>
      <w:r>
        <w:rPr>
          <w:b/>
          <w:bCs/>
        </w:rPr>
        <w:t>Modo de autenticación:</w:t>
      </w:r>
      <w:r>
        <w:t xml:space="preserve"> mixto, según lo descripto en el apartado "Modo de acceso".</w:t>
      </w:r>
    </w:p>
    <w:p w14:paraId="6E00BF4A" w14:textId="77777777" w:rsidR="00C44D81" w:rsidRDefault="0012184F" w:rsidP="0012184F">
      <w:pPr>
        <w:pStyle w:val="Prrafodelista"/>
        <w:numPr>
          <w:ilvl w:val="0"/>
          <w:numId w:val="43"/>
        </w:numPr>
        <w:spacing w:after="100" w:line="276" w:lineRule="auto"/>
      </w:pPr>
      <w:r>
        <w:rPr>
          <w:b/>
          <w:bCs/>
        </w:rPr>
        <w:t xml:space="preserve">Cuenta de servicio del motor: </w:t>
      </w:r>
      <w:r>
        <w:t xml:space="preserve">cuenta de servicio dedicada de dominio/local (en lugar de Local </w:t>
      </w:r>
      <w:proofErr w:type="spellStart"/>
      <w:r>
        <w:t>System</w:t>
      </w:r>
      <w:proofErr w:type="spellEnd"/>
      <w:r>
        <w:t>), siguiendo el principio de mínimo privilegio a nivel del sistema operativo.</w:t>
      </w:r>
    </w:p>
    <w:p w14:paraId="2DB764BB" w14:textId="77777777" w:rsidR="00C44D81" w:rsidRDefault="0012184F" w:rsidP="0012184F">
      <w:pPr>
        <w:pStyle w:val="Prrafodelista"/>
        <w:numPr>
          <w:ilvl w:val="0"/>
          <w:numId w:val="44"/>
        </w:numPr>
        <w:spacing w:after="100" w:line="276" w:lineRule="auto"/>
      </w:pPr>
      <w:r>
        <w:rPr>
          <w:b/>
          <w:bCs/>
        </w:rPr>
        <w:t>Firewall:</w:t>
      </w:r>
      <w:r>
        <w:t xml:space="preserve"> se habilita una única regla de entrada para el puerto TCP 1433, restringida a la subred de los integrantes del grupo; no hay exposición del servidor a Internet.</w:t>
      </w:r>
    </w:p>
    <w:p w14:paraId="6FA034AB" w14:textId="77777777" w:rsidR="00C44D81" w:rsidRDefault="0012184F" w:rsidP="0012184F">
      <w:pPr>
        <w:pStyle w:val="Prrafodelista"/>
        <w:numPr>
          <w:ilvl w:val="0"/>
          <w:numId w:val="45"/>
        </w:numPr>
        <w:spacing w:after="100" w:line="276" w:lineRule="auto"/>
      </w:pPr>
      <w:r>
        <w:rPr>
          <w:b/>
          <w:bCs/>
        </w:rPr>
        <w:t>Política de contraseñas:</w:t>
      </w:r>
      <w:r>
        <w:t xml:space="preserve"> para los </w:t>
      </w:r>
      <w:proofErr w:type="spellStart"/>
      <w:r>
        <w:t>logins</w:t>
      </w:r>
      <w:proofErr w:type="spellEnd"/>
      <w:r>
        <w:t xml:space="preserve"> SQL creados se mantienen activadas las opciones CHECK_POLICY y CHECK_EXPIRATION, de forma que se apliquen las políticas de complejidad y vencimiento definidas por el sistema operativo.</w:t>
      </w:r>
    </w:p>
    <w:p w14:paraId="7011830C" w14:textId="77777777" w:rsidR="00C44D81" w:rsidRDefault="0012184F" w:rsidP="0012184F">
      <w:pPr>
        <w:pStyle w:val="Prrafodelista"/>
        <w:numPr>
          <w:ilvl w:val="0"/>
          <w:numId w:val="46"/>
        </w:numPr>
        <w:spacing w:after="100" w:line="276" w:lineRule="auto"/>
      </w:pPr>
      <w:r>
        <w:rPr>
          <w:b/>
          <w:bCs/>
        </w:rPr>
        <w:t>Principio de mínimo privilegio:</w:t>
      </w:r>
      <w:r>
        <w:t xml:space="preserve"> en esta etapa solo se crea el login administrador del grupo con rol </w:t>
      </w:r>
      <w:proofErr w:type="spellStart"/>
      <w:r>
        <w:t>sysadmin</w:t>
      </w:r>
      <w:proofErr w:type="spellEnd"/>
      <w:r>
        <w:t>, necesario para completar la instalación y las entregas siguientes. Los roles de aplicación (administrador, cargador de resultados, gestor de publicidad, consulta) con permisos granulares se documentan e implementan en la Entrega 8.</w:t>
      </w:r>
    </w:p>
    <w:p w14:paraId="6ADD582C" w14:textId="77777777" w:rsidR="00C44D81" w:rsidRDefault="0012184F">
      <w:r>
        <w:br w:type="page"/>
      </w:r>
    </w:p>
    <w:p w14:paraId="488C70B7" w14:textId="77777777" w:rsidR="00C44D81" w:rsidRDefault="0012184F">
      <w:pPr>
        <w:pStyle w:val="Ttulo1"/>
        <w:pBdr>
          <w:bottom w:val="single" w:sz="6" w:space="4" w:color="2E5395"/>
        </w:pBdr>
        <w:spacing w:before="0"/>
      </w:pPr>
      <w:bookmarkStart w:id="11" w:name="__RefHeading___Toc324_2025764130"/>
      <w:bookmarkEnd w:id="11"/>
      <w:r>
        <w:lastRenderedPageBreak/>
        <w:t>8. Configuración inicial de eventos</w:t>
      </w:r>
    </w:p>
    <w:p w14:paraId="4ECD0980" w14:textId="77777777" w:rsidR="00C44D81" w:rsidRDefault="0012184F">
      <w:pPr>
        <w:spacing w:after="100" w:line="276" w:lineRule="auto"/>
      </w:pPr>
      <w:r>
        <w:t>Dado que la edición Express no incluye SQL Server Agent, no es posible configurar alertas desde el motor. El registro de eventos se resuelve con los mecanismos disponibles en todas las ediciones:</w:t>
      </w:r>
    </w:p>
    <w:p w14:paraId="2AF2585B" w14:textId="77777777" w:rsidR="00C44D81" w:rsidRDefault="0012184F" w:rsidP="0012184F">
      <w:pPr>
        <w:pStyle w:val="Prrafodelista"/>
        <w:numPr>
          <w:ilvl w:val="0"/>
          <w:numId w:val="47"/>
        </w:numPr>
        <w:spacing w:after="100" w:line="276" w:lineRule="auto"/>
      </w:pPr>
      <w:r>
        <w:rPr>
          <w:b/>
          <w:bCs/>
        </w:rPr>
        <w:t>Registro de errores (Error Log):</w:t>
      </w:r>
      <w:r>
        <w:t xml:space="preserve"> se amplía la cantidad de archivos históricos conservados de 6 (valor por defecto) a 10, para mantener mayor trazabilidad durante todo el desarrollo de las entregas siguientes.</w:t>
      </w:r>
    </w:p>
    <w:p w14:paraId="2E346145" w14:textId="77777777" w:rsidR="00C44D81" w:rsidRDefault="0012184F" w:rsidP="0012184F">
      <w:pPr>
        <w:pStyle w:val="Prrafodelista"/>
        <w:numPr>
          <w:ilvl w:val="0"/>
          <w:numId w:val="48"/>
        </w:numPr>
        <w:spacing w:after="100" w:line="276" w:lineRule="auto"/>
      </w:pPr>
      <w:r>
        <w:rPr>
          <w:b/>
          <w:bCs/>
        </w:rPr>
        <w:t>Errores graves:</w:t>
      </w:r>
      <w:r>
        <w:t xml:space="preserve"> los errores de severidad 19 a 25 se registran automáticamente en el log de errores y en el registro de aplicaciones de Windows.</w:t>
      </w:r>
    </w:p>
    <w:p w14:paraId="2A844F1D" w14:textId="77777777" w:rsidR="00C44D81" w:rsidRDefault="0012184F" w:rsidP="0012184F">
      <w:pPr>
        <w:pStyle w:val="Prrafodelista"/>
        <w:numPr>
          <w:ilvl w:val="0"/>
          <w:numId w:val="49"/>
        </w:numPr>
      </w:pPr>
      <w:r>
        <w:rPr>
          <w:b/>
          <w:bCs/>
        </w:rPr>
        <w:t xml:space="preserve">Sesión </w:t>
      </w:r>
      <w:proofErr w:type="spellStart"/>
      <w:r>
        <w:rPr>
          <w:b/>
          <w:bCs/>
        </w:rPr>
        <w:t>system_health</w:t>
      </w:r>
      <w:proofErr w:type="spellEnd"/>
      <w:r>
        <w:rPr>
          <w:b/>
          <w:bCs/>
        </w:rPr>
        <w:t>:</w:t>
      </w:r>
      <w:r>
        <w:t xml:space="preserve"> activa por defecto, se mantiene sin cambios. Registra </w:t>
      </w:r>
      <w:proofErr w:type="spellStart"/>
      <w:r>
        <w:t>deadlocks</w:t>
      </w:r>
      <w:proofErr w:type="spellEnd"/>
      <w:r>
        <w:t xml:space="preserve"> y errores graves del motor.</w:t>
      </w:r>
    </w:p>
    <w:p w14:paraId="30DBC41B" w14:textId="77777777" w:rsidR="00C44D81" w:rsidRDefault="0012184F" w:rsidP="0012184F">
      <w:pPr>
        <w:pStyle w:val="Prrafodelista"/>
        <w:numPr>
          <w:ilvl w:val="0"/>
          <w:numId w:val="50"/>
        </w:numPr>
        <w:spacing w:after="100" w:line="276" w:lineRule="auto"/>
      </w:pPr>
      <w:r>
        <w:rPr>
          <w:b/>
          <w:bCs/>
        </w:rPr>
        <w:t xml:space="preserve">Extended </w:t>
      </w:r>
      <w:proofErr w:type="spellStart"/>
      <w:r>
        <w:rPr>
          <w:b/>
          <w:bCs/>
        </w:rPr>
        <w:t>Events</w:t>
      </w:r>
      <w:proofErr w:type="spellEnd"/>
      <w:r>
        <w:rPr>
          <w:b/>
          <w:bCs/>
        </w:rPr>
        <w:t>:</w:t>
      </w:r>
      <w:r>
        <w:t xml:space="preserve"> se crea una sesión que captura el evento </w:t>
      </w:r>
      <w:proofErr w:type="spellStart"/>
      <w:r>
        <w:t>error_reported</w:t>
      </w:r>
      <w:proofErr w:type="spellEnd"/>
      <w:r>
        <w:t xml:space="preserve">, filtrado para el error 18456 (inicio de sesión fallido), y el evento </w:t>
      </w:r>
      <w:proofErr w:type="spellStart"/>
      <w:r>
        <w:t>xml_deadlock_report</w:t>
      </w:r>
      <w:proofErr w:type="spellEnd"/>
      <w:r>
        <w:t>, para detectar bloqueos durante cargas masivas y operaciones concurrentes.</w:t>
      </w:r>
    </w:p>
    <w:p w14:paraId="79FF1EF7" w14:textId="77777777" w:rsidR="00C44D81" w:rsidRDefault="0012184F" w:rsidP="0012184F">
      <w:pPr>
        <w:pStyle w:val="Prrafodelista"/>
        <w:numPr>
          <w:ilvl w:val="0"/>
          <w:numId w:val="51"/>
        </w:numPr>
        <w:spacing w:after="100" w:line="276" w:lineRule="auto"/>
      </w:pPr>
      <w:r>
        <w:rPr>
          <w:b/>
          <w:bCs/>
        </w:rPr>
        <w:t>Auditoría (SQL Server Audit):</w:t>
      </w:r>
      <w:r>
        <w:t xml:space="preserve"> no se habilita en esta etapa; queda reservada para la Entrega 8, en conjunto con el cifrado de los datos sensibles de jugadores, cuerpos técnicos y árbitros.</w:t>
      </w:r>
    </w:p>
    <w:p w14:paraId="4B53DDCB" w14:textId="77777777" w:rsidR="00C44D81" w:rsidRDefault="0012184F">
      <w:pPr>
        <w:pStyle w:val="Ttulo1"/>
        <w:pBdr>
          <w:bottom w:val="single" w:sz="6" w:space="4" w:color="2E5395"/>
        </w:pBdr>
      </w:pPr>
      <w:bookmarkStart w:id="12" w:name="__RefHeading___Toc326_2025764130"/>
      <w:bookmarkEnd w:id="12"/>
      <w:r>
        <w:t>9. Verificación de la instalación</w:t>
      </w:r>
    </w:p>
    <w:p w14:paraId="6B709C85" w14:textId="77777777" w:rsidR="00C44D81" w:rsidRDefault="0012184F" w:rsidP="0012184F">
      <w:pPr>
        <w:pStyle w:val="Prrafodelista"/>
        <w:numPr>
          <w:ilvl w:val="0"/>
          <w:numId w:val="52"/>
        </w:numPr>
        <w:spacing w:after="100" w:line="276" w:lineRule="auto"/>
      </w:pPr>
      <w:r>
        <w:rPr>
          <w:b/>
          <w:bCs/>
        </w:rPr>
        <w:t>Validación del estado del servicio:</w:t>
      </w:r>
      <w:r>
        <w:t xml:space="preserve"> se verifica que el servicio de Windows "SQL Server (MSSQLSERVER)" se encuentre iniciado y configurado con inicio automático.</w:t>
      </w:r>
    </w:p>
    <w:p w14:paraId="5A318A1C" w14:textId="77777777" w:rsidR="00C44D81" w:rsidRDefault="0012184F" w:rsidP="0012184F">
      <w:pPr>
        <w:pStyle w:val="Prrafodelista"/>
        <w:numPr>
          <w:ilvl w:val="0"/>
          <w:numId w:val="53"/>
        </w:numPr>
        <w:spacing w:after="100" w:line="276" w:lineRule="auto"/>
      </w:pPr>
      <w:r>
        <w:rPr>
          <w:b/>
          <w:bCs/>
        </w:rPr>
        <w:t>Validación de versión y edición:</w:t>
      </w:r>
      <w:r>
        <w:t xml:space="preserve"> se ejecuta una consulta sobre SERVERPROPERTY (</w:t>
      </w:r>
      <w:proofErr w:type="spellStart"/>
      <w:r>
        <w:t>ProductVersion</w:t>
      </w:r>
      <w:proofErr w:type="spellEnd"/>
      <w:r>
        <w:t xml:space="preserve">, </w:t>
      </w:r>
      <w:proofErr w:type="spellStart"/>
      <w:r>
        <w:t>Edition</w:t>
      </w:r>
      <w:proofErr w:type="spellEnd"/>
      <w:r>
        <w:t xml:space="preserve">, </w:t>
      </w:r>
      <w:proofErr w:type="spellStart"/>
      <w:r>
        <w:t>ProductLevel</w:t>
      </w:r>
      <w:proofErr w:type="spellEnd"/>
      <w:r>
        <w:t xml:space="preserve">) para confirmar que la instancia corresponde a SQL Server 2022 Express </w:t>
      </w:r>
      <w:proofErr w:type="spellStart"/>
      <w:r>
        <w:t>Edition</w:t>
      </w:r>
      <w:proofErr w:type="spellEnd"/>
      <w:r>
        <w:t>.</w:t>
      </w:r>
    </w:p>
    <w:p w14:paraId="398C2E50" w14:textId="77777777" w:rsidR="00C44D81" w:rsidRDefault="0012184F" w:rsidP="0012184F">
      <w:pPr>
        <w:pStyle w:val="Prrafodelista"/>
        <w:numPr>
          <w:ilvl w:val="0"/>
          <w:numId w:val="54"/>
        </w:numPr>
        <w:spacing w:after="100" w:line="276" w:lineRule="auto"/>
      </w:pPr>
      <w:r>
        <w:rPr>
          <w:b/>
          <w:bCs/>
        </w:rPr>
        <w:t>Validación de puerto y protocolo:</w:t>
      </w:r>
      <w:r>
        <w:t xml:space="preserve"> se confirma, mediante el log de errores del motor al iniciar el servicio, que la instancia está escuchando en el puerto TCP 1433 sobre el protocolo TCP/IP.</w:t>
      </w:r>
    </w:p>
    <w:p w14:paraId="51D97A3E" w14:textId="77777777" w:rsidR="00C44D81" w:rsidRDefault="0012184F" w:rsidP="0012184F">
      <w:pPr>
        <w:pStyle w:val="Prrafodelista"/>
        <w:numPr>
          <w:ilvl w:val="0"/>
          <w:numId w:val="55"/>
        </w:numPr>
        <w:spacing w:after="100" w:line="276" w:lineRule="auto"/>
      </w:pPr>
      <w:r>
        <w:rPr>
          <w:b/>
          <w:bCs/>
        </w:rPr>
        <w:t>Prueba de conexión remota:</w:t>
      </w:r>
      <w:r>
        <w:t xml:space="preserve"> se realiza una conexión de prueba desde la máquina de otro integrante del grupo utilizando un login SQL, confirmando que el modo mixto y las reglas de firewall configuradas permiten el acceso esperado.</w:t>
      </w:r>
    </w:p>
    <w:p w14:paraId="1F338BCB" w14:textId="77777777" w:rsidR="00C44D81" w:rsidRDefault="0012184F" w:rsidP="0012184F">
      <w:pPr>
        <w:pStyle w:val="Prrafodelista"/>
        <w:numPr>
          <w:ilvl w:val="0"/>
          <w:numId w:val="56"/>
        </w:numPr>
        <w:spacing w:after="100" w:line="276" w:lineRule="auto"/>
      </w:pPr>
      <w:r>
        <w:rPr>
          <w:b/>
          <w:bCs/>
        </w:rPr>
        <w:t>Resultado:</w:t>
      </w:r>
      <w:r>
        <w:t xml:space="preserve"> la instancia responde correctamente en las cuatro validaciones, quedando operativa para el desarrollo de la Entrega 5 (generación de la base de datos y los objetos del esquema).</w:t>
      </w:r>
    </w:p>
    <w:p w14:paraId="1786BA79" w14:textId="77777777" w:rsidR="00C44D81" w:rsidRDefault="0012184F">
      <w:pPr>
        <w:pStyle w:val="Ttulo1"/>
        <w:pBdr>
          <w:bottom w:val="single" w:sz="6" w:space="4" w:color="2E5395"/>
        </w:pBdr>
      </w:pPr>
      <w:bookmarkStart w:id="13" w:name="__RefHeading___Toc328_2025764130"/>
      <w:bookmarkEnd w:id="13"/>
      <w:r>
        <w:t>10. Consideraciones adicionales</w:t>
      </w:r>
    </w:p>
    <w:p w14:paraId="26AC71A0" w14:textId="77777777" w:rsidR="00C44D81" w:rsidRDefault="0012184F" w:rsidP="0012184F">
      <w:pPr>
        <w:pStyle w:val="Prrafodelista"/>
        <w:numPr>
          <w:ilvl w:val="0"/>
          <w:numId w:val="57"/>
        </w:numPr>
        <w:spacing w:after="100" w:line="276" w:lineRule="auto"/>
      </w:pPr>
      <w:r>
        <w:t xml:space="preserve">Se aplican las actualizaciones acumulativas (Cumulative </w:t>
      </w:r>
      <w:proofErr w:type="spellStart"/>
      <w:r>
        <w:t>Updates</w:t>
      </w:r>
      <w:proofErr w:type="spellEnd"/>
      <w:r>
        <w:t>) disponibles para SQL Server 2022 al momento de la instalación, a fin de partir de una base con las correcciones de seguridad y estabilidad más recientes.</w:t>
      </w:r>
    </w:p>
    <w:p w14:paraId="408FCD68" w14:textId="77777777" w:rsidR="00C44D81" w:rsidRDefault="0012184F" w:rsidP="0012184F">
      <w:pPr>
        <w:pStyle w:val="Prrafodelista"/>
        <w:numPr>
          <w:ilvl w:val="0"/>
          <w:numId w:val="58"/>
        </w:numPr>
        <w:spacing w:after="100" w:line="276" w:lineRule="auto"/>
      </w:pPr>
      <w:r>
        <w:t xml:space="preserve">Dado el patrón de uso esperado (escritura intensiva durante los días de partido simulados, según se detalla en la Entrega 8), se prevé revisar en una etapa posterior la configuración de </w:t>
      </w:r>
      <w:proofErr w:type="spellStart"/>
      <w:r>
        <w:t>autogrowth</w:t>
      </w:r>
      <w:proofErr w:type="spellEnd"/>
      <w:r>
        <w:t xml:space="preserve"> de datos y log definida en este documento, una vez cargado el juego de datos completo exigido por los Criterios de Aceptación del enunciado.</w:t>
      </w:r>
    </w:p>
    <w:p w14:paraId="67C7F727" w14:textId="77777777" w:rsidR="00C44D81" w:rsidRDefault="0012184F" w:rsidP="0012184F">
      <w:pPr>
        <w:pStyle w:val="Prrafodelista"/>
        <w:numPr>
          <w:ilvl w:val="0"/>
          <w:numId w:val="59"/>
        </w:numPr>
        <w:spacing w:after="100" w:line="276" w:lineRule="auto"/>
      </w:pPr>
      <w:r>
        <w:lastRenderedPageBreak/>
        <w:t>Ante un eventual crecimiento por encima de la capacidad de la edición, la migración de Express a Standard se realiza como una actualización de edición sobre la misma instancia, sin necesidad de reinstalar el motor ni modificar el esquema de la base de datos.</w:t>
      </w:r>
    </w:p>
    <w:p w14:paraId="7D619457" w14:textId="77777777" w:rsidR="00C44D81" w:rsidRDefault="00C44D81">
      <w:pPr>
        <w:pBdr>
          <w:top w:val="single" w:sz="6" w:space="8" w:color="2E5395"/>
        </w:pBdr>
        <w:spacing w:before="500"/>
      </w:pPr>
    </w:p>
    <w:p w14:paraId="2384D381" w14:textId="77777777" w:rsidR="00C44D81" w:rsidRDefault="0012184F">
      <w:pPr>
        <w:spacing w:before="200"/>
      </w:pPr>
      <w:r>
        <w:rPr>
          <w:i/>
          <w:iCs/>
          <w:color w:val="595959"/>
          <w:sz w:val="20"/>
          <w:szCs w:val="20"/>
        </w:rPr>
        <w:t>Este documento se incluye en la carpeta “</w:t>
      </w:r>
      <w:proofErr w:type="spellStart"/>
      <w:r>
        <w:rPr>
          <w:i/>
          <w:iCs/>
          <w:color w:val="595959"/>
          <w:sz w:val="20"/>
          <w:szCs w:val="20"/>
        </w:rPr>
        <w:t>doc</w:t>
      </w:r>
      <w:proofErr w:type="spellEnd"/>
      <w:r>
        <w:rPr>
          <w:i/>
          <w:iCs/>
          <w:color w:val="595959"/>
          <w:sz w:val="20"/>
          <w:szCs w:val="20"/>
        </w:rPr>
        <w:t>” del repositorio GitHub del grupo, junto con la carátula correspondiente.</w:t>
      </w:r>
    </w:p>
    <w:p w14:paraId="39B2C61E" w14:textId="77777777" w:rsidR="00C44D81" w:rsidRDefault="0012184F">
      <w:pPr>
        <w:pStyle w:val="Ttulo1"/>
        <w:pBdr>
          <w:bottom w:val="single" w:sz="6" w:space="4" w:color="2E5395"/>
        </w:pBdr>
      </w:pPr>
      <w:bookmarkStart w:id="14" w:name="__RefHeading___Toc330_2025764130"/>
      <w:bookmarkEnd w:id="14"/>
      <w:r>
        <w:t>11. Referencias</w:t>
      </w:r>
    </w:p>
    <w:p w14:paraId="071A31F3" w14:textId="4CF9C43F" w:rsidR="00C44D81" w:rsidRPr="0063339E" w:rsidRDefault="0012184F">
      <w:pPr>
        <w:spacing w:after="200" w:line="360" w:lineRule="auto"/>
        <w:ind w:left="720" w:hanging="720"/>
        <w:rPr>
          <w:lang w:val="en-US"/>
        </w:rPr>
      </w:pPr>
      <w:r w:rsidRPr="0063339E">
        <w:rPr>
          <w:lang w:val="en-US"/>
        </w:rPr>
        <w:t xml:space="preserve">Microsoft. (s. f.). </w:t>
      </w:r>
      <w:r w:rsidRPr="0063339E">
        <w:rPr>
          <w:i/>
          <w:lang w:val="en-US"/>
        </w:rPr>
        <w:t>Editions and supported features of SQL Server 2022.</w:t>
      </w:r>
      <w:r w:rsidRPr="0063339E">
        <w:rPr>
          <w:lang w:val="en-US"/>
        </w:rPr>
        <w:t xml:space="preserve"> Microsoft Learn. </w:t>
      </w:r>
      <w:r w:rsidRPr="0063339E">
        <w:rPr>
          <w:lang w:val="en-US"/>
        </w:rPr>
        <w:t>https://learn.microsoft.com/sql/sql-server/editions-and-components-of-sql-server-2022</w:t>
      </w:r>
    </w:p>
    <w:p w14:paraId="12FADDF2" w14:textId="34331815" w:rsidR="00C44D81" w:rsidRDefault="0012184F">
      <w:pPr>
        <w:spacing w:after="200" w:line="360" w:lineRule="auto"/>
        <w:ind w:left="720" w:hanging="720"/>
      </w:pPr>
      <w:r w:rsidRPr="0063339E">
        <w:rPr>
          <w:lang w:val="en-US"/>
        </w:rPr>
        <w:t xml:space="preserve">Microsoft. (s. f.). </w:t>
      </w:r>
      <w:r w:rsidRPr="0063339E">
        <w:rPr>
          <w:i/>
          <w:lang w:val="en-US"/>
        </w:rPr>
        <w:t>Windows collation name (Transact-SQL).</w:t>
      </w:r>
      <w:r w:rsidRPr="0063339E">
        <w:rPr>
          <w:lang w:val="en-US"/>
        </w:rPr>
        <w:t xml:space="preserve"> </w:t>
      </w:r>
      <w:r>
        <w:t xml:space="preserve">Microsoft Learn. </w:t>
      </w:r>
      <w:r w:rsidR="0063339E">
        <w:br/>
      </w:r>
      <w:r>
        <w:t>https://learn.microsoft.com/en-us/sql/t-sql/statements/windows-collation-name-transact-sql</w:t>
      </w:r>
    </w:p>
    <w:p w14:paraId="3D2135E6" w14:textId="272FACFB" w:rsidR="00C44D81" w:rsidRPr="0063339E" w:rsidRDefault="0012184F">
      <w:pPr>
        <w:spacing w:after="200" w:line="360" w:lineRule="auto"/>
        <w:ind w:left="720" w:hanging="720"/>
        <w:rPr>
          <w:lang w:val="en-US"/>
        </w:rPr>
      </w:pPr>
      <w:r w:rsidRPr="0063339E">
        <w:rPr>
          <w:lang w:val="en-US"/>
        </w:rPr>
        <w:t xml:space="preserve">Microsoft. (s. f.). </w:t>
      </w:r>
      <w:r w:rsidRPr="0063339E">
        <w:rPr>
          <w:i/>
          <w:lang w:val="en-US"/>
        </w:rPr>
        <w:t>Collation and Unicode support.</w:t>
      </w:r>
      <w:r w:rsidRPr="0063339E">
        <w:rPr>
          <w:lang w:val="en-US"/>
        </w:rPr>
        <w:t xml:space="preserve"> Microsoft Learn. </w:t>
      </w:r>
      <w:r w:rsidRPr="0063339E">
        <w:rPr>
          <w:lang w:val="en-US"/>
        </w:rPr>
        <w:t>https://learn.microsoft.com/sql/relational-databases/collations/collation-and-unicode-support</w:t>
      </w:r>
    </w:p>
    <w:p w14:paraId="3E1DA01B" w14:textId="40C54966" w:rsidR="00C44D81" w:rsidRDefault="0012184F">
      <w:pPr>
        <w:spacing w:after="200" w:line="360" w:lineRule="auto"/>
        <w:ind w:left="720" w:hanging="720"/>
      </w:pPr>
      <w:r w:rsidRPr="0063339E">
        <w:rPr>
          <w:lang w:val="en-US"/>
        </w:rPr>
        <w:t xml:space="preserve">Microsoft. (s. f.). </w:t>
      </w:r>
      <w:r w:rsidRPr="0063339E">
        <w:rPr>
          <w:i/>
          <w:lang w:val="en-US"/>
        </w:rPr>
        <w:t>SQL Server Browser service.</w:t>
      </w:r>
      <w:r w:rsidRPr="0063339E">
        <w:rPr>
          <w:lang w:val="en-US"/>
        </w:rPr>
        <w:t xml:space="preserve"> </w:t>
      </w:r>
      <w:r>
        <w:t xml:space="preserve">Microsoft Learn. </w:t>
      </w:r>
      <w:r w:rsidR="0063339E">
        <w:br/>
      </w:r>
      <w:r>
        <w:t>https://learn.microsoft.com/en-us/sql/tools/configuration-manager/sql-server-browser-service</w:t>
      </w:r>
    </w:p>
    <w:p w14:paraId="119406B3" w14:textId="69D8AD8A" w:rsidR="00C44D81" w:rsidRPr="0063339E" w:rsidRDefault="0012184F">
      <w:pPr>
        <w:spacing w:after="200" w:line="360" w:lineRule="auto"/>
        <w:ind w:left="720" w:hanging="720"/>
        <w:rPr>
          <w:lang w:val="en-US"/>
        </w:rPr>
      </w:pPr>
      <w:r w:rsidRPr="0063339E">
        <w:rPr>
          <w:lang w:val="en-US"/>
        </w:rPr>
        <w:t xml:space="preserve">Microsoft. (s. f.). </w:t>
      </w:r>
      <w:r w:rsidRPr="0063339E">
        <w:rPr>
          <w:i/>
          <w:lang w:val="en-US"/>
        </w:rPr>
        <w:t>Choose an authentication mode.</w:t>
      </w:r>
      <w:r w:rsidRPr="0063339E">
        <w:rPr>
          <w:lang w:val="en-US"/>
        </w:rPr>
        <w:t xml:space="preserve"> Microsoft Learn. </w:t>
      </w:r>
      <w:r w:rsidRPr="0063339E">
        <w:rPr>
          <w:lang w:val="en-US"/>
        </w:rPr>
        <w:t>https://learn.microsoft.com/sql/relational-databases/security/choose-an-authentication-mode</w:t>
      </w:r>
    </w:p>
    <w:p w14:paraId="76D1C12A" w14:textId="49249973" w:rsidR="00C44D81" w:rsidRPr="0063339E" w:rsidRDefault="0012184F">
      <w:pPr>
        <w:spacing w:after="200" w:line="360" w:lineRule="auto"/>
        <w:ind w:left="720" w:hanging="720"/>
        <w:rPr>
          <w:lang w:val="en-US"/>
        </w:rPr>
      </w:pPr>
      <w:r w:rsidRPr="0063339E">
        <w:rPr>
          <w:lang w:val="en-US"/>
        </w:rPr>
        <w:t xml:space="preserve">Microsoft. (s. f.). </w:t>
      </w:r>
      <w:r w:rsidRPr="0063339E">
        <w:rPr>
          <w:i/>
          <w:lang w:val="en-US"/>
        </w:rPr>
        <w:t>Configure Windows service accounts and permissions.</w:t>
      </w:r>
      <w:r w:rsidRPr="0063339E">
        <w:rPr>
          <w:lang w:val="en-US"/>
        </w:rPr>
        <w:t xml:space="preserve"> Microsoft Learn. </w:t>
      </w:r>
      <w:r w:rsidRPr="0063339E">
        <w:rPr>
          <w:lang w:val="en-US"/>
        </w:rPr>
        <w:t>https://learn.microsoft.com/en-us/previous-versions/sql/sql-server-2012/ms143504(v=sql.110)</w:t>
      </w:r>
    </w:p>
    <w:p w14:paraId="67EC54AD" w14:textId="7CFA70B0" w:rsidR="00C44D81" w:rsidRPr="0063339E" w:rsidRDefault="0012184F">
      <w:pPr>
        <w:spacing w:after="200" w:line="360" w:lineRule="auto"/>
        <w:ind w:left="720" w:hanging="720"/>
        <w:rPr>
          <w:lang w:val="en-US"/>
        </w:rPr>
      </w:pPr>
      <w:r w:rsidRPr="0063339E">
        <w:rPr>
          <w:lang w:val="en-US"/>
        </w:rPr>
        <w:t xml:space="preserve">Microsoft. (s. f.). </w:t>
      </w:r>
      <w:r w:rsidRPr="0063339E">
        <w:rPr>
          <w:i/>
          <w:lang w:val="en-US"/>
        </w:rPr>
        <w:t>Check file size and growth for SQL Server 2000.</w:t>
      </w:r>
      <w:r w:rsidRPr="0063339E">
        <w:rPr>
          <w:lang w:val="en-US"/>
        </w:rPr>
        <w:t xml:space="preserve"> Microsoft Learn. </w:t>
      </w:r>
      <w:r w:rsidRPr="0063339E">
        <w:rPr>
          <w:lang w:val="en-US"/>
        </w:rPr>
        <w:t>https://learn.microsoft.com/en-us/previous-versions/sql/sql-server-2008/cc645608(v=sql.100)</w:t>
      </w:r>
    </w:p>
    <w:p w14:paraId="70796AC1" w14:textId="06E2BC8A" w:rsidR="00C44D81" w:rsidRDefault="0012184F">
      <w:pPr>
        <w:spacing w:after="200" w:line="360" w:lineRule="auto"/>
        <w:ind w:left="720" w:hanging="720"/>
      </w:pPr>
      <w:r w:rsidRPr="0063339E">
        <w:rPr>
          <w:lang w:val="en-US"/>
        </w:rPr>
        <w:t xml:space="preserve">Microsoft. (s. f.). </w:t>
      </w:r>
      <w:r w:rsidRPr="0063339E">
        <w:rPr>
          <w:i/>
          <w:lang w:val="en-US"/>
        </w:rPr>
        <w:t xml:space="preserve">Optimizing </w:t>
      </w:r>
      <w:proofErr w:type="spellStart"/>
      <w:r w:rsidRPr="0063339E">
        <w:rPr>
          <w:i/>
          <w:lang w:val="en-US"/>
        </w:rPr>
        <w:t>tempdb</w:t>
      </w:r>
      <w:proofErr w:type="spellEnd"/>
      <w:r w:rsidRPr="0063339E">
        <w:rPr>
          <w:i/>
          <w:lang w:val="en-US"/>
        </w:rPr>
        <w:t xml:space="preserve"> performance.</w:t>
      </w:r>
      <w:r w:rsidRPr="0063339E">
        <w:rPr>
          <w:lang w:val="en-US"/>
        </w:rPr>
        <w:t xml:space="preserve"> </w:t>
      </w:r>
      <w:r>
        <w:t xml:space="preserve">Microsoft Learn. </w:t>
      </w:r>
      <w:r w:rsidR="0063339E">
        <w:br/>
      </w:r>
      <w:r>
        <w:t>https://learn.microsoft.com/en-us/previous-versions/sql/sql-server-2005/ms175527(v=sql.90)</w:t>
      </w:r>
    </w:p>
    <w:p w14:paraId="7D015C41" w14:textId="74AABCBE" w:rsidR="00C44D81" w:rsidRPr="0063339E" w:rsidRDefault="0012184F">
      <w:pPr>
        <w:spacing w:after="200" w:line="360" w:lineRule="auto"/>
        <w:ind w:left="720" w:hanging="720"/>
        <w:rPr>
          <w:lang w:val="en-US"/>
        </w:rPr>
      </w:pPr>
      <w:r w:rsidRPr="0063339E">
        <w:rPr>
          <w:lang w:val="en-US"/>
        </w:rPr>
        <w:t xml:space="preserve">Microsoft. (s. f.). </w:t>
      </w:r>
      <w:r w:rsidRPr="0063339E">
        <w:rPr>
          <w:i/>
          <w:lang w:val="en-US"/>
        </w:rPr>
        <w:t>Server memory server configuration options.</w:t>
      </w:r>
      <w:r w:rsidRPr="0063339E">
        <w:rPr>
          <w:lang w:val="en-US"/>
        </w:rPr>
        <w:t xml:space="preserve"> Microsoft Learn. </w:t>
      </w:r>
      <w:r w:rsidRPr="0063339E">
        <w:rPr>
          <w:lang w:val="en-US"/>
        </w:rPr>
        <w:t>https://learn.microsoft.com/sql/database-engine/configure-windows/server-memory-server-configuration-options</w:t>
      </w:r>
    </w:p>
    <w:p w14:paraId="383D2A6A" w14:textId="485203BC" w:rsidR="00C44D81" w:rsidRPr="0063339E" w:rsidRDefault="0012184F">
      <w:pPr>
        <w:spacing w:after="200" w:line="360" w:lineRule="auto"/>
        <w:ind w:left="720" w:hanging="720"/>
        <w:rPr>
          <w:lang w:val="en-US"/>
        </w:rPr>
      </w:pPr>
      <w:r w:rsidRPr="0063339E">
        <w:rPr>
          <w:lang w:val="en-US"/>
        </w:rPr>
        <w:t xml:space="preserve">Microsoft. (s. f.). </w:t>
      </w:r>
      <w:r w:rsidRPr="0063339E">
        <w:rPr>
          <w:i/>
          <w:lang w:val="en-US"/>
        </w:rPr>
        <w:t>Configure the cost threshold for parallelism server configuration option.</w:t>
      </w:r>
      <w:r w:rsidRPr="0063339E">
        <w:rPr>
          <w:lang w:val="en-US"/>
        </w:rPr>
        <w:t xml:space="preserve"> Microsoft Learn. </w:t>
      </w:r>
      <w:r w:rsidRPr="0063339E">
        <w:rPr>
          <w:lang w:val="en-US"/>
        </w:rPr>
        <w:t>https://learn.microsoft.com/en-us/sql/database-engine/configure-windows/configure-the-cost-threshold-for-parallelism-server-configuration-option</w:t>
      </w:r>
    </w:p>
    <w:sectPr w:rsidR="00C44D81" w:rsidRPr="0063339E">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67E64" w14:textId="77777777" w:rsidR="0012184F" w:rsidRDefault="0012184F">
      <w:r>
        <w:separator/>
      </w:r>
    </w:p>
  </w:endnote>
  <w:endnote w:type="continuationSeparator" w:id="0">
    <w:p w14:paraId="08D54863" w14:textId="77777777" w:rsidR="0012184F" w:rsidRDefault="00121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Aptos Serif">
    <w:charset w:val="00"/>
    <w:family w:val="roman"/>
    <w:pitch w:val="variable"/>
    <w:sig w:usb0="A11526FF" w:usb1="C000ECFB" w:usb2="0001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A07A" w14:textId="77777777" w:rsidR="00C44D81" w:rsidRDefault="00C44D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C44D81" w14:paraId="32764326" w14:textId="77777777">
      <w:trPr>
        <w:trHeight w:val="300"/>
      </w:trPr>
      <w:tc>
        <w:tcPr>
          <w:tcW w:w="3210" w:type="dxa"/>
        </w:tcPr>
        <w:p w14:paraId="6EDBE30F" w14:textId="77777777" w:rsidR="00C44D81" w:rsidRDefault="00C44D81">
          <w:pPr>
            <w:pStyle w:val="Encabezado"/>
            <w:ind w:left="-115"/>
          </w:pPr>
        </w:p>
      </w:tc>
      <w:tc>
        <w:tcPr>
          <w:tcW w:w="3210" w:type="dxa"/>
        </w:tcPr>
        <w:p w14:paraId="04A29DB4" w14:textId="77777777" w:rsidR="00C44D81" w:rsidRDefault="00C44D81">
          <w:pPr>
            <w:pStyle w:val="Encabezado"/>
            <w:jc w:val="center"/>
          </w:pPr>
        </w:p>
      </w:tc>
      <w:tc>
        <w:tcPr>
          <w:tcW w:w="3210" w:type="dxa"/>
        </w:tcPr>
        <w:p w14:paraId="6D88C18D" w14:textId="77777777" w:rsidR="00C44D81" w:rsidRDefault="00C44D81">
          <w:pPr>
            <w:pStyle w:val="Encabezado"/>
            <w:ind w:right="-115"/>
            <w:jc w:val="right"/>
          </w:pPr>
        </w:p>
      </w:tc>
    </w:tr>
  </w:tbl>
  <w:p w14:paraId="7DFAC545" w14:textId="77777777" w:rsidR="00C44D81" w:rsidRDefault="00C44D8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C44D81" w14:paraId="28226AED" w14:textId="77777777">
      <w:trPr>
        <w:trHeight w:val="300"/>
      </w:trPr>
      <w:tc>
        <w:tcPr>
          <w:tcW w:w="3210" w:type="dxa"/>
        </w:tcPr>
        <w:p w14:paraId="5396D47E" w14:textId="77777777" w:rsidR="00C44D81" w:rsidRDefault="00C44D81">
          <w:pPr>
            <w:pStyle w:val="Encabezado"/>
            <w:ind w:left="-115"/>
          </w:pPr>
        </w:p>
      </w:tc>
      <w:tc>
        <w:tcPr>
          <w:tcW w:w="3210" w:type="dxa"/>
        </w:tcPr>
        <w:p w14:paraId="5C62BC8B" w14:textId="77777777" w:rsidR="00C44D81" w:rsidRDefault="00C44D81">
          <w:pPr>
            <w:pStyle w:val="Encabezado"/>
            <w:jc w:val="center"/>
          </w:pPr>
        </w:p>
      </w:tc>
      <w:tc>
        <w:tcPr>
          <w:tcW w:w="3210" w:type="dxa"/>
        </w:tcPr>
        <w:p w14:paraId="52E7F803" w14:textId="77777777" w:rsidR="00C44D81" w:rsidRDefault="00C44D81">
          <w:pPr>
            <w:pStyle w:val="Encabezado"/>
            <w:ind w:right="-115"/>
            <w:jc w:val="right"/>
          </w:pPr>
        </w:p>
      </w:tc>
    </w:tr>
  </w:tbl>
  <w:p w14:paraId="4B6CC5C9" w14:textId="77777777" w:rsidR="00C44D81" w:rsidRDefault="00C44D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97807" w14:textId="77777777" w:rsidR="0012184F" w:rsidRDefault="0012184F">
      <w:r>
        <w:separator/>
      </w:r>
    </w:p>
  </w:footnote>
  <w:footnote w:type="continuationSeparator" w:id="0">
    <w:p w14:paraId="086E4A62" w14:textId="77777777" w:rsidR="0012184F" w:rsidRDefault="001218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6916" w14:textId="77777777" w:rsidR="00C44D81" w:rsidRDefault="00C44D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1785"/>
      <w:gridCol w:w="6102"/>
      <w:gridCol w:w="1743"/>
    </w:tblGrid>
    <w:tr w:rsidR="00C44D81" w14:paraId="44AA2095" w14:textId="77777777">
      <w:trPr>
        <w:trHeight w:val="300"/>
      </w:trPr>
      <w:tc>
        <w:tcPr>
          <w:tcW w:w="1785" w:type="dxa"/>
        </w:tcPr>
        <w:p w14:paraId="439F048E" w14:textId="77777777" w:rsidR="00C44D81" w:rsidRDefault="00C44D81">
          <w:pPr>
            <w:pStyle w:val="Encabezado"/>
            <w:ind w:left="-115"/>
          </w:pPr>
        </w:p>
      </w:tc>
      <w:tc>
        <w:tcPr>
          <w:tcW w:w="6102" w:type="dxa"/>
        </w:tcPr>
        <w:p w14:paraId="467E9AD2" w14:textId="77777777" w:rsidR="00C44D81" w:rsidRDefault="0012184F">
          <w:pPr>
            <w:pStyle w:val="Encabezado"/>
            <w:jc w:val="center"/>
          </w:pPr>
          <w:r>
            <w:t>Universidad Nacional de La Matanza – Bases de Datos Aplicada (3641)</w:t>
          </w:r>
        </w:p>
      </w:tc>
      <w:tc>
        <w:tcPr>
          <w:tcW w:w="1743" w:type="dxa"/>
        </w:tcPr>
        <w:p w14:paraId="02063EF6" w14:textId="77777777" w:rsidR="00C44D81" w:rsidRDefault="00C44D81">
          <w:pPr>
            <w:pStyle w:val="Encabezado"/>
            <w:ind w:right="-115"/>
            <w:jc w:val="right"/>
          </w:pPr>
        </w:p>
      </w:tc>
    </w:tr>
  </w:tbl>
  <w:p w14:paraId="4DB0DD54" w14:textId="77777777" w:rsidR="00C44D81" w:rsidRDefault="00C44D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1785"/>
      <w:gridCol w:w="6102"/>
      <w:gridCol w:w="1743"/>
    </w:tblGrid>
    <w:tr w:rsidR="00C44D81" w14:paraId="583EE094" w14:textId="77777777">
      <w:trPr>
        <w:trHeight w:val="300"/>
      </w:trPr>
      <w:tc>
        <w:tcPr>
          <w:tcW w:w="1785" w:type="dxa"/>
        </w:tcPr>
        <w:p w14:paraId="6F6D2C6F" w14:textId="77777777" w:rsidR="00C44D81" w:rsidRDefault="00C44D81">
          <w:pPr>
            <w:pStyle w:val="Encabezado"/>
            <w:ind w:left="-115"/>
          </w:pPr>
        </w:p>
      </w:tc>
      <w:tc>
        <w:tcPr>
          <w:tcW w:w="6102" w:type="dxa"/>
        </w:tcPr>
        <w:p w14:paraId="4A4E8114" w14:textId="77777777" w:rsidR="00C44D81" w:rsidRDefault="0012184F">
          <w:pPr>
            <w:pStyle w:val="Encabezado"/>
            <w:jc w:val="center"/>
          </w:pPr>
          <w:r>
            <w:t>Universidad Nacional de La Matanza – Bases de Datos Aplicada (3641)</w:t>
          </w:r>
        </w:p>
      </w:tc>
      <w:tc>
        <w:tcPr>
          <w:tcW w:w="1743" w:type="dxa"/>
        </w:tcPr>
        <w:p w14:paraId="40BAC5B1" w14:textId="77777777" w:rsidR="00C44D81" w:rsidRDefault="00C44D81">
          <w:pPr>
            <w:pStyle w:val="Encabezado"/>
            <w:ind w:right="-115"/>
            <w:jc w:val="right"/>
          </w:pPr>
        </w:p>
      </w:tc>
    </w:tr>
  </w:tbl>
  <w:p w14:paraId="7F3A8054" w14:textId="77777777" w:rsidR="00C44D81" w:rsidRDefault="00C44D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D12"/>
    <w:multiLevelType w:val="multilevel"/>
    <w:tmpl w:val="441421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475219D"/>
    <w:multiLevelType w:val="multilevel"/>
    <w:tmpl w:val="576674B8"/>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820" w:hanging="2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646277367">
    <w:abstractNumId w:val="0"/>
  </w:num>
  <w:num w:numId="2" w16cid:durableId="948202318">
    <w:abstractNumId w:val="1"/>
    <w:lvlOverride w:ilvl="0">
      <w:startOverride w:val="1"/>
    </w:lvlOverride>
  </w:num>
  <w:num w:numId="3" w16cid:durableId="483159094">
    <w:abstractNumId w:val="1"/>
  </w:num>
  <w:num w:numId="4" w16cid:durableId="1218936700">
    <w:abstractNumId w:val="1"/>
  </w:num>
  <w:num w:numId="5" w16cid:durableId="265961841">
    <w:abstractNumId w:val="1"/>
  </w:num>
  <w:num w:numId="6" w16cid:durableId="149297287">
    <w:abstractNumId w:val="1"/>
  </w:num>
  <w:num w:numId="7" w16cid:durableId="179439983">
    <w:abstractNumId w:val="1"/>
  </w:num>
  <w:num w:numId="8" w16cid:durableId="1397970603">
    <w:abstractNumId w:val="1"/>
  </w:num>
  <w:num w:numId="9" w16cid:durableId="1645891929">
    <w:abstractNumId w:val="1"/>
  </w:num>
  <w:num w:numId="10" w16cid:durableId="525751252">
    <w:abstractNumId w:val="1"/>
  </w:num>
  <w:num w:numId="11" w16cid:durableId="1792088876">
    <w:abstractNumId w:val="1"/>
  </w:num>
  <w:num w:numId="12" w16cid:durableId="867840125">
    <w:abstractNumId w:val="1"/>
  </w:num>
  <w:num w:numId="13" w16cid:durableId="1173569059">
    <w:abstractNumId w:val="1"/>
  </w:num>
  <w:num w:numId="14" w16cid:durableId="1193030166">
    <w:abstractNumId w:val="1"/>
  </w:num>
  <w:num w:numId="15" w16cid:durableId="1321929392">
    <w:abstractNumId w:val="1"/>
  </w:num>
  <w:num w:numId="16" w16cid:durableId="1867593604">
    <w:abstractNumId w:val="1"/>
  </w:num>
  <w:num w:numId="17" w16cid:durableId="747266813">
    <w:abstractNumId w:val="1"/>
  </w:num>
  <w:num w:numId="18" w16cid:durableId="654722202">
    <w:abstractNumId w:val="1"/>
  </w:num>
  <w:num w:numId="19" w16cid:durableId="1887330337">
    <w:abstractNumId w:val="1"/>
  </w:num>
  <w:num w:numId="20" w16cid:durableId="699089605">
    <w:abstractNumId w:val="1"/>
  </w:num>
  <w:num w:numId="21" w16cid:durableId="624234867">
    <w:abstractNumId w:val="1"/>
  </w:num>
  <w:num w:numId="22" w16cid:durableId="1166549911">
    <w:abstractNumId w:val="1"/>
  </w:num>
  <w:num w:numId="23" w16cid:durableId="1850024113">
    <w:abstractNumId w:val="1"/>
  </w:num>
  <w:num w:numId="24" w16cid:durableId="544491988">
    <w:abstractNumId w:val="1"/>
  </w:num>
  <w:num w:numId="25" w16cid:durableId="1116365091">
    <w:abstractNumId w:val="1"/>
  </w:num>
  <w:num w:numId="26" w16cid:durableId="1722023951">
    <w:abstractNumId w:val="1"/>
  </w:num>
  <w:num w:numId="27" w16cid:durableId="1172601156">
    <w:abstractNumId w:val="1"/>
  </w:num>
  <w:num w:numId="28" w16cid:durableId="1185366370">
    <w:abstractNumId w:val="1"/>
  </w:num>
  <w:num w:numId="29" w16cid:durableId="1810903470">
    <w:abstractNumId w:val="1"/>
  </w:num>
  <w:num w:numId="30" w16cid:durableId="14889413">
    <w:abstractNumId w:val="1"/>
  </w:num>
  <w:num w:numId="31" w16cid:durableId="1210268337">
    <w:abstractNumId w:val="1"/>
  </w:num>
  <w:num w:numId="32" w16cid:durableId="1785226741">
    <w:abstractNumId w:val="1"/>
  </w:num>
  <w:num w:numId="33" w16cid:durableId="179904356">
    <w:abstractNumId w:val="1"/>
  </w:num>
  <w:num w:numId="34" w16cid:durableId="673217775">
    <w:abstractNumId w:val="1"/>
  </w:num>
  <w:num w:numId="35" w16cid:durableId="423962098">
    <w:abstractNumId w:val="1"/>
  </w:num>
  <w:num w:numId="36" w16cid:durableId="1287349877">
    <w:abstractNumId w:val="1"/>
  </w:num>
  <w:num w:numId="37" w16cid:durableId="1930656448">
    <w:abstractNumId w:val="1"/>
  </w:num>
  <w:num w:numId="38" w16cid:durableId="1829785644">
    <w:abstractNumId w:val="1"/>
  </w:num>
  <w:num w:numId="39" w16cid:durableId="1337078962">
    <w:abstractNumId w:val="1"/>
  </w:num>
  <w:num w:numId="40" w16cid:durableId="1235625068">
    <w:abstractNumId w:val="1"/>
  </w:num>
  <w:num w:numId="41" w16cid:durableId="952976019">
    <w:abstractNumId w:val="1"/>
  </w:num>
  <w:num w:numId="42" w16cid:durableId="1047872989">
    <w:abstractNumId w:val="1"/>
  </w:num>
  <w:num w:numId="43" w16cid:durableId="1679576742">
    <w:abstractNumId w:val="1"/>
  </w:num>
  <w:num w:numId="44" w16cid:durableId="1405104821">
    <w:abstractNumId w:val="1"/>
  </w:num>
  <w:num w:numId="45" w16cid:durableId="924463011">
    <w:abstractNumId w:val="1"/>
  </w:num>
  <w:num w:numId="46" w16cid:durableId="137496015">
    <w:abstractNumId w:val="1"/>
  </w:num>
  <w:num w:numId="47" w16cid:durableId="1437753553">
    <w:abstractNumId w:val="1"/>
  </w:num>
  <w:num w:numId="48" w16cid:durableId="2061785454">
    <w:abstractNumId w:val="1"/>
  </w:num>
  <w:num w:numId="49" w16cid:durableId="59641521">
    <w:abstractNumId w:val="1"/>
  </w:num>
  <w:num w:numId="50" w16cid:durableId="2076583764">
    <w:abstractNumId w:val="1"/>
  </w:num>
  <w:num w:numId="51" w16cid:durableId="1209604210">
    <w:abstractNumId w:val="1"/>
  </w:num>
  <w:num w:numId="52" w16cid:durableId="176384626">
    <w:abstractNumId w:val="1"/>
  </w:num>
  <w:num w:numId="53" w16cid:durableId="256407457">
    <w:abstractNumId w:val="1"/>
  </w:num>
  <w:num w:numId="54" w16cid:durableId="156388915">
    <w:abstractNumId w:val="1"/>
  </w:num>
  <w:num w:numId="55" w16cid:durableId="2124376547">
    <w:abstractNumId w:val="1"/>
  </w:num>
  <w:num w:numId="56" w16cid:durableId="54359284">
    <w:abstractNumId w:val="1"/>
  </w:num>
  <w:num w:numId="57" w16cid:durableId="54158827">
    <w:abstractNumId w:val="1"/>
  </w:num>
  <w:num w:numId="58" w16cid:durableId="153835612">
    <w:abstractNumId w:val="1"/>
  </w:num>
  <w:num w:numId="59" w16cid:durableId="648247520">
    <w:abstractNumId w:val="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D81"/>
    <w:rsid w:val="0012184F"/>
    <w:rsid w:val="005D3639"/>
    <w:rsid w:val="0063339E"/>
    <w:rsid w:val="0079781A"/>
    <w:rsid w:val="00C44D81"/>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DF0DA"/>
  <w15:docId w15:val="{3DF40728-7920-48D4-B6B8-9952E31A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rFonts w:ascii="Georgia" w:eastAsia="Georgia" w:hAnsi="Georgia" w:cs="Georgia"/>
      <w:b/>
      <w:bCs/>
      <w:color w:val="1F3864"/>
      <w:sz w:val="30"/>
      <w:szCs w:val="30"/>
    </w:rPr>
  </w:style>
  <w:style w:type="paragraph" w:styleId="Ttulo2">
    <w:name w:val="heading 2"/>
    <w:uiPriority w:val="9"/>
    <w:unhideWhenUsed/>
    <w:qFormat/>
    <w:pPr>
      <w:spacing w:before="240" w:after="120"/>
      <w:outlineLvl w:val="1"/>
    </w:pPr>
    <w:rPr>
      <w:rFonts w:ascii="Georgia" w:eastAsia="Georgia" w:hAnsi="Georgia" w:cs="Georgia"/>
      <w:b/>
      <w:bCs/>
      <w:color w:val="2E539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customStyle="1" w:styleId="HeaderandFooter">
    <w:name w:val="Header and Footer"/>
    <w:basedOn w:val="Normal"/>
    <w:qFormat/>
  </w:style>
  <w:style w:type="paragraph" w:styleId="Encabezado">
    <w:name w:val="header"/>
    <w:basedOn w:val="Normal"/>
    <w:uiPriority w:val="99"/>
    <w:unhideWhenUsed/>
    <w:rsid w:val="01785054"/>
    <w:pPr>
      <w:tabs>
        <w:tab w:val="center" w:pos="4680"/>
        <w:tab w:val="right" w:pos="9360"/>
      </w:tabs>
    </w:pPr>
  </w:style>
  <w:style w:type="paragraph" w:styleId="Piedepgina">
    <w:name w:val="footer"/>
    <w:basedOn w:val="Normal"/>
    <w:uiPriority w:val="99"/>
    <w:unhideWhenUsed/>
    <w:rsid w:val="01785054"/>
    <w:pPr>
      <w:tabs>
        <w:tab w:val="center" w:pos="4680"/>
        <w:tab w:val="right" w:pos="9360"/>
      </w:tabs>
    </w:pPr>
  </w:style>
  <w:style w:type="paragraph" w:styleId="TDC1">
    <w:name w:val="toc 1"/>
    <w:basedOn w:val="Index"/>
    <w:pPr>
      <w:tabs>
        <w:tab w:val="right" w:leader="dot" w:pos="9638"/>
      </w:tabs>
    </w:pPr>
  </w:style>
  <w:style w:type="paragraph" w:styleId="TDC2">
    <w:name w:val="toc 2"/>
    <w:basedOn w:val="Index"/>
    <w:pPr>
      <w:tabs>
        <w:tab w:val="right" w:leader="dot" w:pos="9355"/>
      </w:tabs>
      <w:ind w:left="283"/>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2613</Words>
  <Characters>14377</Characters>
  <Application>Microsoft Office Word</Application>
  <DocSecurity>0</DocSecurity>
  <Lines>119</Lines>
  <Paragraphs>33</Paragraphs>
  <ScaleCrop>false</ScaleCrop>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SOSA JESUS SANTIAGO</cp:lastModifiedBy>
  <cp:revision>2</cp:revision>
  <dcterms:created xsi:type="dcterms:W3CDTF">2026-10-02T00:33:00Z</dcterms:created>
  <dcterms:modified xsi:type="dcterms:W3CDTF">2026-10-02T00:33:00Z</dcterms:modified>
  <dc:language>en-US</dc:language>
</cp:coreProperties>
</file>