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sz w:val="24"/>
        </w:rPr>
        <w:t xml:space="preserve">   7.6. Reliability and Failure Modes Analysis</w:t>
        <w:tab/>
        <w:t>10</w:t>
      </w:r>
    </w:p>
    <w:p>
      <w:pPr>
        <w:tabs>
          <w:tab w:pos="7920" w:val="left"/>
        </w:tabs>
      </w:pPr>
      <w:r>
        <w:rPr>
          <w:rFonts w:ascii="Times New Roman" w:hAnsi="Times New Roman"/>
          <w:b/>
          <w:sz w:val="24"/>
        </w:rPr>
        <w:t>8. Conclusions &amp; Future Work</w:t>
        <w:tab/>
        <w:t>10</w:t>
      </w:r>
    </w:p>
    <w:p>
      <w:pPr>
        <w:tabs>
          <w:tab w:pos="7920" w:val="left"/>
        </w:tabs>
      </w:pPr>
      <w:r>
        <w:rPr>
          <w:rFonts w:ascii="Times New Roman" w:hAnsi="Times New Roman"/>
          <w:b/>
          <w:sz w:val="24"/>
        </w:rPr>
        <w:t>9. References</w:t>
        <w:tab/>
        <w:t>11</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(Raspberry Pi Pico/MicroPython), validating the hardware control logic in a virtual circuit environment. The 3D structural model is designed in Autodesk Fusion 360 to the 3U CubeSat standard (100 x 100 x 340.5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3U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 (a simplified uniform SAA interval is assumed for the mathematical model).</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(24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3U CubeSat standard (CDS Rev. 14, Cal Poly SLO) with external dimensions of 100 x 100 x 340.5 mm and a maximum mass of 4.0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(3U)</w:t>
            </w:r>
          </w:p>
        </w:tc>
        <w:tc>
          <w:tcPr>
            <w:tcW w:type="dxa" w:w="2835"/>
          </w:tcPr>
          <w:p>
            <w:pPr>
              <w:jc w:val="center"/>
            </w:pPr>
            <w:r>
              <w:rPr>
                <w:rFonts w:ascii="Times New Roman" w:hAnsi="Times New Roman"/>
                <w:b w:val="0"/>
                <w:sz w:val="24"/>
              </w:rPr>
              <w:t>250</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372 g</w:t>
            </w:r>
          </w:p>
        </w:tc>
        <w:tc>
          <w:tcPr>
            <w:tcW w:type="dxa" w:w="2835"/>
          </w:tcPr>
          <w:p>
            <w:pPr>
              <w:jc w:val="center"/>
            </w:pPr>
            <w:r>
              <w:rPr>
                <w:rFonts w:ascii="Times New Roman" w:hAnsi="Times New Roman"/>
                <w:b w:val="0"/>
                <w:sz w:val="24"/>
              </w:rPr>
              <w:t>Well within 4.0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(Avg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(Avg mW)</w:t>
            </w:r>
          </w:p>
        </w:tc>
      </w:tr>
      <w:tr>
        <w:tc>
          <w:tcPr>
            <w:tcW w:type="dxa" w:w="2126"/>
          </w:tcPr>
          <w:p>
            <w:pPr>
              <w:jc w:val="left"/>
            </w:pPr>
            <w:r>
              <w:rPr>
                <w:rFonts w:ascii="Times New Roman" w:hAnsi="Times New Roman"/>
                <w:b w:val="0"/>
                <w:sz w:val="24"/>
              </w:rPr>
              <w:t>Raspberry Pi Zero W × 2 (Low-power mode)</w:t>
            </w:r>
          </w:p>
        </w:tc>
        <w:tc>
          <w:tcPr>
            <w:tcW w:type="dxa" w:w="2126"/>
          </w:tcPr>
          <w:p>
            <w:pPr>
              <w:jc w:val="center"/>
            </w:pPr>
            <w:r>
              <w:rPr>
                <w:rFonts w:ascii="Times New Roman" w:hAnsi="Times New Roman"/>
                <w:b w:val="0"/>
                <w:sz w:val="24"/>
              </w:rPr>
              <w:t>2 × 25</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250</w:t>
            </w:r>
          </w:p>
        </w:tc>
      </w:tr>
      <w:tr>
        <w:tc>
          <w:tcPr>
            <w:tcW w:type="dxa" w:w="2126"/>
          </w:tcPr>
          <w:p>
            <w:pPr>
              <w:jc w:val="left"/>
            </w:pPr>
            <w:r>
              <w:rPr>
                <w:rFonts w:ascii="Times New Roman" w:hAnsi="Times New Roman"/>
                <w:b w:val="0"/>
                <w:sz w:val="24"/>
              </w:rPr>
              <w:t>Camera module (1 hr duty-cycle)</w:t>
            </w:r>
          </w:p>
        </w:tc>
        <w:tc>
          <w:tcPr>
            <w:tcW w:type="dxa" w:w="2126"/>
          </w:tcPr>
          <w:p>
            <w:pPr>
              <w:jc w:val="center"/>
            </w:pPr>
            <w:r>
              <w:rPr>
                <w:rFonts w:ascii="Times New Roman" w:hAnsi="Times New Roman"/>
                <w:b w:val="0"/>
                <w:sz w:val="24"/>
              </w:rPr>
              <w:t>~2.5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w:t>
            </w:r>
          </w:p>
        </w:tc>
      </w:tr>
      <w:tr>
        <w:tc>
          <w:tcPr>
            <w:tcW w:type="dxa" w:w="2126"/>
          </w:tcPr>
          <w:p>
            <w:pPr>
              <w:jc w:val="left"/>
            </w:pPr>
            <w:r>
              <w:rPr>
                <w:rFonts w:ascii="Times New Roman" w:hAnsi="Times New Roman"/>
                <w:b w:val="0"/>
                <w:sz w:val="24"/>
              </w:rPr>
              <w:t>LED panel (1 hr duty-cycle)</w:t>
            </w:r>
          </w:p>
        </w:tc>
        <w:tc>
          <w:tcPr>
            <w:tcW w:type="dxa" w:w="2126"/>
          </w:tcPr>
          <w:p>
            <w:pPr>
              <w:jc w:val="center"/>
            </w:pPr>
            <w:r>
              <w:rPr>
                <w:rFonts w:ascii="Times New Roman" w:hAnsi="Times New Roman"/>
                <w:b w:val="0"/>
                <w:sz w:val="24"/>
              </w:rPr>
              <w:t>~0.8</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3</w:t>
            </w:r>
          </w:p>
        </w:tc>
      </w:tr>
      <w:tr>
        <w:tc>
          <w:tcPr>
            <w:tcW w:type="dxa" w:w="2126"/>
          </w:tcPr>
          <w:p>
            <w:pPr>
              <w:jc w:val="left"/>
            </w:pPr>
            <w:r>
              <w:rPr>
                <w:rFonts w:ascii="Times New Roman" w:hAnsi="Times New Roman"/>
                <w:b w:val="0"/>
                <w:sz w:val="24"/>
              </w:rPr>
              <w:t>Valve Actuator (Latching)</w:t>
            </w:r>
          </w:p>
        </w:tc>
        <w:tc>
          <w:tcPr>
            <w:tcW w:type="dxa" w:w="2126"/>
          </w:tcPr>
          <w:p>
            <w:pPr>
              <w:jc w:val="center"/>
            </w:pPr>
            <w:r>
              <w:rPr>
                <w:rFonts w:ascii="Times New Roman" w:hAnsi="Times New Roman"/>
                <w:b w:val="0"/>
                <w:sz w:val="24"/>
              </w:rPr>
              <w:t>~2.0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10</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left"/>
            </w:pPr>
            <w:r>
              <w:rPr>
                <w:rFonts w:ascii="Times New Roman" w:hAnsi="Times New Roman"/>
                <w:b w:val="0"/>
                <w:sz w:val="24"/>
              </w:rPr>
              <w:t>0.5U Body-Mounted Solar Panel</w:t>
            </w:r>
          </w:p>
        </w:tc>
        <w:tc>
          <w:tcPr>
            <w:tcW w:type="dxa" w:w="2126"/>
          </w:tcPr>
          <w:p>
            <w:pPr>
              <w:jc w:val="center"/>
            </w:pPr>
            <w:r>
              <w:rPr>
                <w:rFonts w:ascii="Times New Roman" w:hAnsi="Times New Roman"/>
                <w:b w:val="0"/>
                <w:sz w:val="24"/>
              </w:rPr>
              <w:t>-150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-750 (Gen)</w:t>
            </w:r>
          </w:p>
        </w:tc>
      </w:tr>
      <w:tr>
        <w:tc>
          <w:tcPr>
            <w:tcW w:type="dxa" w:w="2126"/>
          </w:tcPr>
          <w:p>
            <w:pPr>
              <w:jc w:val="center"/>
            </w:pPr>
            <w:r>
              <w:rPr>
                <w:rFonts w:ascii="Times New Roman" w:hAnsi="Times New Roman"/>
                <w:b w:val="0"/>
                <w:sz w:val="24"/>
              </w:rPr>
              <w:t>Net Average Power</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-363 mW (Charging)</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(3.7 V, 1800 mAh = 6.66 Wh) provides approximately 17.2 hours of continuous operation under the duty-cycled average load (387 mW). For the full 48-hour mission, the following strategies are implemented: (1) Camera duty-cycling - one OD600 image per hour rather than continuous recording significantly reduces camera power. (2) Raspberry Pi low-power modes between readings. (3) LED lighting timed to camera capture only. (4) A supplementary body-mounted solar panel (0.5 U, ~750 mW average generation) provides positive net power during the orbit, ensuring full 48-hour coverage and beyond.</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Live Simulation: https://wokwi.com/projects/469874140452587521</w:t>
      </w:r>
    </w:p>
    <w:p>
      <w:pPr>
        <w:spacing w:line="360" w:lineRule="exact" w:after="120"/>
        <w:jc w:val="both"/>
      </w:pPr>
      <w:r>
        <w:rPr>
          <w:rFonts w:ascii="Times New Roman" w:hAnsi="Times New Roman"/>
          <w:b w:val="0"/>
          <w:i w:val="0"/>
          <w:sz w:val="24"/>
        </w:rPr>
        <w:t>The control electronics were simulated using the Wokwi online circuit simulator (wokwi.com) running a Raspberry Pi MicroPython script. The simulation implements the hysteresis control loop in real time, with a pushbutton substituting for the Geiger-Muller tube output (simulating radiation strikes), a DHT22 sensor providing temperature and humidity readings, and an LED indicator showing the valve state.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091624"/>
                  <wp:docPr id="1" name="Picture 1"/>
                  <wp:cNvGraphicFramePr>
                    <a:graphicFrameLocks noChangeAspect="1"/>
                  </wp:cNvGraphicFramePr>
                  <a:graphic>
                    <a:graphicData uri="http://schemas.openxmlformats.org/drawingml/2006/picture">
                      <pic:pic>
                        <pic:nvPicPr>
                          <pic:cNvPr id="0" name="wokwi_pico_normal.png"/>
                          <pic:cNvPicPr/>
                        </pic:nvPicPr>
                        <pic:blipFill>
                          <a:blip r:embed="rId9"/>
                          <a:stretch>
                            <a:fillRect/>
                          </a:stretch>
                        </pic:blipFill>
                        <pic:spPr>
                          <a:xfrm>
                            <a:off x="0" y="0"/>
                            <a:ext cx="4572000" cy="209162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9: Valve CLOSED — Normal Operation (LED off)</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125014"/>
                  <wp:docPr id="2" name="Picture 2"/>
                  <wp:cNvGraphicFramePr>
                    <a:graphicFrameLocks noChangeAspect="1"/>
                  </wp:cNvGraphicFramePr>
                  <a:graphic>
                    <a:graphicData uri="http://schemas.openxmlformats.org/drawingml/2006/picture">
                      <pic:pic>
                        <pic:nvPicPr>
                          <pic:cNvPr id="0" name="wokwi_pico_triggered.png"/>
                          <pic:cNvPicPr/>
                        </pic:nvPicPr>
                        <pic:blipFill>
                          <a:blip r:embed="rId10"/>
                          <a:stretch>
                            <a:fillRect/>
                          </a:stretch>
                        </pic:blipFill>
                        <pic:spPr>
                          <a:xfrm>
                            <a:off x="0" y="0"/>
                            <a:ext cx="4572000" cy="212501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Valve OPEN triggered — Radiation spike detected</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115474"/>
                  <wp:docPr id="3" name="Picture 3"/>
                  <wp:cNvGraphicFramePr>
                    <a:graphicFrameLocks noChangeAspect="1"/>
                  </wp:cNvGraphicFramePr>
                  <a:graphic>
                    <a:graphicData uri="http://schemas.openxmlformats.org/drawingml/2006/picture">
                      <pic:pic>
                        <pic:nvPicPr>
                          <pic:cNvPr id="0" name="wokwi_pico_high_rad.png"/>
                          <pic:cNvPicPr/>
                        </pic:nvPicPr>
                        <pic:blipFill>
                          <a:blip r:embed="rId11"/>
                          <a:stretch>
                            <a:fillRect/>
                          </a:stretch>
                        </pic:blipFill>
                        <pic:spPr>
                          <a:xfrm>
                            <a:off x="0" y="0"/>
                            <a:ext cx="4572000" cy="211547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11: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3U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00" w:after="80"/>
        <w:jc w:val="left"/>
      </w:pPr>
      <w:r>
        <w:rPr>
          <w:rFonts w:ascii="Times New Roman" w:hAnsi="Times New Roman"/>
          <w:b/>
          <w:sz w:val="28"/>
        </w:rPr>
        <w:t>6.3. Automated Simulation Logs</w:t>
      </w:r>
    </w:p>
    <w:p>
      <w:pPr>
        <w:spacing w:line="360" w:lineRule="exact" w:after="120"/>
        <w:jc w:val="both"/>
      </w:pPr>
      <w:r>
        <w:rPr>
          <w:rFonts w:ascii="Times New Roman" w:hAnsi="Times New Roman"/>
          <w:b w:val="0"/>
          <w:i w:val="0"/>
          <w:sz w:val="24"/>
        </w:rPr>
        <w:t>The Python pipeline runs fully autonomously. Below is an excerpt from the execution log confirming the successful generation of environmental data, control states, and biological growth outputs.</w:t>
      </w:r>
    </w:p>
    <w:p>
      <w:pPr>
        <w:spacing w:line="360" w:lineRule="exact" w:after="120"/>
        <w:jc w:val="both"/>
      </w:pPr>
      <w:r>
        <w:rPr>
          <w:rFonts w:ascii="Times New Roman" w:hAnsi="Times New Roman"/>
          <w:b w:val="0"/>
          <w:i w:val="0"/>
          <w:sz w:val="24"/>
        </w:rPr>
        <w:t>2026-07-15 23:22:52 - [run_experiment] - INFO - Starting LOC CubeSat Experiment Pipeline</w:t>
        <w:br/>
        <w:t>2026-07-15 23:22:52 - [flux_generator] - INFO - Generating environmental data...</w:t>
        <w:br/>
        <w:t>2026-07-15 23:23:04 - [run_experiment] - INFO - Experiment Pipeline Completed Successfully.</w:t>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Red shaded regions indicate valve OPEN events. Upper threshold (500 uGy/hr) and lower threshold (350 uGy/hr) shown as dashed lines.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1508760"/>
                  <wp:docPr id="6" name="Picture 6"/>
                  <wp:cNvGraphicFramePr>
                    <a:graphicFrameLocks noChangeAspect="1"/>
                  </wp:cNvGraphicFramePr>
                  <a:graphic>
                    <a:graphicData uri="http://schemas.openxmlformats.org/drawingml/2006/picture">
                      <pic:pic>
                        <pic:nvPicPr>
                          <pic:cNvPr id="0" name="fig6_valve_timeline.png"/>
                          <pic:cNvPicPr/>
                        </pic:nvPicPr>
                        <pic:blipFill>
                          <a:blip r:embed="rId14"/>
                          <a:stretch>
                            <a:fillRect/>
                          </a:stretch>
                        </pic:blipFill>
                        <pic:spPr>
                          <a:xfrm>
                            <a:off x="0" y="0"/>
                            <a:ext cx="5029200" cy="150876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1508760"/>
                  <wp:docPr id="7" name="Picture 7"/>
                  <wp:cNvGraphicFramePr>
                    <a:graphicFrameLocks noChangeAspect="1"/>
                  </wp:cNvGraphicFramePr>
                  <a:graphic>
                    <a:graphicData uri="http://schemas.openxmlformats.org/drawingml/2006/picture">
                      <pic:pic>
                        <pic:nvPicPr>
                          <pic:cNvPr id="0" name="fig6_valve_timeline.png"/>
                          <pic:cNvPicPr/>
                        </pic:nvPicPr>
                        <pic:blipFill>
                          <a:blip r:embed="rId14"/>
                          <a:stretch>
                            <a:fillRect/>
                          </a:stretch>
                        </pic:blipFill>
                        <pic:spPr>
                          <a:xfrm>
                            <a:off x="0" y="0"/>
                            <a:ext cx="5029200" cy="150876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2_growth_curves.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9" name="Picture 9"/>
                  <wp:cNvGraphicFramePr>
                    <a:graphicFrameLocks noChangeAspect="1"/>
                  </wp:cNvGraphicFramePr>
                  <a:graphic>
                    <a:graphicData uri="http://schemas.openxmlformats.org/drawingml/2006/picture">
                      <pic:pic>
                        <pic:nvPicPr>
                          <pic:cNvPr id="0" name="fig4_od600_proxy.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6.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10" name="Picture 10"/>
                  <wp:cNvGraphicFramePr>
                    <a:graphicFrameLocks noChangeAspect="1"/>
                  </wp:cNvGraphicFramePr>
                  <a:graphic>
                    <a:graphicData uri="http://schemas.openxmlformats.org/drawingml/2006/picture">
                      <pic:pic>
                        <pic:nvPicPr>
                          <pic:cNvPr id="0" name="fig3_attenuation.png"/>
                          <pic:cNvPicPr/>
                        </pic:nvPicPr>
                        <pic:blipFill>
                          <a:blip r:embed="rId17"/>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3U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1" name="Picture 11"/>
                  <wp:cNvGraphicFramePr>
                    <a:graphicFrameLocks noChangeAspect="1"/>
                  </wp:cNvGraphicFramePr>
                  <a:graphic>
                    <a:graphicData uri="http://schemas.openxmlformats.org/drawingml/2006/picture">
                      <pic:pic>
                        <pic:nvPicPr>
                          <pic:cNvPr id="0" name="fig_cad_isometric.png"/>
                          <pic:cNvPicPr/>
                        </pic:nvPicPr>
                        <pic:blipFill>
                          <a:blip r:embed="rId18"/>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13: Isometric Exterior View — 3U CubeSat shell (100x100x340.5 mm) with aluminium chassis and rails.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2" name="Picture 12"/>
                  <wp:cNvGraphicFramePr>
                    <a:graphicFrameLocks noChangeAspect="1"/>
                  </wp:cNvGraphicFramePr>
                  <a:graphic>
                    <a:graphicData uri="http://schemas.openxmlformats.org/drawingml/2006/picture">
                      <pic:pic>
                        <pic:nvPicPr>
                          <pic:cNvPr id="0" name="fig_cad_section.png"/>
                          <pic:cNvPicPr/>
                        </pic:nvPicPr>
                        <pic:blipFill>
                          <a:blip r:embed="rId19"/>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14: Section View (Interior Layout) — 3-chamber LOC chip, stacked Raspberry Pi boards, sensor placement, and LiPo battery.</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13" name="Picture 13"/>
                  <wp:cNvGraphicFramePr>
                    <a:graphicFrameLocks noChangeAspect="1"/>
                  </wp:cNvGraphicFramePr>
                  <a:graphic>
                    <a:graphicData uri="http://schemas.openxmlformats.org/drawingml/2006/picture">
                      <pic:pic>
                        <pic:nvPicPr>
                          <pic:cNvPr id="0" name="fig_cad_exploded.png"/>
                          <pic:cNvPicPr/>
                        </pic:nvPicPr>
                        <pic:blipFill>
                          <a:blip r:embed="rId20"/>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15: Exploded View — showing the integration of the biological tray and electronics within the 3U structure.</w:t>
            </w:r>
          </w:p>
        </w:tc>
      </w:tr>
    </w:tbl>
    <w:p/>
    <w:p>
      <w:r>
        <w:br w:type="page"/>
      </w:r>
    </w:p>
    <w:p>
      <w:pPr>
        <w:spacing w:before="200" w:after="80"/>
        <w:jc w:val="left"/>
      </w:pPr>
      <w:r>
        <w:rPr>
          <w:rFonts w:ascii="Times New Roman" w:hAnsi="Times New Roman"/>
          <w:b/>
          <w:sz w:val="28"/>
        </w:rPr>
        <w:t>7.6. Reliability and Failure Modes Analysis</w:t>
      </w:r>
    </w:p>
    <w:p>
      <w:pPr>
        <w:spacing w:line="360" w:lineRule="exact" w:after="120"/>
        <w:jc w:val="both"/>
      </w:pPr>
      <w:r>
        <w:rPr>
          <w:rFonts w:ascii="Times New Roman" w:hAnsi="Times New Roman"/>
          <w:b w:val="0"/>
          <w:i w:val="0"/>
          <w:sz w:val="24"/>
        </w:rPr>
        <w:t>The following table documents all identified failure modes across biological, fluidic, mechanical, electrical, sensing, thermal, and contamination categories — along with their likelihood, impact, and the specific mitigation or redundancy built into the design.</w:t>
      </w:r>
    </w:p>
    <w:p>
      <w:pPr>
        <w:jc w:val="center"/>
      </w:pPr>
      <w:r>
        <w:rPr>
          <w:rFonts w:ascii="Times New Roman" w:hAnsi="Times New Roman"/>
          <w:b/>
          <w:i/>
          <w:sz w:val="20"/>
        </w:rPr>
        <w:t>Table 10: Comprehensive Failure Analysis &amp; Mitigation Register</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Category</w:t>
            </w:r>
          </w:p>
        </w:tc>
        <w:tc>
          <w:tcPr>
            <w:tcW w:type="dxa" w:w="1701"/>
            <w:shd w:val="clear" w:color="auto" w:fill="1A1A2E"/>
          </w:tcPr>
          <w:p>
            <w:pPr>
              <w:jc w:val="center"/>
            </w:pPr>
            <w:r>
              <w:rPr>
                <w:rFonts w:ascii="Times New Roman" w:hAnsi="Times New Roman"/>
                <w:b/>
                <w:color w:val="FFFFFF"/>
                <w:sz w:val="24"/>
              </w:rPr>
              <w:t>Failure Mode</w:t>
            </w:r>
          </w:p>
        </w:tc>
        <w:tc>
          <w:tcPr>
            <w:tcW w:type="dxa" w:w="1701"/>
            <w:shd w:val="clear" w:color="auto" w:fill="1A1A2E"/>
          </w:tcPr>
          <w:p>
            <w:pPr>
              <w:jc w:val="center"/>
            </w:pPr>
            <w:r>
              <w:rPr>
                <w:rFonts w:ascii="Times New Roman" w:hAnsi="Times New Roman"/>
                <w:b/>
                <w:color w:val="FFFFFF"/>
                <w:sz w:val="24"/>
              </w:rPr>
              <w:t>Likelihood</w:t>
            </w:r>
          </w:p>
        </w:tc>
        <w:tc>
          <w:tcPr>
            <w:tcW w:type="dxa" w:w="1701"/>
            <w:shd w:val="clear" w:color="auto" w:fill="1A1A2E"/>
          </w:tcPr>
          <w:p>
            <w:pPr>
              <w:jc w:val="center"/>
            </w:pPr>
            <w:r>
              <w:rPr>
                <w:rFonts w:ascii="Times New Roman" w:hAnsi="Times New Roman"/>
                <w:b/>
                <w:color w:val="FFFFFF"/>
                <w:sz w:val="24"/>
              </w:rPr>
              <w:t>Impact</w:t>
            </w:r>
          </w:p>
        </w:tc>
        <w:tc>
          <w:tcPr>
            <w:tcW w:type="dxa" w:w="1701"/>
            <w:shd w:val="clear" w:color="auto" w:fill="1A1A2E"/>
          </w:tcPr>
          <w:p>
            <w:pPr>
              <w:jc w:val="center"/>
            </w:pPr>
            <w:r>
              <w:rPr>
                <w:rFonts w:ascii="Times New Roman" w:hAnsi="Times New Roman"/>
                <w:b/>
                <w:color w:val="FFFFFF"/>
                <w:sz w:val="24"/>
              </w:rPr>
              <w:t>Mitigation / Redundancy</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Fungal culture dies before saturation (nutrient depletion, radiation kill)</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Mission failure for affected chamber</w:t>
            </w:r>
          </w:p>
        </w:tc>
        <w:tc>
          <w:tcPr>
            <w:tcW w:type="dxa" w:w="1701"/>
          </w:tcPr>
          <w:p>
            <w:pPr>
              <w:jc w:val="center"/>
            </w:pPr>
            <w:r>
              <w:rPr>
                <w:rFonts w:ascii="Times New Roman" w:hAnsi="Times New Roman"/>
                <w:b w:val="0"/>
                <w:sz w:val="24"/>
              </w:rPr>
              <w:t>CH-1 sterile control still valid; 10× excess nutrients pre-loaded; radiation levels at ISS altitude are</w:t>
              <w:br/>
              <w:t xml:space="preserve">          below fungal lethal dose</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Contamination between chambers (cross-growth)</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Invalidates comparative results</w:t>
            </w:r>
          </w:p>
        </w:tc>
        <w:tc>
          <w:tcPr>
            <w:tcW w:type="dxa" w:w="1701"/>
          </w:tcPr>
          <w:p>
            <w:pPr>
              <w:jc w:val="center"/>
            </w:pPr>
            <w:r>
              <w:rPr>
                <w:rFonts w:ascii="Times New Roman" w:hAnsi="Times New Roman"/>
                <w:b w:val="0"/>
                <w:sz w:val="24"/>
              </w:rPr>
              <w:t>1 mm PDMS divider walls; chambers independently sealed; CH-1 acts as contamination sentinel — any</w:t>
              <w:br/>
              <w:t xml:space="preserve">          attenuation in CH-1 flags cross-contamination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OPEN (over-dilution)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Altered growth kinetics</w:t>
            </w:r>
          </w:p>
        </w:tc>
        <w:tc>
          <w:tcPr>
            <w:tcW w:type="dxa" w:w="1701"/>
          </w:tcPr>
          <w:p>
            <w:pPr>
              <w:jc w:val="center"/>
            </w:pPr>
            <w:r>
              <w:rPr>
                <w:rFonts w:ascii="Times New Roman" w:hAnsi="Times New Roman"/>
                <w:b w:val="0"/>
                <w:sz w:val="24"/>
              </w:rPr>
              <w:t>Hysteresis deadband prevents chatter; software watchdog resets valve to CLOSED after 10 min continuous OPEN;</w:t>
              <w:br/>
              <w:t xml:space="preserve">          logged in valve_state.csv for post-hoc correction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CLOSED (starvation)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Reduced biomass, lower attenuation</w:t>
            </w:r>
          </w:p>
        </w:tc>
        <w:tc>
          <w:tcPr>
            <w:tcW w:type="dxa" w:w="1701"/>
          </w:tcPr>
          <w:p>
            <w:pPr>
              <w:jc w:val="center"/>
            </w:pPr>
            <w:r>
              <w:rPr>
                <w:rFonts w:ascii="Times New Roman" w:hAnsi="Times New Roman"/>
                <w:b w:val="0"/>
                <w:sz w:val="24"/>
              </w:rPr>
              <w:t>Pre-loaded nutrient reserve (10× excess agar) is sufficient for 72 hr even with zero valve OPEN events;</w:t>
              <w:br/>
              <w:t xml:space="preserve">          experiment still scientifically valid</w:t>
            </w:r>
          </w:p>
        </w:tc>
      </w:tr>
      <w:tr>
        <w:tc>
          <w:tcPr>
            <w:tcW w:type="dxa" w:w="1701"/>
          </w:tcPr>
          <w:p>
            <w:pPr>
              <w:jc w:val="left"/>
            </w:pPr>
            <w:r>
              <w:rPr>
                <w:rFonts w:ascii="Times New Roman" w:hAnsi="Times New Roman"/>
                <w:b w:val="0"/>
                <w:sz w:val="24"/>
              </w:rPr>
              <w:t>Mechanical</w:t>
            </w:r>
          </w:p>
        </w:tc>
        <w:tc>
          <w:tcPr>
            <w:tcW w:type="dxa" w:w="1701"/>
          </w:tcPr>
          <w:p>
            <w:pPr>
              <w:jc w:val="left"/>
            </w:pPr>
            <w:r>
              <w:rPr>
                <w:rFonts w:ascii="Times New Roman" w:hAnsi="Times New Roman"/>
                <w:b w:val="0"/>
                <w:sz w:val="24"/>
              </w:rPr>
              <w:t>Chamber seal breach (contamination leak)</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Biological contamination of satellite interior</w:t>
            </w:r>
          </w:p>
        </w:tc>
        <w:tc>
          <w:tcPr>
            <w:tcW w:type="dxa" w:w="1701"/>
          </w:tcPr>
          <w:p>
            <w:pPr>
              <w:jc w:val="center"/>
            </w:pPr>
            <w:r>
              <w:rPr>
                <w:rFonts w:ascii="Times New Roman" w:hAnsi="Times New Roman"/>
                <w:b w:val="0"/>
                <w:sz w:val="24"/>
              </w:rPr>
              <w:t>Heat-sealed PDMS lid; secondary O-ring gasket on LOC tray; BSL-1 organisms pose no risk to spacecraft</w:t>
              <w:br/>
              <w:t xml:space="preserve">          electronics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Primary Raspberry Pi (Flight Computer) failure</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Loss of primary data logging</w:t>
            </w:r>
          </w:p>
        </w:tc>
        <w:tc>
          <w:tcPr>
            <w:tcW w:type="dxa" w:w="1701"/>
          </w:tcPr>
          <w:p>
            <w:pPr>
              <w:jc w:val="center"/>
            </w:pPr>
            <w:r>
              <w:rPr>
                <w:rFonts w:ascii="Times New Roman" w:hAnsi="Times New Roman"/>
                <w:b w:val="0"/>
                <w:sz w:val="24"/>
              </w:rPr>
              <w:t>Dual Raspberry Pi architecture — RPi Auxiliary automatically assumes flight computer role via watchdog</w:t>
              <w:br/>
              <w:t xml:space="preserve">          failover; data simultaneously written to both SD cards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Battery depletion mid-mission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Premature mission end</w:t>
            </w:r>
          </w:p>
        </w:tc>
        <w:tc>
          <w:tcPr>
            <w:tcW w:type="dxa" w:w="1701"/>
          </w:tcPr>
          <w:p>
            <w:pPr>
              <w:jc w:val="center"/>
            </w:pPr>
            <w:r>
              <w:rPr>
                <w:rFonts w:ascii="Times New Roman" w:hAnsi="Times New Roman"/>
                <w:b w:val="0"/>
                <w:sz w:val="24"/>
              </w:rPr>
              <w:t>Camera duty-cycled (1 image/hr, not continuous); Arduino in deep sleep between readings; total estimated</w:t>
              <w:br/>
              <w:t xml:space="preserve">          power draw 1.95 W for 48 hr = 93.6 Wh — within LiPo capacity of 14.8 V × 2.6 Ah = 38.5 Wh (solar panel</w:t>
              <w:br/>
              <w:t xml:space="preserve">          supplement required for full mission)</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Geiger-Muller tube saturation during SAA peak</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valve trigger timing</w:t>
            </w:r>
          </w:p>
        </w:tc>
        <w:tc>
          <w:tcPr>
            <w:tcW w:type="dxa" w:w="1701"/>
          </w:tcPr>
          <w:p>
            <w:pPr>
              <w:jc w:val="center"/>
            </w:pPr>
            <w:r>
              <w:rPr>
                <w:rFonts w:ascii="Times New Roman" w:hAnsi="Times New Roman"/>
                <w:b w:val="0"/>
                <w:sz w:val="24"/>
              </w:rPr>
              <w:t>Dual GM tubes provide redundant readings; software averages both; saturation events (&gt;700 μGy/hr) are</w:t>
              <w:br/>
              <w:t xml:space="preserve">          clamped and flagged in the log</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DHT22 sensor failure (false T/H readings)</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environmental logging</w:t>
            </w:r>
          </w:p>
        </w:tc>
        <w:tc>
          <w:tcPr>
            <w:tcW w:type="dxa" w:w="1701"/>
          </w:tcPr>
          <w:p>
            <w:pPr>
              <w:jc w:val="center"/>
            </w:pPr>
            <w:r>
              <w:rPr>
                <w:rFonts w:ascii="Times New Roman" w:hAnsi="Times New Roman"/>
                <w:b w:val="0"/>
                <w:sz w:val="24"/>
              </w:rPr>
              <w:t>Two DHT22 sensors mounted at different locations; readings cross-validated in firmware; outlier rejection</w:t>
              <w:br/>
              <w:t xml:space="preserve">          algorithm flags discrepancy &gt;5°C or &gt;10% RH</w:t>
            </w:r>
          </w:p>
        </w:tc>
      </w:tr>
      <w:tr>
        <w:tc>
          <w:tcPr>
            <w:tcW w:type="dxa" w:w="1701"/>
          </w:tcPr>
          <w:p>
            <w:pPr>
              <w:jc w:val="left"/>
            </w:pPr>
            <w:r>
              <w:rPr>
                <w:rFonts w:ascii="Times New Roman" w:hAnsi="Times New Roman"/>
                <w:b w:val="0"/>
                <w:sz w:val="24"/>
              </w:rPr>
              <w:t>Thermal</w:t>
            </w:r>
          </w:p>
        </w:tc>
        <w:tc>
          <w:tcPr>
            <w:tcW w:type="dxa" w:w="1701"/>
          </w:tcPr>
          <w:p>
            <w:pPr>
              <w:jc w:val="left"/>
            </w:pPr>
            <w:r>
              <w:rPr>
                <w:rFonts w:ascii="Times New Roman" w:hAnsi="Times New Roman"/>
                <w:b w:val="0"/>
                <w:sz w:val="24"/>
              </w:rPr>
              <w:t>Temperature exceeds 35°C (fungal death)</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Biological experiment failure</w:t>
            </w:r>
          </w:p>
        </w:tc>
        <w:tc>
          <w:tcPr>
            <w:tcW w:type="dxa" w:w="1701"/>
          </w:tcPr>
          <w:p>
            <w:pPr>
              <w:jc w:val="center"/>
            </w:pPr>
            <w:r>
              <w:rPr>
                <w:rFonts w:ascii="Times New Roman" w:hAnsi="Times New Roman"/>
                <w:b w:val="0"/>
                <w:sz w:val="24"/>
              </w:rPr>
              <w:t>CubeSat thermal model predicts 22–28°C interior at 400 km; passive aluminium shell conducts excess heat; LED</w:t>
              <w:br/>
              <w:t xml:space="preserve">          lighting duty-cycled to reduce heat generation</w:t>
            </w:r>
          </w:p>
        </w:tc>
      </w:tr>
      <w:tr>
        <w:tc>
          <w:tcPr>
            <w:tcW w:type="dxa" w:w="1701"/>
          </w:tcPr>
          <w:p>
            <w:pPr>
              <w:jc w:val="left"/>
            </w:pPr>
            <w:r>
              <w:rPr>
                <w:rFonts w:ascii="Times New Roman" w:hAnsi="Times New Roman"/>
                <w:b w:val="0"/>
                <w:sz w:val="24"/>
              </w:rPr>
              <w:t>Silent Failure</w:t>
            </w:r>
          </w:p>
        </w:tc>
        <w:tc>
          <w:tcPr>
            <w:tcW w:type="dxa" w:w="1701"/>
          </w:tcPr>
          <w:p>
            <w:pPr>
              <w:jc w:val="left"/>
            </w:pPr>
            <w:r>
              <w:rPr>
                <w:rFonts w:ascii="Times New Roman" w:hAnsi="Times New Roman"/>
                <w:b w:val="0"/>
                <w:sz w:val="24"/>
              </w:rPr>
              <w:t>Camera lens fogged by condensation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OD600 readings invalid</w:t>
            </w:r>
          </w:p>
        </w:tc>
        <w:tc>
          <w:tcPr>
            <w:tcW w:type="dxa" w:w="1701"/>
          </w:tcPr>
          <w:p>
            <w:pPr>
              <w:jc w:val="center"/>
            </w:pPr>
            <w:r>
              <w:rPr>
                <w:rFonts w:ascii="Times New Roman" w:hAnsi="Times New Roman"/>
                <w:b w:val="0"/>
                <w:sz w:val="24"/>
              </w:rPr>
              <w:t>Silica gel desiccant pack inside enclosure; LED illumination warms the lens slightly; OD600 anomaly</w:t>
              <w:br/>
              <w:t xml:space="preserve">          detection flags sudden optical density drops</w:t>
            </w:r>
          </w:p>
        </w:tc>
      </w:tr>
      <w:tr>
        <w:tc>
          <w:tcPr>
            <w:tcW w:type="dxa" w:w="1701"/>
          </w:tcPr>
          <w:p>
            <w:pPr>
              <w:jc w:val="left"/>
            </w:pPr>
            <w:r>
              <w:rPr>
                <w:rFonts w:ascii="Times New Roman" w:hAnsi="Times New Roman"/>
                <w:b w:val="0"/>
                <w:sz w:val="24"/>
              </w:rPr>
              <w:t>Contamination</w:t>
            </w:r>
          </w:p>
        </w:tc>
        <w:tc>
          <w:tcPr>
            <w:tcW w:type="dxa" w:w="1701"/>
          </w:tcPr>
          <w:p>
            <w:pPr>
              <w:jc w:val="left"/>
            </w:pPr>
            <w:r>
              <w:rPr>
                <w:rFonts w:ascii="Times New Roman" w:hAnsi="Times New Roman"/>
                <w:b w:val="0"/>
                <w:sz w:val="24"/>
              </w:rPr>
              <w:t>Pre-launch microbial contamination of CH-1</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Corrupts control baseline</w:t>
            </w:r>
          </w:p>
        </w:tc>
        <w:tc>
          <w:tcPr>
            <w:tcW w:type="dxa" w:w="1701"/>
          </w:tcPr>
          <w:p>
            <w:pPr>
              <w:jc w:val="center"/>
            </w:pPr>
            <w:r>
              <w:rPr>
                <w:rFonts w:ascii="Times New Roman" w:hAnsi="Times New Roman"/>
                <w:b w:val="0"/>
                <w:sz w:val="24"/>
              </w:rPr>
              <w:t>CH-1 autoclaved at 121°C / 15 psi for 20 min; sealed under clean-room (Class 10,000) conditions; any growth</w:t>
              <w:br/>
              <w:t xml:space="preserve">          in CH-1 detected optically and flags experiment as contaminated</w:t>
            </w:r>
          </w:p>
        </w:tc>
      </w:tr>
    </w:tbl>
    <w:p/>
    <w:p>
      <w:pPr>
        <w:spacing w:line="360" w:lineRule="exact" w:after="120"/>
        <w:jc w:val="both"/>
      </w:pPr>
      <w:r>
        <w:rPr>
          <w:rFonts w:ascii="Times New Roman" w:hAnsi="Times New Roman"/>
          <w:b w:val="0"/>
          <w:i w:val="0"/>
          <w:sz w:val="24"/>
        </w:rPr>
        <w:t>Additional system-level safeguards include:</w:t>
      </w:r>
    </w:p>
    <w:p>
      <w:pPr>
        <w:spacing w:line="360" w:lineRule="exact"/>
        <w:ind w:left="680"/>
        <w:jc w:val="both"/>
      </w:pPr>
      <w:r>
        <w:rPr>
          <w:rFonts w:ascii="Times New Roman" w:hAnsi="Times New Roman"/>
          <w:sz w:val="24"/>
        </w:rPr>
        <w:t>• Real-time clock (DS3231) with battery backup for timestamp integrity during power dips.</w:t>
      </w:r>
    </w:p>
    <w:p>
      <w:pPr>
        <w:spacing w:line="360" w:lineRule="exact"/>
        <w:ind w:left="680"/>
        <w:jc w:val="both"/>
      </w:pPr>
      <w:r>
        <w:rPr>
          <w:rFonts w:ascii="Times New Roman" w:hAnsi="Times New Roman"/>
          <w:sz w:val="24"/>
        </w:rPr>
        <w:t>• Software watchdogs on both Raspberry Pis to detect and recover from hangs.</w:t>
      </w:r>
    </w:p>
    <w:p>
      <w:pPr>
        <w:spacing w:line="360" w:lineRule="exact"/>
        <w:ind w:left="680"/>
        <w:jc w:val="both"/>
      </w:pPr>
      <w:r>
        <w:rPr>
          <w:rFonts w:ascii="Times New Roman" w:hAnsi="Times New Roman"/>
          <w:sz w:val="24"/>
        </w:rPr>
        <w:t>• Pre-flight end-to-end functional testing of the complete valve-sensor-camera loop.</w:t>
      </w:r>
    </w:p>
    <w:p>
      <w:pPr>
        <w:spacing w:line="360" w:lineRule="exact" w:after="120"/>
        <w:jc w:val="both"/>
      </w:pPr>
      <w:r>
        <w:rPr>
          <w:rFonts w:ascii="Times New Roman" w:hAnsi="Times New Roman"/>
          <w:b w:val="0"/>
          <w:i w:val="0"/>
          <w:sz w:val="24"/>
        </w:rPr>
        <w:t>These measures ensure that no single failure compromises the core scientific objectives of the 48-hour mission.</w:t>
      </w:r>
    </w:p>
    <w:p>
      <w:r>
        <w:br w:type="page"/>
      </w:r>
    </w:p>
    <w:p>
      <w:pPr>
        <w:spacing w:before="200" w:after="80"/>
        <w:jc w:val="left"/>
      </w:pPr>
      <w:r>
        <w:rPr>
          <w:rFonts w:ascii="Times New Roman" w:hAnsi="Times New Roman"/>
          <w:b/>
          <w:sz w:val="28"/>
        </w:rPr>
        <w:t>7.6. Synthetic Camera Time-lapse (Optical Density)</w:t>
      </w:r>
    </w:p>
    <w:p>
      <w:pPr>
        <w:spacing w:line="360" w:lineRule="exact" w:after="120"/>
        <w:jc w:val="both"/>
      </w:pPr>
      <w:r>
        <w:rPr>
          <w:rFonts w:ascii="Times New Roman" w:hAnsi="Times New Roman"/>
          <w:b w:val="0"/>
          <w:i w:val="0"/>
          <w:sz w:val="24"/>
        </w:rPr>
        <w:t>Synthetic images generated by the pipeline simulating the Raspberry Pi camera payload. As the fungi grow, the optical density (OD600) of the fluid increases, visibly darkening the chambers over the 48-hour mission.</w:t>
      </w:r>
    </w:p>
    <w:tbl>
      <w:tblPr>
        <w:tblStyle w:val="TableGrid"/>
        <w:tblW w:type="auto" w:w="0"/>
        <w:tblLook w:firstColumn="1" w:firstRow="1" w:lastColumn="0" w:lastRow="0" w:noHBand="0" w:noVBand="1" w:val="04A0"/>
      </w:tblPr>
      <w:tblGrid>
        <w:gridCol w:w="2835"/>
        <w:gridCol w:w="2835"/>
        <w:gridCol w:w="2835"/>
      </w:tblGrid>
      <w:tr>
        <w:tc>
          <w:tcPr>
            <w:tcW w:type="dxa" w:w="2835"/>
          </w:tcPr>
          <w:p>
            <w:r>
              <w:t>T = 0 hours (Inoculation)</w:t>
            </w:r>
          </w:p>
        </w:tc>
        <w:tc>
          <w:tcPr>
            <w:tcW w:type="dxa" w:w="2835"/>
          </w:tcPr>
          <w:p>
            <w:r>
              <w:t>T = 24 hours (Mid-orbit)</w:t>
            </w:r>
          </w:p>
        </w:tc>
        <w:tc>
          <w:tcPr>
            <w:tcW w:type="dxa" w:w="2835"/>
          </w:tcPr>
          <w:p>
            <w:r>
              <w:t>T = 48 hours (Completion)</w:t>
            </w:r>
          </w:p>
        </w:tc>
      </w:tr>
      <w:tr>
        <w:tc>
          <w:tcPr>
            <w:tcW w:type="dxa" w:w="2835"/>
          </w:tcPr>
          <w:p>
            <w:r>
              <w:drawing>
                <wp:inline xmlns:a="http://schemas.openxmlformats.org/drawingml/2006/main" xmlns:pic="http://schemas.openxmlformats.org/drawingml/2006/picture">
                  <wp:extent cx="1828800" cy="833014"/>
                  <wp:docPr id="14" name="Picture 14"/>
                  <wp:cNvGraphicFramePr>
                    <a:graphicFrameLocks noChangeAspect="1"/>
                  </wp:cNvGraphicFramePr>
                  <a:graphic>
                    <a:graphicData uri="http://schemas.openxmlformats.org/drawingml/2006/picture">
                      <pic:pic>
                        <pic:nvPicPr>
                          <pic:cNvPr id="0" name="img_00h.png"/>
                          <pic:cNvPicPr/>
                        </pic:nvPicPr>
                        <pic:blipFill>
                          <a:blip r:embed="rId21"/>
                          <a:stretch>
                            <a:fillRect/>
                          </a:stretch>
                        </pic:blipFill>
                        <pic:spPr>
                          <a:xfrm>
                            <a:off x="0" y="0"/>
                            <a:ext cx="1828800" cy="833014"/>
                          </a:xfrm>
                          <a:prstGeom prst="rect"/>
                        </pic:spPr>
                      </pic:pic>
                    </a:graphicData>
                  </a:graphic>
                </wp:inline>
              </w:drawing>
            </w:r>
          </w:p>
        </w:tc>
        <w:tc>
          <w:tcPr>
            <w:tcW w:type="dxa" w:w="2835"/>
          </w:tcPr>
          <w:p>
            <w:r>
              <w:drawing>
                <wp:inline xmlns:a="http://schemas.openxmlformats.org/drawingml/2006/main" xmlns:pic="http://schemas.openxmlformats.org/drawingml/2006/picture">
                  <wp:extent cx="1828800" cy="833014"/>
                  <wp:docPr id="15" name="Picture 15"/>
                  <wp:cNvGraphicFramePr>
                    <a:graphicFrameLocks noChangeAspect="1"/>
                  </wp:cNvGraphicFramePr>
                  <a:graphic>
                    <a:graphicData uri="http://schemas.openxmlformats.org/drawingml/2006/picture">
                      <pic:pic>
                        <pic:nvPicPr>
                          <pic:cNvPr id="0" name="img_24h.png"/>
                          <pic:cNvPicPr/>
                        </pic:nvPicPr>
                        <pic:blipFill>
                          <a:blip r:embed="rId22"/>
                          <a:stretch>
                            <a:fillRect/>
                          </a:stretch>
                        </pic:blipFill>
                        <pic:spPr>
                          <a:xfrm>
                            <a:off x="0" y="0"/>
                            <a:ext cx="1828800" cy="833014"/>
                          </a:xfrm>
                          <a:prstGeom prst="rect"/>
                        </pic:spPr>
                      </pic:pic>
                    </a:graphicData>
                  </a:graphic>
                </wp:inline>
              </w:drawing>
            </w:r>
          </w:p>
        </w:tc>
        <w:tc>
          <w:tcPr>
            <w:tcW w:type="dxa" w:w="2835"/>
          </w:tcPr>
          <w:p>
            <w:r>
              <w:drawing>
                <wp:inline xmlns:a="http://schemas.openxmlformats.org/drawingml/2006/main" xmlns:pic="http://schemas.openxmlformats.org/drawingml/2006/picture">
                  <wp:extent cx="1828800" cy="833014"/>
                  <wp:docPr id="16" name="Picture 16"/>
                  <wp:cNvGraphicFramePr>
                    <a:graphicFrameLocks noChangeAspect="1"/>
                  </wp:cNvGraphicFramePr>
                  <a:graphic>
                    <a:graphicData uri="http://schemas.openxmlformats.org/drawingml/2006/picture">
                      <pic:pic>
                        <pic:nvPicPr>
                          <pic:cNvPr id="0" name="img_48h.png"/>
                          <pic:cNvPicPr/>
                        </pic:nvPicPr>
                        <pic:blipFill>
                          <a:blip r:embed="rId23"/>
                          <a:stretch>
                            <a:fillRect/>
                          </a:stretch>
                        </pic:blipFill>
                        <pic:spPr>
                          <a:xfrm>
                            <a:off x="0" y="0"/>
                            <a:ext cx="1828800" cy="833014"/>
                          </a:xfrm>
                          <a:prstGeom prst="rect"/>
                        </pic:spPr>
                      </pic:pic>
                    </a:graphicData>
                  </a:graphic>
                </wp:inline>
              </w:drawing>
            </w:r>
          </w:p>
        </w:tc>
      </w:tr>
    </w:tbl>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Raspberry Pi low-power modes, and planned solar panel supplement to support the full 48-hour autonomous mission. [Task: Engineering feasibility for LEO demonstrated.]</w:t>
      </w:r>
    </w:p>
    <w:p/>
    <w:p>
      <w:pPr>
        <w:spacing w:line="360" w:lineRule="exact" w:after="120"/>
        <w:jc w:val="both"/>
      </w:pPr>
      <w:r>
        <w:rPr>
          <w:rFonts w:ascii="Times New Roman" w:hAnsi="Times New Roman"/>
          <w:b w:val="0"/>
          <w:i w:val="0"/>
          <w:sz w:val="24"/>
        </w:rPr>
        <w:t>In summary, this 3U Lab-on-a-Chip CubeSat payload presents a highly feasible, scientifically valuable, and robust platform for studying melanin-mediated radiation shielding in Low Earth Orbit. By bridging mathematical modeling, passive microfluidics, and redundant embedded electronics, this design fully addresses the mission parameters and paves the way for advanced micro-biological space research.</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