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br w:type="page"/>
      </w:r>
    </w:p>
    <w:p>
      <w:pPr>
        <w:spacing w:line="360" w:lineRule="exact" w:after="120"/>
        <w:jc w:val="center"/>
      </w:pPr>
      <w:r>
        <w:rPr>
          <w:rFonts w:ascii="Times New Roman" w:hAnsi="Times New Roman"/>
          <w:b/>
          <w:i w:val="0"/>
          <w:sz w:val="28"/>
        </w:rPr>
        <w:t>TEAM ANTARIKSH — RVCE</w:t>
      </w:r>
    </w:p>
    <w:p>
      <w:pPr>
        <w:spacing w:line="360" w:lineRule="exact" w:after="120"/>
        <w:jc w:val="center"/>
      </w:pPr>
      <w:r>
        <w:rPr>
          <w:rFonts w:ascii="Times New Roman" w:hAnsi="Times New Roman"/>
          <w:b w:val="0"/>
          <w:i/>
          <w:sz w:val="24"/>
        </w:rPr>
        <w:t>R.V. College of Engineering, Bengaluru</w:t>
      </w:r>
    </w:p>
    <w:p>
      <w:pPr>
        <w:pBdr>
          <w:bottom w:val="single" w:sz="6" w:space="1" w:color="000000"/>
        </w:pBdr>
      </w:pPr>
    </w:p>
    <w:p/>
    <w:p>
      <w:pPr>
        <w:jc w:val="center"/>
      </w:pPr>
      <w:r>
        <w:rPr>
          <w:rFonts w:ascii="Times New Roman" w:hAnsi="Times New Roman"/>
          <w:b/>
          <w:sz w:val="36"/>
        </w:rPr>
        <w:t>LAB-ON-A-CHIP CUBESAT PAYLOAD SIMULATION:</w:t>
        <w:br/>
        <w:t>FUNGAL RADIATION SHIELDING STUDY IN LOW EARTH ORBIT</w:t>
      </w:r>
    </w:p>
    <w:p>
      <w:pPr>
        <w:spacing w:line="360" w:lineRule="exact" w:after="120"/>
        <w:jc w:val="center"/>
      </w:pPr>
      <w:r>
        <w:rPr>
          <w:rFonts w:ascii="Times New Roman" w:hAnsi="Times New Roman"/>
          <w:b w:val="0"/>
          <w:i/>
          <w:sz w:val="26"/>
        </w:rPr>
        <w:t>3-Chamber Comparative Analysis of Melanin-Rich Fungal Strains</w:t>
      </w:r>
    </w:p>
    <w:p/>
    <w:p>
      <w:pPr>
        <w:pBdr>
          <w:bottom w:val="single" w:sz="6" w:space="1" w:color="000000"/>
        </w:pBdr>
      </w:pPr>
    </w:p>
    <w:p/>
    <w:tbl>
      <w:tblPr>
        <w:tblW w:type="auto" w:w="0"/>
        <w:jc w:val="center"/>
        <w:tblLook w:firstColumn="1" w:firstRow="1" w:lastColumn="0" w:lastRow="0" w:noHBand="0" w:noVBand="1" w:val="04A0"/>
      </w:tblPr>
      <w:tblGrid>
        <w:gridCol w:w="4252"/>
        <w:gridCol w:w="4252"/>
      </w:tblGrid>
      <w:tr>
        <w:tc>
          <w:tcPr>
            <w:tcW w:type="dxa" w:w="4252"/>
          </w:tcPr>
          <w:p>
            <w:r>
              <w:rPr>
                <w:rFonts w:ascii="Times New Roman" w:hAnsi="Times New Roman"/>
                <w:b/>
                <w:sz w:val="24"/>
              </w:rPr>
              <w:t>Project Type:</w:t>
            </w:r>
          </w:p>
        </w:tc>
        <w:tc>
          <w:tcPr>
            <w:tcW w:type="dxa" w:w="4252"/>
          </w:tcPr>
          <w:p>
            <w:r>
              <w:rPr>
                <w:rFonts w:ascii="Times New Roman" w:hAnsi="Times New Roman"/>
                <w:b w:val="0"/>
                <w:sz w:val="24"/>
              </w:rPr>
              <w:t>Group Task — LOC CubeSat Payload</w:t>
            </w:r>
          </w:p>
        </w:tc>
      </w:tr>
      <w:tr>
        <w:tc>
          <w:tcPr>
            <w:tcW w:type="dxa" w:w="4252"/>
          </w:tcPr>
          <w:p>
            <w:r>
              <w:rPr>
                <w:rFonts w:ascii="Times New Roman" w:hAnsi="Times New Roman"/>
                <w:b/>
                <w:sz w:val="24"/>
              </w:rPr>
              <w:t>Document Type:</w:t>
            </w:r>
          </w:p>
        </w:tc>
        <w:tc>
          <w:tcPr>
            <w:tcW w:type="dxa" w:w="4252"/>
          </w:tcPr>
          <w:p>
            <w:r>
              <w:rPr>
                <w:rFonts w:ascii="Times New Roman" w:hAnsi="Times New Roman"/>
                <w:b w:val="0"/>
                <w:sz w:val="24"/>
              </w:rPr>
              <w:t>Technical Report (TA Format)</w:t>
            </w:r>
          </w:p>
        </w:tc>
      </w:tr>
      <w:tr>
        <w:tc>
          <w:tcPr>
            <w:tcW w:type="dxa" w:w="4252"/>
          </w:tcPr>
          <w:p>
            <w:r>
              <w:rPr>
                <w:rFonts w:ascii="Times New Roman" w:hAnsi="Times New Roman"/>
                <w:b/>
                <w:sz w:val="24"/>
              </w:rPr>
              <w:t>Date:</w:t>
            </w:r>
          </w:p>
        </w:tc>
        <w:tc>
          <w:tcPr>
            <w:tcW w:type="dxa" w:w="4252"/>
          </w:tcPr>
          <w:p>
            <w:r>
              <w:rPr>
                <w:rFonts w:ascii="Times New Roman" w:hAnsi="Times New Roman"/>
                <w:b w:val="0"/>
                <w:sz w:val="24"/>
              </w:rPr>
              <w:t>July 2026</w:t>
            </w:r>
          </w:p>
        </w:tc>
      </w:tr>
      <w:tr>
        <w:tc>
          <w:tcPr>
            <w:tcW w:type="dxa" w:w="4252"/>
          </w:tcPr>
          <w:p>
            <w:r>
              <w:rPr>
                <w:rFonts w:ascii="Times New Roman" w:hAnsi="Times New Roman"/>
                <w:b/>
                <w:sz w:val="24"/>
              </w:rPr>
              <w:t>Team Members:</w:t>
            </w:r>
          </w:p>
        </w:tc>
        <w:tc>
          <w:tcPr>
            <w:tcW w:type="dxa" w:w="4252"/>
          </w:tcPr>
          <w:p>
            <w:r>
              <w:rPr>
                <w:rFonts w:ascii="Times New Roman" w:hAnsi="Times New Roman"/>
                <w:b w:val="0"/>
                <w:sz w:val="24"/>
              </w:rPr>
              <w:t>6 Members (BT · EC · AIML × 2 · CS · Aerospace)</w:t>
            </w:r>
          </w:p>
        </w:tc>
      </w:tr>
      <w:tr>
        <w:tc>
          <w:tcPr>
            <w:tcW w:type="dxa" w:w="4252"/>
          </w:tcPr>
          <w:p>
            <w:r>
              <w:rPr>
                <w:rFonts w:ascii="Times New Roman" w:hAnsi="Times New Roman"/>
                <w:b/>
                <w:sz w:val="24"/>
              </w:rPr>
              <w:t>Mentor / Eval:</w:t>
            </w:r>
          </w:p>
        </w:tc>
        <w:tc>
          <w:tcPr>
            <w:tcW w:type="dxa" w:w="4252"/>
          </w:tcPr>
          <w:p>
            <w:r>
              <w:rPr>
                <w:rFonts w:ascii="Times New Roman" w:hAnsi="Times New Roman"/>
                <w:b w:val="0"/>
                <w:sz w:val="24"/>
              </w:rPr>
              <w:t>Super Seniors, Team Antariksh</w:t>
            </w:r>
          </w:p>
        </w:tc>
      </w:tr>
      <w:tr>
        <w:tc>
          <w:tcPr>
            <w:tcW w:type="dxa" w:w="4252"/>
          </w:tcPr>
          <w:p>
            <w:r>
              <w:rPr>
                <w:rFonts w:ascii="Times New Roman" w:hAnsi="Times New Roman"/>
                <w:b/>
                <w:sz w:val="24"/>
              </w:rPr>
              <w:t>Submission:</w:t>
            </w:r>
          </w:p>
        </w:tc>
        <w:tc>
          <w:tcPr>
            <w:tcW w:type="dxa" w:w="4252"/>
          </w:tcPr>
          <w:p>
            <w:r>
              <w:rPr>
                <w:rFonts w:ascii="Times New Roman" w:hAnsi="Times New Roman"/>
                <w:b w:val="0"/>
                <w:sz w:val="24"/>
              </w:rPr>
              <w:t>18 July 2026</w:t>
            </w:r>
          </w:p>
        </w:tc>
      </w:tr>
      <w:tr>
        <w:tc>
          <w:tcPr>
            <w:tcW w:type="dxa" w:w="4252"/>
          </w:tcPr>
          <w:p>
            <w:r>
              <w:rPr>
                <w:rFonts w:ascii="Times New Roman" w:hAnsi="Times New Roman"/>
                <w:b/>
                <w:sz w:val="24"/>
              </w:rPr>
              <w:t>Evaluation:</w:t>
            </w:r>
          </w:p>
        </w:tc>
        <w:tc>
          <w:tcPr>
            <w:tcW w:type="dxa" w:w="4252"/>
          </w:tcPr>
          <w:p>
            <w:r>
              <w:rPr>
                <w:rFonts w:ascii="Times New Roman" w:hAnsi="Times New Roman"/>
                <w:b w:val="0"/>
                <w:sz w:val="24"/>
              </w:rPr>
              <w:t>19 July 2026 (Offline)</w:t>
            </w:r>
          </w:p>
        </w:tc>
      </w:tr>
    </w:tbl>
    <w:p/>
    <w:p>
      <w:pPr>
        <w:jc w:val="center"/>
      </w:pPr>
      <w:r>
        <w:rPr>
          <w:rFonts w:ascii="Times New Roman" w:hAnsi="Times New Roman"/>
          <w:b/>
          <w:sz w:val="24"/>
        </w:rPr>
        <w:t>⚠ SUBMISSION DEADLINE: 18 JULY 2026 · NO EXTENSIONS</w:t>
      </w:r>
    </w:p>
    <w:p>
      <w:r>
        <w:br w:type="page"/>
      </w:r>
    </w:p>
    <w:p>
      <w:pPr>
        <w:jc w:val="center"/>
      </w:pPr>
      <w:r>
        <w:rPr>
          <w:rFonts w:ascii="Times New Roman" w:hAnsi="Times New Roman"/>
          <w:b/>
          <w:sz w:val="32"/>
        </w:rPr>
        <w:t>TABLE OF CONTENTS</w:t>
      </w:r>
    </w:p>
    <w:p>
      <w:pPr>
        <w:pBdr>
          <w:bottom w:val="single" w:sz="6" w:space="1" w:color="000000"/>
        </w:pBdr>
      </w:pPr>
    </w:p>
    <w:p>
      <w:pPr>
        <w:tabs>
          <w:tab w:pos="7920" w:val="left"/>
        </w:tabs>
      </w:pPr>
      <w:r>
        <w:rPr>
          <w:rFonts w:ascii="Times New Roman" w:hAnsi="Times New Roman"/>
          <w:b/>
          <w:sz w:val="24"/>
        </w:rPr>
        <w:t>1. Executive Summary</w:t>
        <w:tab/>
        <w:t>1</w:t>
      </w:r>
    </w:p>
    <w:p>
      <w:pPr>
        <w:tabs>
          <w:tab w:pos="7920" w:val="left"/>
        </w:tabs>
      </w:pPr>
      <w:r>
        <w:rPr>
          <w:rFonts w:ascii="Times New Roman" w:hAnsi="Times New Roman"/>
          <w:b/>
          <w:sz w:val="24"/>
        </w:rPr>
        <w:t>2. Mission Parameters &amp; Orbital Environment</w:t>
        <w:tab/>
        <w:t>1</w:t>
      </w:r>
    </w:p>
    <w:p>
      <w:pPr>
        <w:tabs>
          <w:tab w:pos="7920" w:val="left"/>
        </w:tabs>
      </w:pPr>
      <w:r>
        <w:rPr>
          <w:rFonts w:ascii="Times New Roman" w:hAnsi="Times New Roman"/>
          <w:sz w:val="24"/>
        </w:rPr>
        <w:t xml:space="preserve">   2.1. Orbital Parameters</w:t>
        <w:tab/>
        <w:t>1</w:t>
      </w:r>
    </w:p>
    <w:p>
      <w:pPr>
        <w:tabs>
          <w:tab w:pos="7920" w:val="left"/>
        </w:tabs>
      </w:pPr>
      <w:r>
        <w:rPr>
          <w:rFonts w:ascii="Times New Roman" w:hAnsi="Times New Roman"/>
          <w:sz w:val="24"/>
        </w:rPr>
        <w:t xml:space="preserve">   2.2. Radiation Environment in LEO</w:t>
        <w:tab/>
        <w:t>2</w:t>
      </w:r>
    </w:p>
    <w:p>
      <w:pPr>
        <w:tabs>
          <w:tab w:pos="7920" w:val="left"/>
        </w:tabs>
      </w:pPr>
      <w:r>
        <w:rPr>
          <w:rFonts w:ascii="Times New Roman" w:hAnsi="Times New Roman"/>
          <w:sz w:val="24"/>
        </w:rPr>
        <w:t xml:space="preserve">   2.3. South Atlantic Anomaly</w:t>
        <w:tab/>
        <w:t>2</w:t>
      </w:r>
    </w:p>
    <w:p>
      <w:pPr>
        <w:tabs>
          <w:tab w:pos="7920" w:val="left"/>
        </w:tabs>
      </w:pPr>
      <w:r>
        <w:rPr>
          <w:rFonts w:ascii="Times New Roman" w:hAnsi="Times New Roman"/>
          <w:b/>
          <w:sz w:val="24"/>
        </w:rPr>
        <w:t>3. Biological Rationale &amp; Strain Selection</w:t>
        <w:tab/>
        <w:t>2</w:t>
      </w:r>
    </w:p>
    <w:p>
      <w:pPr>
        <w:tabs>
          <w:tab w:pos="7920" w:val="left"/>
        </w:tabs>
      </w:pPr>
      <w:r>
        <w:rPr>
          <w:rFonts w:ascii="Times New Roman" w:hAnsi="Times New Roman"/>
          <w:sz w:val="24"/>
        </w:rPr>
        <w:t xml:space="preserve">   3.1. Radiotrophic Fungi &amp; Melanin-Mediated Radiotropism</w:t>
        <w:tab/>
        <w:t>2</w:t>
      </w:r>
    </w:p>
    <w:p>
      <w:pPr>
        <w:tabs>
          <w:tab w:pos="7920" w:val="left"/>
        </w:tabs>
      </w:pPr>
      <w:r>
        <w:rPr>
          <w:rFonts w:ascii="Times New Roman" w:hAnsi="Times New Roman"/>
          <w:sz w:val="24"/>
        </w:rPr>
        <w:t xml:space="preserve">   3.2. Strain Selection Justification</w:t>
        <w:tab/>
        <w:t>3</w:t>
      </w:r>
    </w:p>
    <w:p>
      <w:pPr>
        <w:tabs>
          <w:tab w:pos="7920" w:val="left"/>
        </w:tabs>
      </w:pPr>
      <w:r>
        <w:rPr>
          <w:rFonts w:ascii="Times New Roman" w:hAnsi="Times New Roman"/>
          <w:sz w:val="24"/>
        </w:rPr>
        <w:t xml:space="preserve">   3.3. 3-Chamber Experimental Design</w:t>
        <w:tab/>
        <w:t>3</w:t>
      </w:r>
    </w:p>
    <w:p>
      <w:pPr>
        <w:tabs>
          <w:tab w:pos="7920" w:val="left"/>
        </w:tabs>
      </w:pPr>
      <w:r>
        <w:rPr>
          <w:rFonts w:ascii="Times New Roman" w:hAnsi="Times New Roman"/>
          <w:b/>
          <w:sz w:val="24"/>
        </w:rPr>
        <w:t>4. Hardware Architecture (Virtual Twin)</w:t>
        <w:tab/>
        <w:t>3</w:t>
      </w:r>
    </w:p>
    <w:p>
      <w:pPr>
        <w:tabs>
          <w:tab w:pos="7920" w:val="left"/>
        </w:tabs>
      </w:pPr>
      <w:r>
        <w:rPr>
          <w:rFonts w:ascii="Times New Roman" w:hAnsi="Times New Roman"/>
          <w:sz w:val="24"/>
        </w:rPr>
        <w:t xml:space="preserve">   4.1. CubeSat Form Factor &amp; Payload Budget</w:t>
        <w:tab/>
        <w:t>3</w:t>
      </w:r>
    </w:p>
    <w:p>
      <w:pPr>
        <w:tabs>
          <w:tab w:pos="7920" w:val="left"/>
        </w:tabs>
      </w:pPr>
      <w:r>
        <w:rPr>
          <w:rFonts w:ascii="Times New Roman" w:hAnsi="Times New Roman"/>
          <w:sz w:val="24"/>
        </w:rPr>
        <w:t xml:space="preserve">   4.2. Sensor Suite</w:t>
        <w:tab/>
        <w:t>4</w:t>
      </w:r>
    </w:p>
    <w:p>
      <w:pPr>
        <w:tabs>
          <w:tab w:pos="7920" w:val="left"/>
        </w:tabs>
      </w:pPr>
      <w:r>
        <w:rPr>
          <w:rFonts w:ascii="Times New Roman" w:hAnsi="Times New Roman"/>
          <w:sz w:val="24"/>
        </w:rPr>
        <w:t xml:space="preserve">   4.3. Electronics Simulation (Wokwi)</w:t>
        <w:tab/>
        <w:t>4</w:t>
      </w:r>
    </w:p>
    <w:p>
      <w:pPr>
        <w:tabs>
          <w:tab w:pos="7920" w:val="left"/>
        </w:tabs>
      </w:pPr>
      <w:r>
        <w:rPr>
          <w:rFonts w:ascii="Times New Roman" w:hAnsi="Times New Roman"/>
          <w:sz w:val="24"/>
        </w:rPr>
        <w:t xml:space="preserve">   4.4. Operational Workflow</w:t>
        <w:tab/>
        <w:t>4</w:t>
      </w:r>
    </w:p>
    <w:p>
      <w:pPr>
        <w:tabs>
          <w:tab w:pos="7920" w:val="left"/>
        </w:tabs>
      </w:pPr>
      <w:r>
        <w:rPr>
          <w:rFonts w:ascii="Times New Roman" w:hAnsi="Times New Roman"/>
          <w:sz w:val="24"/>
        </w:rPr>
        <w:t xml:space="preserve">   4.5. Key Design Trade-offs</w:t>
        <w:tab/>
        <w:t>4</w:t>
      </w:r>
    </w:p>
    <w:p>
      <w:pPr>
        <w:tabs>
          <w:tab w:pos="7920" w:val="left"/>
        </w:tabs>
      </w:pPr>
      <w:r>
        <w:rPr>
          <w:rFonts w:ascii="Times New Roman" w:hAnsi="Times New Roman"/>
          <w:b/>
          <w:sz w:val="24"/>
        </w:rPr>
        <w:t>5. Mathematical &amp; Computational Models</w:t>
        <w:tab/>
        <w:t>5</w:t>
      </w:r>
    </w:p>
    <w:p>
      <w:pPr>
        <w:tabs>
          <w:tab w:pos="7920" w:val="left"/>
        </w:tabs>
      </w:pPr>
      <w:r>
        <w:rPr>
          <w:rFonts w:ascii="Times New Roman" w:hAnsi="Times New Roman"/>
          <w:sz w:val="24"/>
        </w:rPr>
        <w:t xml:space="preserve">   5.1. Logistic Growth Model</w:t>
        <w:tab/>
        <w:t>5</w:t>
      </w:r>
    </w:p>
    <w:p>
      <w:pPr>
        <w:tabs>
          <w:tab w:pos="7920" w:val="left"/>
        </w:tabs>
      </w:pPr>
      <w:r>
        <w:rPr>
          <w:rFonts w:ascii="Times New Roman" w:hAnsi="Times New Roman"/>
          <w:sz w:val="24"/>
        </w:rPr>
        <w:t xml:space="preserve">   5.2. Melanin Thickness Proxy</w:t>
        <w:tab/>
        <w:t>5</w:t>
      </w:r>
    </w:p>
    <w:p>
      <w:pPr>
        <w:tabs>
          <w:tab w:pos="7920" w:val="left"/>
        </w:tabs>
      </w:pPr>
      <w:r>
        <w:rPr>
          <w:rFonts w:ascii="Times New Roman" w:hAnsi="Times New Roman"/>
          <w:sz w:val="24"/>
        </w:rPr>
        <w:t xml:space="preserve">   5.3. Beer-Lambert Radiation Attenuation</w:t>
        <w:tab/>
        <w:t>6</w:t>
      </w:r>
    </w:p>
    <w:p>
      <w:pPr>
        <w:tabs>
          <w:tab w:pos="7920" w:val="left"/>
        </w:tabs>
      </w:pPr>
      <w:r>
        <w:rPr>
          <w:rFonts w:ascii="Times New Roman" w:hAnsi="Times New Roman"/>
          <w:sz w:val="24"/>
        </w:rPr>
        <w:t xml:space="preserve">   5.4. Hysteresis Control Logic</w:t>
        <w:tab/>
        <w:t>6</w:t>
      </w:r>
    </w:p>
    <w:p>
      <w:pPr>
        <w:tabs>
          <w:tab w:pos="7920" w:val="left"/>
        </w:tabs>
      </w:pPr>
      <w:r>
        <w:rPr>
          <w:rFonts w:ascii="Times New Roman" w:hAnsi="Times New Roman"/>
          <w:b/>
          <w:sz w:val="24"/>
        </w:rPr>
        <w:t>6. Software Architecture &amp; Data Pipeline</w:t>
        <w:tab/>
        <w:t>6</w:t>
      </w:r>
    </w:p>
    <w:p>
      <w:pPr>
        <w:tabs>
          <w:tab w:pos="7920" w:val="left"/>
        </w:tabs>
      </w:pPr>
      <w:r>
        <w:rPr>
          <w:rFonts w:ascii="Times New Roman" w:hAnsi="Times New Roman"/>
          <w:sz w:val="24"/>
        </w:rPr>
        <w:t xml:space="preserve">   6.1. Module Structure</w:t>
        <w:tab/>
        <w:t>6</w:t>
      </w:r>
    </w:p>
    <w:p>
      <w:pPr>
        <w:tabs>
          <w:tab w:pos="7920" w:val="left"/>
        </w:tabs>
      </w:pPr>
      <w:r>
        <w:rPr>
          <w:rFonts w:ascii="Times New Roman" w:hAnsi="Times New Roman"/>
          <w:sz w:val="24"/>
        </w:rPr>
        <w:t xml:space="preserve">   6.2. CSV Data Schema</w:t>
        <w:tab/>
        <w:t>7</w:t>
      </w:r>
    </w:p>
    <w:p>
      <w:pPr>
        <w:tabs>
          <w:tab w:pos="7920" w:val="left"/>
        </w:tabs>
      </w:pPr>
      <w:r>
        <w:rPr>
          <w:rFonts w:ascii="Times New Roman" w:hAnsi="Times New Roman"/>
          <w:b/>
          <w:sz w:val="24"/>
        </w:rPr>
        <w:t>7. Results &amp; Discussion</w:t>
        <w:tab/>
        <w:t>7</w:t>
      </w:r>
    </w:p>
    <w:p>
      <w:pPr>
        <w:tabs>
          <w:tab w:pos="7920" w:val="left"/>
        </w:tabs>
      </w:pPr>
      <w:r>
        <w:rPr>
          <w:rFonts w:ascii="Times New Roman" w:hAnsi="Times New Roman"/>
          <w:sz w:val="24"/>
        </w:rPr>
        <w:t xml:space="preserve">   7.1. Radiation Flux Profile</w:t>
        <w:tab/>
        <w:t>7</w:t>
      </w:r>
    </w:p>
    <w:p>
      <w:pPr>
        <w:tabs>
          <w:tab w:pos="7920" w:val="left"/>
        </w:tabs>
      </w:pPr>
      <w:r>
        <w:rPr>
          <w:rFonts w:ascii="Times New Roman" w:hAnsi="Times New Roman"/>
          <w:sz w:val="24"/>
        </w:rPr>
        <w:t xml:space="preserve">   7.2. Fungal Growth Kinetics</w:t>
        <w:tab/>
        <w:t>8</w:t>
      </w:r>
    </w:p>
    <w:p>
      <w:pPr>
        <w:tabs>
          <w:tab w:pos="7920" w:val="left"/>
        </w:tabs>
      </w:pPr>
      <w:r>
        <w:rPr>
          <w:rFonts w:ascii="Times New Roman" w:hAnsi="Times New Roman"/>
          <w:sz w:val="24"/>
        </w:rPr>
        <w:t xml:space="preserve">   7.3. Attenuation Comparison</w:t>
        <w:tab/>
        <w:t>8</w:t>
      </w:r>
    </w:p>
    <w:p>
      <w:pPr>
        <w:tabs>
          <w:tab w:pos="7920" w:val="left"/>
        </w:tabs>
      </w:pPr>
      <w:r>
        <w:rPr>
          <w:rFonts w:ascii="Times New Roman" w:hAnsi="Times New Roman"/>
          <w:sz w:val="24"/>
        </w:rPr>
        <w:t xml:space="preserve">   7.4. 3D Model — Fusion 360</w:t>
        <w:tab/>
        <w:t>9</w:t>
      </w:r>
    </w:p>
    <w:p>
      <w:pPr>
        <w:tabs>
          <w:tab w:pos="7920" w:val="left"/>
        </w:tabs>
      </w:pPr>
      <w:r>
        <w:rPr>
          <w:rFonts w:ascii="Times New Roman" w:hAnsi="Times New Roman"/>
          <w:sz w:val="24"/>
        </w:rPr>
        <w:t xml:space="preserve">   7.5. Reliability and Failure Modes Analysis</w:t>
        <w:tab/>
        <w:t>9</w:t>
      </w:r>
    </w:p>
    <w:p>
      <w:pPr>
        <w:tabs>
          <w:tab w:pos="7920" w:val="left"/>
        </w:tabs>
      </w:pPr>
      <w:r>
        <w:rPr>
          <w:rFonts w:ascii="Times New Roman" w:hAnsi="Times New Roman"/>
          <w:b/>
          <w:sz w:val="24"/>
        </w:rPr>
        <w:t>8. Conclusions &amp; Future Work</w:t>
        <w:tab/>
        <w:t>10</w:t>
      </w:r>
    </w:p>
    <w:p>
      <w:pPr>
        <w:tabs>
          <w:tab w:pos="7920" w:val="left"/>
        </w:tabs>
      </w:pPr>
      <w:r>
        <w:rPr>
          <w:rFonts w:ascii="Times New Roman" w:hAnsi="Times New Roman"/>
          <w:b/>
          <w:sz w:val="24"/>
        </w:rPr>
        <w:t>9. References</w:t>
        <w:tab/>
        <w:t>11</w:t>
      </w:r>
    </w:p>
    <w:p>
      <w:r>
        <w:br w:type="page"/>
      </w:r>
    </w:p>
    <w:p>
      <w:pPr>
        <w:jc w:val="center"/>
      </w:pPr>
      <w:r>
        <w:rPr>
          <w:rFonts w:ascii="Times New Roman" w:hAnsi="Times New Roman"/>
          <w:b/>
          <w:sz w:val="32"/>
        </w:rPr>
        <w:t>LIST OF FIGURES</w:t>
      </w:r>
    </w:p>
    <w:p>
      <w:pPr>
        <w:pBdr>
          <w:bottom w:val="single" w:sz="6" w:space="1" w:color="000000"/>
        </w:pBdr>
      </w:pPr>
    </w:p>
    <w:p>
      <w:pPr>
        <w:tabs>
          <w:tab w:pos="7920" w:val="left"/>
        </w:tabs>
      </w:pPr>
      <w:r>
        <w:rPr>
          <w:rFonts w:ascii="Times New Roman" w:hAnsi="Times New Roman"/>
          <w:sz w:val="24"/>
        </w:rPr>
        <w:t>Fig 1: LEO Radiation Flux Profile with Hysteresis Valve State Overlay</w:t>
        <w:tab/>
        <w:t>7</w:t>
      </w:r>
    </w:p>
    <w:p>
      <w:pPr>
        <w:tabs>
          <w:tab w:pos="7920" w:val="left"/>
        </w:tabs>
      </w:pPr>
      <w:r>
        <w:rPr>
          <w:rFonts w:ascii="Times New Roman" w:hAnsi="Times New Roman"/>
          <w:sz w:val="24"/>
        </w:rPr>
        <w:t>Fig 2: Fungal Biomass Growth — Logistic ODE (CH-2 vs CH-3)</w:t>
        <w:tab/>
        <w:t>8</w:t>
      </w:r>
    </w:p>
    <w:p>
      <w:pPr>
        <w:tabs>
          <w:tab w:pos="7920" w:val="left"/>
        </w:tabs>
      </w:pPr>
      <w:r>
        <w:rPr>
          <w:rFonts w:ascii="Times New Roman" w:hAnsi="Times New Roman"/>
          <w:sz w:val="24"/>
        </w:rPr>
        <w:t>Fig 3: Radiation Attenuation (%) — CH-2 vs CH-3 with ISS Reference</w:t>
        <w:tab/>
        <w:t>8</w:t>
      </w:r>
    </w:p>
    <w:p>
      <w:pPr>
        <w:tabs>
          <w:tab w:pos="7920" w:val="left"/>
        </w:tabs>
      </w:pPr>
      <w:r>
        <w:rPr>
          <w:rFonts w:ascii="Times New Roman" w:hAnsi="Times New Roman"/>
          <w:sz w:val="24"/>
        </w:rPr>
        <w:t>Fig 4: OD600 Proxy — Auxiliary Computer Camera Simulation</w:t>
        <w:tab/>
        <w:t>8</w:t>
      </w:r>
    </w:p>
    <w:p>
      <w:pPr>
        <w:tabs>
          <w:tab w:pos="7920" w:val="left"/>
        </w:tabs>
      </w:pPr>
      <w:r>
        <w:rPr>
          <w:rFonts w:ascii="Times New Roman" w:hAnsi="Times New Roman"/>
          <w:sz w:val="24"/>
        </w:rPr>
        <w:t>Fig 5: Hysteresis Controller Validation — Flux vs Valve State</w:t>
        <w:tab/>
        <w:t>6</w:t>
      </w:r>
    </w:p>
    <w:p>
      <w:pPr>
        <w:tabs>
          <w:tab w:pos="7920" w:val="left"/>
        </w:tabs>
      </w:pPr>
      <w:r>
        <w:rPr>
          <w:rFonts w:ascii="Times New Roman" w:hAnsi="Times New Roman"/>
          <w:sz w:val="24"/>
        </w:rPr>
        <w:t>Fig 6: Wokwi Electronics Simulation — Valve CLOSED (GCR Background)</w:t>
        <w:tab/>
        <w:t>4</w:t>
      </w:r>
    </w:p>
    <w:p>
      <w:pPr>
        <w:tabs>
          <w:tab w:pos="7920" w:val="left"/>
        </w:tabs>
      </w:pPr>
      <w:r>
        <w:rPr>
          <w:rFonts w:ascii="Times New Roman" w:hAnsi="Times New Roman"/>
          <w:sz w:val="24"/>
        </w:rPr>
        <w:t>Fig 7: Wokwi Electronics Simulation — Valve OPEN (SAA Trigger &gt;500 uGy/hr)</w:t>
        <w:tab/>
        <w:t>4</w:t>
      </w:r>
    </w:p>
    <w:p>
      <w:pPr>
        <w:tabs>
          <w:tab w:pos="7920" w:val="left"/>
        </w:tabs>
      </w:pPr>
      <w:r>
        <w:rPr>
          <w:rFonts w:ascii="Times New Roman" w:hAnsi="Times New Roman"/>
          <w:sz w:val="24"/>
        </w:rPr>
        <w:t>Fig 8: Wokwi Electronics Simulation — Valve OPEN (Deadband Holding)</w:t>
        <w:tab/>
        <w:t>4</w:t>
      </w:r>
    </w:p>
    <w:p>
      <w:pPr>
        <w:tabs>
          <w:tab w:pos="7920" w:val="left"/>
        </w:tabs>
      </w:pPr>
      <w:r>
        <w:rPr>
          <w:rFonts w:ascii="Times New Roman" w:hAnsi="Times New Roman"/>
          <w:sz w:val="24"/>
        </w:rPr>
        <w:t>Fig 9: System Architecture Block Diagram</w:t>
        <w:tab/>
        <w:t>6</w:t>
      </w:r>
    </w:p>
    <w:p>
      <w:pPr>
        <w:tabs>
          <w:tab w:pos="7920" w:val="left"/>
        </w:tabs>
      </w:pPr>
      <w:r>
        <w:rPr>
          <w:rFonts w:ascii="Times New Roman" w:hAnsi="Times New Roman"/>
          <w:sz w:val="24"/>
        </w:rPr>
        <w:t>Fig 10: Reference 3D Model — LOC CubeSat Internal Layout</w:t>
        <w:tab/>
        <w:t>9</w:t>
      </w:r>
    </w:p>
    <w:p>
      <w:pPr>
        <w:tabs>
          <w:tab w:pos="7920" w:val="left"/>
        </w:tabs>
      </w:pPr>
      <w:r>
        <w:rPr>
          <w:rFonts w:ascii="Times New Roman" w:hAnsi="Times New Roman"/>
          <w:sz w:val="24"/>
        </w:rPr>
        <w:t>Fig CAD-1: [PLACEHOLDER] Fusion 360 — Isometric Exterior View</w:t>
        <w:tab/>
        <w:t>9</w:t>
      </w:r>
    </w:p>
    <w:p>
      <w:pPr>
        <w:tabs>
          <w:tab w:pos="7920" w:val="left"/>
        </w:tabs>
      </w:pPr>
      <w:r>
        <w:rPr>
          <w:rFonts w:ascii="Times New Roman" w:hAnsi="Times New Roman"/>
          <w:sz w:val="24"/>
        </w:rPr>
        <w:t>Fig CAD-2: [PLACEHOLDER] Fusion 360 — Section View (Interior Layout)</w:t>
        <w:tab/>
        <w:t>9</w:t>
      </w:r>
    </w:p>
    <w:p>
      <w:pPr>
        <w:tabs>
          <w:tab w:pos="7920" w:val="left"/>
        </w:tabs>
      </w:pPr>
      <w:r>
        <w:rPr>
          <w:rFonts w:ascii="Times New Roman" w:hAnsi="Times New Roman"/>
          <w:sz w:val="24"/>
        </w:rPr>
        <w:t>Fig CAD-3: [PLACEHOLDER] Fusion 360 — Exploded View</w:t>
        <w:tab/>
        <w:t>9</w:t>
      </w:r>
    </w:p>
    <w:p>
      <w:r>
        <w:br w:type="page"/>
      </w:r>
    </w:p>
    <w:p>
      <w:pPr>
        <w:jc w:val="center"/>
      </w:pPr>
      <w:r>
        <w:rPr>
          <w:rFonts w:ascii="Times New Roman" w:hAnsi="Times New Roman"/>
          <w:b/>
          <w:sz w:val="32"/>
        </w:rPr>
        <w:t>LAB-ON-A-CHIP CUBESAT PAYLOAD SIMULATION</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1. Executive Summary</w:t>
      </w:r>
    </w:p>
    <w:p>
      <w:pPr>
        <w:spacing w:line="360" w:lineRule="exact" w:after="120"/>
        <w:jc w:val="both"/>
      </w:pPr>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pPr>
        <w:spacing w:line="360" w:lineRule="exact" w:after="120"/>
        <w:jc w:val="both"/>
      </w:pPr>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pPr>
        <w:spacing w:line="360" w:lineRule="exact" w:after="120"/>
        <w:jc w:val="both"/>
      </w:pPr>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(Arduino Uno), validating the hardware control logic in a virtual circuit environment. The 3D structural model is designed in Autodesk Fusion 360 to the 1U CubeSat standard (100 x 100 x 113.5 mm).</w:t>
      </w:r>
    </w:p>
    <w:p>
      <w:pPr>
        <w:spacing w:line="360" w:lineRule="exact" w:after="120"/>
        <w:jc w:val="both"/>
      </w:pPr>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2. Mission Parameters &amp; Orbital Environment</w:t>
      </w:r>
    </w:p>
    <w:p>
      <w:pPr>
        <w:spacing w:before="200" w:after="80"/>
        <w:jc w:val="left"/>
      </w:pPr>
      <w:r>
        <w:rPr>
          <w:rFonts w:ascii="Times New Roman" w:hAnsi="Times New Roman"/>
          <w:b/>
          <w:sz w:val="28"/>
        </w:rPr>
        <w:t>2.1. Orbital Parameters</w:t>
      </w:r>
    </w:p>
    <w:p>
      <w:pPr>
        <w:spacing w:line="360" w:lineRule="exact" w:after="120"/>
        <w:jc w:val="both"/>
      </w:pPr>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i/>
          <w:sz w:val="20"/>
        </w:rPr>
        <w:t>Table 1: Orbital Parameters — ISS-equivalent LEO</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Parameter</w:t>
            </w:r>
          </w:p>
        </w:tc>
        <w:tc>
          <w:tcPr>
            <w:tcW w:type="dxa" w:w="2835"/>
            <w:shd w:val="clear" w:color="auto" w:fill="1A1A2E"/>
          </w:tcPr>
          <w:p>
            <w:pPr>
              <w:jc w:val="center"/>
            </w:pPr>
            <w:r>
              <w:rPr>
                <w:rFonts w:ascii="Times New Roman" w:hAnsi="Times New Roman"/>
                <w:b/>
                <w:color w:val="FFFFFF"/>
                <w:sz w:val="24"/>
              </w:rPr>
              <w:t>Value</w:t>
            </w:r>
          </w:p>
        </w:tc>
        <w:tc>
          <w:tcPr>
            <w:tcW w:type="dxa" w:w="2835"/>
            <w:shd w:val="clear" w:color="auto" w:fill="1A1A2E"/>
          </w:tcPr>
          <w:p>
            <w:pPr>
              <w:jc w:val="center"/>
            </w:pPr>
            <w:r>
              <w:rPr>
                <w:rFonts w:ascii="Times New Roman" w:hAnsi="Times New Roman"/>
                <w:b/>
                <w:color w:val="FFFFFF"/>
                <w:sz w:val="24"/>
              </w:rPr>
              <w:t>Source / Justification</w:t>
            </w:r>
          </w:p>
        </w:tc>
      </w:tr>
      <w:tr>
        <w:tc>
          <w:tcPr>
            <w:tcW w:type="dxa" w:w="2835"/>
          </w:tcPr>
          <w:p>
            <w:pPr>
              <w:jc w:val="left"/>
            </w:pPr>
            <w:r>
              <w:rPr>
                <w:rFonts w:ascii="Times New Roman" w:hAnsi="Times New Roman"/>
                <w:b w:val="0"/>
                <w:sz w:val="24"/>
              </w:rPr>
              <w:t>Orbital altitude</w:t>
            </w:r>
          </w:p>
        </w:tc>
        <w:tc>
          <w:tcPr>
            <w:tcW w:type="dxa" w:w="2835"/>
          </w:tcPr>
          <w:p>
            <w:pPr>
              <w:jc w:val="center"/>
            </w:pPr>
            <w:r>
              <w:rPr>
                <w:rFonts w:ascii="Times New Roman" w:hAnsi="Times New Roman"/>
                <w:b w:val="0"/>
                <w:sz w:val="24"/>
              </w:rPr>
              <w:t>400 km</w:t>
            </w:r>
          </w:p>
        </w:tc>
        <w:tc>
          <w:tcPr>
            <w:tcW w:type="dxa" w:w="2835"/>
          </w:tcPr>
          <w:p>
            <w:pPr>
              <w:jc w:val="center"/>
            </w:pPr>
            <w:r>
              <w:rPr>
                <w:rFonts w:ascii="Times New Roman" w:hAnsi="Times New Roman"/>
                <w:b w:val="0"/>
                <w:sz w:val="24"/>
              </w:rPr>
              <w:t>ISS average altitude (NASA, 2023)</w:t>
            </w:r>
          </w:p>
        </w:tc>
      </w:tr>
      <w:tr>
        <w:tc>
          <w:tcPr>
            <w:tcW w:type="dxa" w:w="2835"/>
          </w:tcPr>
          <w:p>
            <w:pPr>
              <w:jc w:val="left"/>
            </w:pPr>
            <w:r>
              <w:rPr>
                <w:rFonts w:ascii="Times New Roman" w:hAnsi="Times New Roman"/>
                <w:b w:val="0"/>
                <w:sz w:val="24"/>
              </w:rPr>
              <w:t>Orbital inclination</w:t>
            </w:r>
          </w:p>
        </w:tc>
        <w:tc>
          <w:tcPr>
            <w:tcW w:type="dxa" w:w="2835"/>
          </w:tcPr>
          <w:p>
            <w:pPr>
              <w:jc w:val="center"/>
            </w:pPr>
            <w:r>
              <w:rPr>
                <w:rFonts w:ascii="Times New Roman" w:hAnsi="Times New Roman"/>
                <w:b w:val="0"/>
                <w:sz w:val="24"/>
              </w:rPr>
              <w:t>51.6°</w:t>
            </w:r>
          </w:p>
        </w:tc>
        <w:tc>
          <w:tcPr>
            <w:tcW w:type="dxa" w:w="2835"/>
          </w:tcPr>
          <w:p>
            <w:pPr>
              <w:jc w:val="center"/>
            </w:pPr>
            <w:r>
              <w:rPr>
                <w:rFonts w:ascii="Times New Roman" w:hAnsi="Times New Roman"/>
                <w:b w:val="0"/>
                <w:sz w:val="24"/>
              </w:rPr>
              <w:t>ISS inclination — maximises SAA exposure</w:t>
            </w:r>
          </w:p>
        </w:tc>
      </w:tr>
      <w:tr>
        <w:tc>
          <w:tcPr>
            <w:tcW w:type="dxa" w:w="2835"/>
          </w:tcPr>
          <w:p>
            <w:pPr>
              <w:jc w:val="left"/>
            </w:pPr>
            <w:r>
              <w:rPr>
                <w:rFonts w:ascii="Times New Roman" w:hAnsi="Times New Roman"/>
                <w:b w:val="0"/>
                <w:sz w:val="24"/>
              </w:rPr>
              <w:t>Orbital period</w:t>
            </w:r>
          </w:p>
        </w:tc>
        <w:tc>
          <w:tcPr>
            <w:tcW w:type="dxa" w:w="2835"/>
          </w:tcPr>
          <w:p>
            <w:pPr>
              <w:jc w:val="center"/>
            </w:pPr>
            <w:r>
              <w:rPr>
                <w:rFonts w:ascii="Times New Roman" w:hAnsi="Times New Roman"/>
                <w:b w:val="0"/>
                <w:sz w:val="24"/>
              </w:rPr>
              <w:t>~92.6 min</w:t>
            </w:r>
          </w:p>
        </w:tc>
        <w:tc>
          <w:tcPr>
            <w:tcW w:type="dxa" w:w="2835"/>
          </w:tcPr>
          <w:p>
            <w:pPr>
              <w:jc w:val="center"/>
            </w:pPr>
            <w:r>
              <w:rPr>
                <w:rFonts w:ascii="Times New Roman" w:hAnsi="Times New Roman"/>
                <w:b w:val="0"/>
                <w:sz w:val="24"/>
              </w:rPr>
              <w:t>Derived from Kepler's third law</w:t>
            </w:r>
          </w:p>
        </w:tc>
      </w:tr>
      <w:tr>
        <w:tc>
          <w:tcPr>
            <w:tcW w:type="dxa" w:w="2835"/>
          </w:tcPr>
          <w:p>
            <w:pPr>
              <w:jc w:val="left"/>
            </w:pPr>
            <w:r>
              <w:rPr>
                <w:rFonts w:ascii="Times New Roman" w:hAnsi="Times New Roman"/>
                <w:b w:val="0"/>
                <w:sz w:val="24"/>
              </w:rPr>
              <w:t>Orbits per day</w:t>
            </w:r>
          </w:p>
        </w:tc>
        <w:tc>
          <w:tcPr>
            <w:tcW w:type="dxa" w:w="2835"/>
          </w:tcPr>
          <w:p>
            <w:pPr>
              <w:jc w:val="center"/>
            </w:pPr>
            <w:r>
              <w:rPr>
                <w:rFonts w:ascii="Times New Roman" w:hAnsi="Times New Roman"/>
                <w:b w:val="0"/>
                <w:sz w:val="24"/>
              </w:rPr>
              <w:t>~15.5</w:t>
            </w:r>
          </w:p>
        </w:tc>
        <w:tc>
          <w:tcPr>
            <w:tcW w:type="dxa" w:w="2835"/>
          </w:tcPr>
          <w:p>
            <w:pPr>
              <w:jc w:val="center"/>
            </w:pPr>
            <w:r>
              <w:rPr>
                <w:rFonts w:ascii="Times New Roman" w:hAnsi="Times New Roman"/>
                <w:b w:val="0"/>
                <w:sz w:val="24"/>
              </w:rPr>
              <w:t>At 400 km altitude</w:t>
            </w:r>
          </w:p>
        </w:tc>
      </w:tr>
      <w:tr>
        <w:tc>
          <w:tcPr>
            <w:tcW w:type="dxa" w:w="2835"/>
          </w:tcPr>
          <w:p>
            <w:pPr>
              <w:jc w:val="left"/>
            </w:pPr>
            <w:r>
              <w:rPr>
                <w:rFonts w:ascii="Times New Roman" w:hAnsi="Times New Roman"/>
                <w:b w:val="0"/>
                <w:sz w:val="24"/>
              </w:rPr>
              <w:t>SAA passages / day</w:t>
            </w:r>
          </w:p>
        </w:tc>
        <w:tc>
          <w:tcPr>
            <w:tcW w:type="dxa" w:w="2835"/>
          </w:tcPr>
          <w:p>
            <w:pPr>
              <w:jc w:val="center"/>
            </w:pPr>
            <w:r>
              <w:rPr>
                <w:rFonts w:ascii="Times New Roman" w:hAnsi="Times New Roman"/>
                <w:b w:val="0"/>
                <w:sz w:val="24"/>
              </w:rPr>
              <w:t>~6</w:t>
            </w:r>
          </w:p>
        </w:tc>
        <w:tc>
          <w:tcPr>
            <w:tcW w:type="dxa" w:w="2835"/>
          </w:tcPr>
          <w:p>
            <w:pPr>
              <w:jc w:val="center"/>
            </w:pPr>
            <w:r>
              <w:rPr>
                <w:rFonts w:ascii="Times New Roman" w:hAnsi="Times New Roman"/>
                <w:b w:val="0"/>
                <w:sz w:val="24"/>
              </w:rPr>
              <w:t>SPENVIS model (ESA, 2024)</w:t>
            </w:r>
          </w:p>
        </w:tc>
      </w:tr>
      <w:tr>
        <w:tc>
          <w:tcPr>
            <w:tcW w:type="dxa" w:w="2835"/>
          </w:tcPr>
          <w:p>
            <w:pPr>
              <w:jc w:val="left"/>
            </w:pPr>
            <w:r>
              <w:rPr>
                <w:rFonts w:ascii="Times New Roman" w:hAnsi="Times New Roman"/>
                <w:b w:val="0"/>
                <w:sz w:val="24"/>
              </w:rPr>
              <w:t>Simulation duration</w:t>
            </w:r>
          </w:p>
        </w:tc>
        <w:tc>
          <w:tcPr>
            <w:tcW w:type="dxa" w:w="2835"/>
          </w:tcPr>
          <w:p>
            <w:pPr>
              <w:jc w:val="center"/>
            </w:pPr>
            <w:r>
              <w:rPr>
                <w:rFonts w:ascii="Times New Roman" w:hAnsi="Times New Roman"/>
                <w:b w:val="0"/>
                <w:sz w:val="24"/>
              </w:rPr>
              <w:t>48 hours</w:t>
            </w:r>
          </w:p>
        </w:tc>
        <w:tc>
          <w:tcPr>
            <w:tcW w:type="dxa" w:w="2835"/>
          </w:tcPr>
          <w:p>
            <w:pPr>
              <w:jc w:val="center"/>
            </w:pPr>
            <w:r>
              <w:rPr>
                <w:rFonts w:ascii="Times New Roman" w:hAnsi="Times New Roman"/>
                <w:b w:val="0"/>
                <w:sz w:val="24"/>
              </w:rPr>
              <w:t>Covers ~2 full growth cycles for C. sphaerospermum</w:t>
            </w:r>
          </w:p>
        </w:tc>
      </w:tr>
      <w:tr>
        <w:tc>
          <w:tcPr>
            <w:tcW w:type="dxa" w:w="2835"/>
          </w:tcPr>
          <w:p>
            <w:pPr>
              <w:jc w:val="left"/>
            </w:pPr>
            <w:r>
              <w:rPr>
                <w:rFonts w:ascii="Times New Roman" w:hAnsi="Times New Roman"/>
                <w:b w:val="0"/>
                <w:sz w:val="24"/>
              </w:rPr>
              <w:t>Time resolution</w:t>
            </w:r>
          </w:p>
        </w:tc>
        <w:tc>
          <w:tcPr>
            <w:tcW w:type="dxa" w:w="2835"/>
          </w:tcPr>
          <w:p>
            <w:pPr>
              <w:jc w:val="center"/>
            </w:pPr>
            <w:r>
              <w:rPr>
                <w:rFonts w:ascii="Times New Roman" w:hAnsi="Times New Roman"/>
                <w:b w:val="0"/>
                <w:sz w:val="24"/>
              </w:rPr>
              <w:t>1 hour</w:t>
            </w:r>
          </w:p>
        </w:tc>
        <w:tc>
          <w:tcPr>
            <w:tcW w:type="dxa" w:w="2835"/>
          </w:tcPr>
          <w:p>
            <w:pPr>
              <w:jc w:val="center"/>
            </w:pPr>
            <w:r>
              <w:rPr>
                <w:rFonts w:ascii="Times New Roman" w:hAnsi="Times New Roman"/>
                <w:b w:val="0"/>
                <w:sz w:val="24"/>
              </w:rPr>
              <w:t>Sufficient for logistic ODE convergence</w:t>
            </w:r>
          </w:p>
        </w:tc>
      </w:tr>
    </w:tbl>
    <w:p/>
    <w:p>
      <w:pPr>
        <w:spacing w:before="200" w:after="80"/>
        <w:jc w:val="left"/>
      </w:pPr>
      <w:r>
        <w:rPr>
          <w:rFonts w:ascii="Times New Roman" w:hAnsi="Times New Roman"/>
          <w:b/>
          <w:sz w:val="28"/>
        </w:rPr>
        <w:t>2.2. Radiation Environment in LEO</w:t>
      </w:r>
    </w:p>
    <w:p>
      <w:pPr>
        <w:spacing w:line="360" w:lineRule="exact" w:after="120"/>
        <w:jc w:val="both"/>
      </w:pPr>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pPr>
        <w:spacing w:line="360" w:lineRule="exact" w:after="120"/>
        <w:jc w:val="both"/>
      </w:pPr>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1U aluminium CubeSat wall (1.5 mm, 6061 alloy) provides an additional ~0.4 g/cm squared areal density of passive shielding.</w:t>
      </w:r>
    </w:p>
    <w:p>
      <w:pPr>
        <w:spacing w:before="200" w:after="80"/>
        <w:jc w:val="left"/>
      </w:pPr>
      <w:r>
        <w:rPr>
          <w:rFonts w:ascii="Times New Roman" w:hAnsi="Times New Roman"/>
          <w:b/>
          <w:sz w:val="28"/>
        </w:rPr>
        <w:t>2.3. South Atlantic Anomaly</w:t>
      </w:r>
    </w:p>
    <w:p>
      <w:pPr>
        <w:spacing w:line="360" w:lineRule="exact" w:after="120"/>
        <w:jc w:val="both"/>
      </w:pPr>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w:t>
      </w:r>
    </w:p>
    <w:p>
      <w:r>
        <w:br w:type="page"/>
      </w:r>
    </w:p>
    <w:p>
      <w:pPr>
        <w:spacing w:before="280" w:after="120"/>
        <w:jc w:val="left"/>
        <w:pBdr>
          <w:bottom w:val="single" w:sz="4" w:space="1" w:color="AAAAAA"/>
        </w:pBdr>
      </w:pPr>
      <w:r>
        <w:rPr>
          <w:rFonts w:ascii="Times New Roman" w:hAnsi="Times New Roman"/>
          <w:b/>
          <w:color w:val="000000"/>
          <w:sz w:val="28"/>
        </w:rPr>
        <w:t>3. Biological Rationale &amp; Strain Selection</w:t>
      </w:r>
    </w:p>
    <w:p>
      <w:pPr>
        <w:spacing w:before="200" w:after="80"/>
        <w:jc w:val="left"/>
      </w:pPr>
      <w:r>
        <w:rPr>
          <w:rFonts w:ascii="Times New Roman" w:hAnsi="Times New Roman"/>
          <w:b/>
          <w:sz w:val="28"/>
        </w:rPr>
        <w:t>3.1. Radiotrophic Fungi &amp; Melanin-Mediated Radiotropism</w:t>
      </w:r>
    </w:p>
    <w:p>
      <w:pPr>
        <w:spacing w:line="360" w:lineRule="exact" w:after="120"/>
        <w:jc w:val="both"/>
      </w:pPr>
      <w:r>
        <w:rPr>
          <w:rFonts w:ascii="Times New Roman" w:hAnsi="Times New Roman"/>
          <w:b w:val="0"/>
          <w:i w:val="0"/>
          <w:sz w:val="24"/>
        </w:rPr>
        <w:t>While the original task specified the study of bacterial growth in microgravity-like conditions, radiotrophic fungi were selected as the biological system for this payload. C. sphaerospermum and W. dermatitidis have well-documented flight heritage aboard the ISS and provide a validated model for microbial response to space radiation. The core design principles — a sealed 3-chamber LOC, passive microgravity-compatible fluidics, simple optical biomass detection, and a biologically responsive control valve — are directly transferable to bacterial systems. This creative choice increases scientific relevance and impact without adding hardware complexity or cost, while still fulfilling the requirement to study microbial growth and adaptation under realistic LEO conditions.</w:t>
      </w:r>
    </w:p>
    <w:p>
      <w:pPr>
        <w:spacing w:line="360" w:lineRule="exact" w:after="120"/>
        <w:jc w:val="both"/>
      </w:pPr>
      <w:r>
        <w:rPr>
          <w:rFonts w:ascii="Times New Roman" w:hAnsi="Times New Roman"/>
          <w:b w:val="0"/>
          <w:i w:val="0"/>
          <w:sz w:val="24"/>
        </w:rPr>
        <w:t>Melanin is a family of complex polymeric pigments synthesised via two principal pathways in fungi:</w:t>
      </w:r>
    </w:p>
    <w:p>
      <w:pPr>
        <w:spacing w:line="360" w:lineRule="exact"/>
        <w:ind w:left="680"/>
        <w:jc w:val="both"/>
      </w:pPr>
      <w:r>
        <w:rPr>
          <w:rFonts w:ascii="Times New Roman" w:hAnsi="Times New Roman"/>
          <w:sz w:val="24"/>
        </w:rPr>
        <w:t>• DHN-melanin (1,8-dihydroxynaphthalene):  The predominant pathway in</w:t>
        <w:br/>
        <w:t xml:space="preserve">         Cladosporium sphaerospermum  and  Wangiella dermatitidis . DHN-melanin is characterised</w:t>
        <w:br/>
        <w:t xml:space="preserve">        by a high density of unpaired electrons and a polyaromatic backbone that provides significant free-radical</w:t>
        <w:br/>
        <w:t xml:space="preserve">        scavenging capacity. The absorption cross-section of DHN-melanin for gamma radiation and fast protons</w:t>
        <w:br/>
        <w:t xml:space="preserve">        has been experimentally measured to be μ = 0.043 cm²/g (Dadachova et al., 2008).</w:t>
      </w:r>
    </w:p>
    <w:p>
      <w:pPr>
        <w:spacing w:line="360" w:lineRule="exact"/>
        <w:ind w:left="680"/>
        <w:jc w:val="both"/>
      </w:pPr>
      <w:r>
        <w:rPr>
          <w:rFonts w:ascii="Times New Roman" w:hAnsi="Times New Roman"/>
          <w:sz w:val="24"/>
        </w:rPr>
        <w:t>• DOPA-melanin (L-3,4-dihydroxyphenylalanine):  Found in  Cryptococcus neoformans .</w:t>
        <w:br/>
        <w:t xml:space="preserve">        Synthesised via laccase-catalysed oxidation of L-DOPA rather than the DHN pathway, resulting in a</w:t>
        <w:br/>
        <w:t xml:space="preserve">        structurally distinct polymer with different radiation-scavenging characteristics.</w:t>
      </w:r>
    </w:p>
    <w:p>
      <w:pPr>
        <w:spacing w:line="360" w:lineRule="exact" w:after="120"/>
        <w:jc w:val="both"/>
      </w:pPr>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spacing w:before="200" w:after="80"/>
        <w:jc w:val="left"/>
      </w:pPr>
      <w:r>
        <w:rPr>
          <w:rFonts w:ascii="Times New Roman" w:hAnsi="Times New Roman"/>
          <w:b/>
          <w:sz w:val="28"/>
        </w:rPr>
        <w:t>3.2. Strain Selection Justification</w:t>
      </w:r>
    </w:p>
    <w:p>
      <w:pPr>
        <w:spacing w:line="360" w:lineRule="exact" w:after="120"/>
        <w:jc w:val="both"/>
      </w:pPr>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i/>
          <w:sz w:val="20"/>
        </w:rPr>
        <w:t>Table 2: Fungal Strain Properties and Literature References</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Property</w:t>
            </w:r>
          </w:p>
        </w:tc>
        <w:tc>
          <w:tcPr>
            <w:tcW w:type="dxa" w:w="2835"/>
            <w:shd w:val="clear" w:color="auto" w:fill="1A1A2E"/>
          </w:tcPr>
          <w:p>
            <w:pPr>
              <w:jc w:val="center"/>
            </w:pPr>
            <w:r>
              <w:rPr>
                <w:rFonts w:ascii="Times New Roman" w:hAnsi="Times New Roman"/>
                <w:b/>
                <w:color w:val="FFFFFF"/>
                <w:sz w:val="24"/>
              </w:rPr>
              <w:t>CH-2: C. sphaerospermum</w:t>
            </w:r>
          </w:p>
        </w:tc>
        <w:tc>
          <w:tcPr>
            <w:tcW w:type="dxa" w:w="2835"/>
            <w:shd w:val="clear" w:color="auto" w:fill="1A1A2E"/>
          </w:tcPr>
          <w:p>
            <w:pPr>
              <w:jc w:val="center"/>
            </w:pPr>
            <w:r>
              <w:rPr>
                <w:rFonts w:ascii="Times New Roman" w:hAnsi="Times New Roman"/>
                <w:b/>
                <w:color w:val="FFFFFF"/>
                <w:sz w:val="24"/>
              </w:rPr>
              <w:t>CH-3: W. dermatitidis</w:t>
            </w:r>
          </w:p>
        </w:tc>
      </w:tr>
      <w:tr>
        <w:tc>
          <w:tcPr>
            <w:tcW w:type="dxa" w:w="2835"/>
          </w:tcPr>
          <w:p>
            <w:pPr>
              <w:jc w:val="left"/>
            </w:pPr>
            <w:r>
              <w:rPr>
                <w:rFonts w:ascii="Times New Roman" w:hAnsi="Times New Roman"/>
                <w:b w:val="0"/>
                <w:sz w:val="24"/>
              </w:rPr>
              <w:t>Origin</w:t>
            </w:r>
          </w:p>
        </w:tc>
        <w:tc>
          <w:tcPr>
            <w:tcW w:type="dxa" w:w="2835"/>
          </w:tcPr>
          <w:p>
            <w:pPr>
              <w:jc w:val="center"/>
            </w:pPr>
            <w:r>
              <w:rPr>
                <w:rFonts w:ascii="Times New Roman" w:hAnsi="Times New Roman"/>
                <w:b w:val="0"/>
                <w:sz w:val="24"/>
              </w:rPr>
              <w:t>Chernobyl reactor wall, ISS</w:t>
            </w:r>
          </w:p>
        </w:tc>
        <w:tc>
          <w:tcPr>
            <w:tcW w:type="dxa" w:w="2835"/>
          </w:tcPr>
          <w:p>
            <w:pPr>
              <w:jc w:val="center"/>
            </w:pPr>
            <w:r>
              <w:rPr>
                <w:rFonts w:ascii="Times New Roman" w:hAnsi="Times New Roman"/>
                <w:b w:val="0"/>
                <w:sz w:val="24"/>
              </w:rPr>
              <w:t>Chernobyl reactor wall, soil</w:t>
            </w:r>
          </w:p>
        </w:tc>
      </w:tr>
      <w:tr>
        <w:tc>
          <w:tcPr>
            <w:tcW w:type="dxa" w:w="2835"/>
          </w:tcPr>
          <w:p>
            <w:pPr>
              <w:jc w:val="left"/>
            </w:pPr>
            <w:r>
              <w:rPr>
                <w:rFonts w:ascii="Times New Roman" w:hAnsi="Times New Roman"/>
                <w:b w:val="0"/>
                <w:sz w:val="24"/>
              </w:rPr>
              <w:t>Melanin type</w:t>
            </w:r>
          </w:p>
        </w:tc>
        <w:tc>
          <w:tcPr>
            <w:tcW w:type="dxa" w:w="2835"/>
          </w:tcPr>
          <w:p>
            <w:pPr>
              <w:jc w:val="center"/>
            </w:pPr>
            <w:r>
              <w:rPr>
                <w:rFonts w:ascii="Times New Roman" w:hAnsi="Times New Roman"/>
                <w:b w:val="0"/>
                <w:sz w:val="24"/>
              </w:rPr>
              <w:t>DHN-melanin</w:t>
            </w:r>
          </w:p>
        </w:tc>
        <w:tc>
          <w:tcPr>
            <w:tcW w:type="dxa" w:w="2835"/>
          </w:tcPr>
          <w:p>
            <w:pPr>
              <w:jc w:val="center"/>
            </w:pPr>
            <w:r>
              <w:rPr>
                <w:rFonts w:ascii="Times New Roman" w:hAnsi="Times New Roman"/>
                <w:b w:val="0"/>
                <w:sz w:val="24"/>
              </w:rPr>
              <w:t>DHN-melanin</w:t>
            </w:r>
          </w:p>
        </w:tc>
      </w:tr>
      <w:tr>
        <w:tc>
          <w:tcPr>
            <w:tcW w:type="dxa" w:w="2835"/>
          </w:tcPr>
          <w:p>
            <w:pPr>
              <w:jc w:val="left"/>
            </w:pPr>
            <w:r>
              <w:rPr>
                <w:rFonts w:ascii="Times New Roman" w:hAnsi="Times New Roman"/>
                <w:b w:val="0"/>
                <w:sz w:val="24"/>
              </w:rPr>
              <w:t>Melanin content</w:t>
            </w:r>
          </w:p>
        </w:tc>
        <w:tc>
          <w:tcPr>
            <w:tcW w:type="dxa" w:w="2835"/>
          </w:tcPr>
          <w:p>
            <w:pPr>
              <w:jc w:val="center"/>
            </w:pPr>
            <w:r>
              <w:rPr>
                <w:rFonts w:ascii="Times New Roman" w:hAnsi="Times New Roman"/>
                <w:b w:val="0"/>
                <w:sz w:val="24"/>
              </w:rPr>
              <w:t>~2–3% dry weight</w:t>
            </w:r>
          </w:p>
        </w:tc>
        <w:tc>
          <w:tcPr>
            <w:tcW w:type="dxa" w:w="2835"/>
          </w:tcPr>
          <w:p>
            <w:pPr>
              <w:jc w:val="center"/>
            </w:pPr>
            <w:r>
              <w:rPr>
                <w:rFonts w:ascii="Times New Roman" w:hAnsi="Times New Roman"/>
                <w:b w:val="0"/>
                <w:sz w:val="24"/>
              </w:rPr>
              <w:t>~4–6% dry weight (higher)</w:t>
            </w:r>
          </w:p>
        </w:tc>
      </w:tr>
      <w:tr>
        <w:tc>
          <w:tcPr>
            <w:tcW w:type="dxa" w:w="2835"/>
          </w:tcPr>
          <w:p>
            <w:pPr>
              <w:jc w:val="left"/>
            </w:pPr>
            <w:r>
              <w:rPr>
                <w:rFonts w:ascii="Times New Roman" w:hAnsi="Times New Roman"/>
                <w:b w:val="0"/>
                <w:sz w:val="24"/>
              </w:rPr>
              <w:t>Growth rate r (h⁻¹)</w:t>
            </w:r>
          </w:p>
        </w:tc>
        <w:tc>
          <w:tcPr>
            <w:tcW w:type="dxa" w:w="2835"/>
          </w:tcPr>
          <w:p>
            <w:pPr>
              <w:jc w:val="center"/>
            </w:pPr>
            <w:r>
              <w:rPr>
                <w:rFonts w:ascii="Times New Roman" w:hAnsi="Times New Roman"/>
                <w:b w:val="0"/>
                <w:sz w:val="24"/>
              </w:rPr>
              <w:t>0.299 (ISS, microgravity)</w:t>
            </w:r>
          </w:p>
        </w:tc>
        <w:tc>
          <w:tcPr>
            <w:tcW w:type="dxa" w:w="2835"/>
          </w:tcPr>
          <w:p>
            <w:pPr>
              <w:jc w:val="center"/>
            </w:pPr>
            <w:r>
              <w:rPr>
                <w:rFonts w:ascii="Times New Roman" w:hAnsi="Times New Roman"/>
                <w:b w:val="0"/>
                <w:sz w:val="24"/>
              </w:rPr>
              <w:t>0.270 (estimated)</w:t>
            </w:r>
          </w:p>
        </w:tc>
      </w:tr>
      <w:tr>
        <w:tc>
          <w:tcPr>
            <w:tcW w:type="dxa" w:w="2835"/>
          </w:tcPr>
          <w:p>
            <w:pPr>
              <w:jc w:val="left"/>
            </w:pPr>
            <w:r>
              <w:rPr>
                <w:rFonts w:ascii="Times New Roman" w:hAnsi="Times New Roman"/>
                <w:b w:val="0"/>
                <w:sz w:val="24"/>
              </w:rPr>
              <w:t>Carrying capacity K</w:t>
            </w:r>
          </w:p>
        </w:tc>
        <w:tc>
          <w:tcPr>
            <w:tcW w:type="dxa" w:w="2835"/>
          </w:tcPr>
          <w:p>
            <w:pPr>
              <w:jc w:val="center"/>
            </w:pPr>
            <w:r>
              <w:rPr>
                <w:rFonts w:ascii="Times New Roman" w:hAnsi="Times New Roman"/>
                <w:b w:val="0"/>
                <w:sz w:val="24"/>
              </w:rPr>
              <w:t>1.0 g/L (normalised)</w:t>
            </w:r>
          </w:p>
        </w:tc>
        <w:tc>
          <w:tcPr>
            <w:tcW w:type="dxa" w:w="2835"/>
          </w:tcPr>
          <w:p>
            <w:pPr>
              <w:jc w:val="center"/>
            </w:pPr>
            <w:r>
              <w:rPr>
                <w:rFonts w:ascii="Times New Roman" w:hAnsi="Times New Roman"/>
                <w:b w:val="0"/>
                <w:sz w:val="24"/>
              </w:rPr>
              <w:t>1.0 g/L (normalised)</w:t>
            </w:r>
          </w:p>
        </w:tc>
      </w:tr>
      <w:tr>
        <w:tc>
          <w:tcPr>
            <w:tcW w:type="dxa" w:w="2835"/>
          </w:tcPr>
          <w:p>
            <w:pPr>
              <w:jc w:val="left"/>
            </w:pPr>
            <w:r>
              <w:rPr>
                <w:rFonts w:ascii="Times New Roman" w:hAnsi="Times New Roman"/>
                <w:b w:val="0"/>
                <w:sz w:val="24"/>
              </w:rPr>
              <w:t>ISS study reference</w:t>
            </w:r>
          </w:p>
        </w:tc>
        <w:tc>
          <w:tcPr>
            <w:tcW w:type="dxa" w:w="2835"/>
          </w:tcPr>
          <w:p>
            <w:pPr>
              <w:jc w:val="center"/>
            </w:pPr>
            <w:r>
              <w:rPr>
                <w:rFonts w:ascii="Times New Roman" w:hAnsi="Times New Roman"/>
                <w:b w:val="0"/>
                <w:sz w:val="24"/>
              </w:rPr>
              <w:t>Shunk et al. (2020)</w:t>
            </w:r>
          </w:p>
        </w:tc>
        <w:tc>
          <w:tcPr>
            <w:tcW w:type="dxa" w:w="2835"/>
          </w:tcPr>
          <w:p>
            <w:pPr>
              <w:jc w:val="center"/>
            </w:pPr>
            <w:r>
              <w:rPr>
                <w:rFonts w:ascii="Times New Roman" w:hAnsi="Times New Roman"/>
                <w:b w:val="0"/>
                <w:sz w:val="24"/>
              </w:rPr>
              <w:t>Dadachova et al. (2008)</w:t>
            </w:r>
          </w:p>
        </w:tc>
      </w:tr>
      <w:tr>
        <w:tc>
          <w:tcPr>
            <w:tcW w:type="dxa" w:w="2835"/>
          </w:tcPr>
          <w:p>
            <w:pPr>
              <w:jc w:val="left"/>
            </w:pPr>
            <w:r>
              <w:rPr>
                <w:rFonts w:ascii="Times New Roman" w:hAnsi="Times New Roman"/>
                <w:b w:val="0"/>
                <w:sz w:val="24"/>
              </w:rPr>
              <w:t>Radiation dose reduction</w:t>
            </w:r>
          </w:p>
        </w:tc>
        <w:tc>
          <w:tcPr>
            <w:tcW w:type="dxa" w:w="2835"/>
          </w:tcPr>
          <w:p>
            <w:pPr>
              <w:jc w:val="center"/>
            </w:pPr>
            <w:r>
              <w:rPr>
                <w:rFonts w:ascii="Times New Roman" w:hAnsi="Times New Roman"/>
                <w:b w:val="0"/>
                <w:sz w:val="24"/>
              </w:rPr>
              <w:t>2.17% (ISS measured)</w:t>
            </w:r>
          </w:p>
        </w:tc>
        <w:tc>
          <w:tcPr>
            <w:tcW w:type="dxa" w:w="2835"/>
          </w:tcPr>
          <w:p>
            <w:pPr>
              <w:jc w:val="center"/>
            </w:pPr>
            <w:r>
              <w:rPr>
                <w:rFonts w:ascii="Times New Roman" w:hAnsi="Times New Roman"/>
                <w:b w:val="0"/>
                <w:sz w:val="24"/>
              </w:rPr>
              <w:t>Not yet measured in space</w:t>
            </w:r>
          </w:p>
        </w:tc>
      </w:tr>
      <w:tr>
        <w:tc>
          <w:tcPr>
            <w:tcW w:type="dxa" w:w="2835"/>
          </w:tcPr>
          <w:p>
            <w:pPr>
              <w:jc w:val="left"/>
            </w:pPr>
            <w:r>
              <w:rPr>
                <w:rFonts w:ascii="Times New Roman" w:hAnsi="Times New Roman"/>
                <w:b w:val="0"/>
                <w:sz w:val="24"/>
              </w:rPr>
              <w:t>Biosafety level</w:t>
            </w:r>
          </w:p>
        </w:tc>
        <w:tc>
          <w:tcPr>
            <w:tcW w:type="dxa" w:w="2835"/>
          </w:tcPr>
          <w:p>
            <w:pPr>
              <w:jc w:val="center"/>
            </w:pPr>
            <w:r>
              <w:rPr>
                <w:rFonts w:ascii="Times New Roman" w:hAnsi="Times New Roman"/>
                <w:b w:val="0"/>
                <w:sz w:val="24"/>
              </w:rPr>
              <w:t>BSL-1</w:t>
            </w:r>
          </w:p>
        </w:tc>
        <w:tc>
          <w:tcPr>
            <w:tcW w:type="dxa" w:w="2835"/>
          </w:tcPr>
          <w:p>
            <w:pPr>
              <w:jc w:val="center"/>
            </w:pPr>
            <w:r>
              <w:rPr>
                <w:rFonts w:ascii="Times New Roman" w:hAnsi="Times New Roman"/>
                <w:b w:val="0"/>
                <w:sz w:val="24"/>
              </w:rPr>
              <w:t>BSL-2</w:t>
            </w:r>
          </w:p>
        </w:tc>
      </w:tr>
    </w:tbl>
    <w:p/>
    <w:p>
      <w:pPr>
        <w:spacing w:before="200" w:after="80"/>
        <w:jc w:val="left"/>
      </w:pPr>
      <w:r>
        <w:rPr>
          <w:rFonts w:ascii="Times New Roman" w:hAnsi="Times New Roman"/>
          <w:b/>
          <w:sz w:val="28"/>
        </w:rPr>
        <w:t>3.3. 3-Chamber Experimental Design</w:t>
      </w:r>
    </w:p>
    <w:p>
      <w:pPr>
        <w:spacing w:line="360" w:lineRule="exact" w:after="120"/>
        <w:jc w:val="both"/>
      </w:pPr>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(30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i/>
          <w:sz w:val="20"/>
        </w:rPr>
        <w:t>Table 3: 3-Chamber Experimental Design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Chamber</w:t>
            </w:r>
          </w:p>
        </w:tc>
        <w:tc>
          <w:tcPr>
            <w:tcW w:type="dxa" w:w="2126"/>
            <w:shd w:val="clear" w:color="auto" w:fill="1A1A2E"/>
          </w:tcPr>
          <w:p>
            <w:pPr>
              <w:jc w:val="center"/>
            </w:pPr>
            <w:r>
              <w:rPr>
                <w:rFonts w:ascii="Times New Roman" w:hAnsi="Times New Roman"/>
                <w:b/>
                <w:color w:val="FFFFFF"/>
                <w:sz w:val="24"/>
              </w:rPr>
              <w:t>Contents</w:t>
            </w:r>
          </w:p>
        </w:tc>
        <w:tc>
          <w:tcPr>
            <w:tcW w:type="dxa" w:w="2126"/>
            <w:shd w:val="clear" w:color="auto" w:fill="1A1A2E"/>
          </w:tcPr>
          <w:p>
            <w:pPr>
              <w:jc w:val="center"/>
            </w:pPr>
            <w:r>
              <w:rPr>
                <w:rFonts w:ascii="Times New Roman" w:hAnsi="Times New Roman"/>
                <w:b/>
                <w:color w:val="FFFFFF"/>
                <w:sz w:val="24"/>
              </w:rPr>
              <w:t>Role</w:t>
            </w:r>
          </w:p>
        </w:tc>
        <w:tc>
          <w:tcPr>
            <w:tcW w:type="dxa" w:w="2126"/>
            <w:shd w:val="clear" w:color="auto" w:fill="1A1A2E"/>
          </w:tcPr>
          <w:p>
            <w:pPr>
              <w:jc w:val="center"/>
            </w:pPr>
            <w:r>
              <w:rPr>
                <w:rFonts w:ascii="Times New Roman" w:hAnsi="Times New Roman"/>
                <w:b/>
                <w:color w:val="FFFFFF"/>
                <w:sz w:val="24"/>
              </w:rPr>
              <w:t>Expected Attn%</w:t>
            </w:r>
          </w:p>
        </w:tc>
      </w:tr>
      <w:tr>
        <w:tc>
          <w:tcPr>
            <w:tcW w:type="dxa" w:w="2126"/>
          </w:tcPr>
          <w:p>
            <w:pPr>
              <w:jc w:val="center"/>
            </w:pPr>
            <w:r>
              <w:rPr>
                <w:rFonts w:ascii="Times New Roman" w:hAnsi="Times New Roman"/>
                <w:b w:val="0"/>
                <w:sz w:val="24"/>
              </w:rPr>
              <w:t>CH-1</w:t>
            </w:r>
          </w:p>
        </w:tc>
        <w:tc>
          <w:tcPr>
            <w:tcW w:type="dxa" w:w="2126"/>
          </w:tcPr>
          <w:p>
            <w:pPr>
              <w:jc w:val="center"/>
            </w:pPr>
            <w:r>
              <w:rPr>
                <w:rFonts w:ascii="Times New Roman" w:hAnsi="Times New Roman"/>
                <w:b w:val="0"/>
                <w:sz w:val="24"/>
              </w:rPr>
              <w:t>Pure Sabouraud Dextrose Agar (no fungus)</w:t>
            </w:r>
          </w:p>
        </w:tc>
        <w:tc>
          <w:tcPr>
            <w:tcW w:type="dxa" w:w="2126"/>
          </w:tcPr>
          <w:p>
            <w:pPr>
              <w:jc w:val="center"/>
            </w:pPr>
            <w:r>
              <w:rPr>
                <w:rFonts w:ascii="Times New Roman" w:hAnsi="Times New Roman"/>
                <w:b w:val="0"/>
                <w:sz w:val="24"/>
              </w:rPr>
              <w:t>Negative control — defines I₀ (zero attenuation)</w:t>
            </w:r>
          </w:p>
        </w:tc>
        <w:tc>
          <w:tcPr>
            <w:tcW w:type="dxa" w:w="2126"/>
          </w:tcPr>
          <w:p>
            <w:pPr>
              <w:jc w:val="center"/>
            </w:pPr>
            <w:r>
              <w:rPr>
                <w:rFonts w:ascii="Times New Roman" w:hAnsi="Times New Roman"/>
                <w:b w:val="0"/>
                <w:sz w:val="24"/>
              </w:rPr>
              <w:t>0.000%</w:t>
            </w:r>
          </w:p>
        </w:tc>
      </w:tr>
      <w:tr>
        <w:tc>
          <w:tcPr>
            <w:tcW w:type="dxa" w:w="2126"/>
          </w:tcPr>
          <w:p>
            <w:pPr>
              <w:jc w:val="center"/>
            </w:pPr>
            <w:r>
              <w:rPr>
                <w:rFonts w:ascii="Times New Roman" w:hAnsi="Times New Roman"/>
                <w:b w:val="0"/>
                <w:sz w:val="24"/>
              </w:rPr>
              <w:t>CH-2</w:t>
            </w:r>
          </w:p>
        </w:tc>
        <w:tc>
          <w:tcPr>
            <w:tcW w:type="dxa" w:w="2126"/>
          </w:tcPr>
          <w:p>
            <w:pPr>
              <w:jc w:val="center"/>
            </w:pPr>
            <w:r>
              <w:rPr>
                <w:rFonts w:ascii="Times New Roman" w:hAnsi="Times New Roman"/>
                <w:b w:val="0"/>
                <w:sz w:val="24"/>
              </w:rPr>
              <w:t>C. sphaerospermum  on melanin-dyed agar</w:t>
            </w:r>
          </w:p>
        </w:tc>
        <w:tc>
          <w:tcPr>
            <w:tcW w:type="dxa" w:w="2126"/>
          </w:tcPr>
          <w:p>
            <w:pPr>
              <w:jc w:val="center"/>
            </w:pPr>
            <w:r>
              <w:rPr>
                <w:rFonts w:ascii="Times New Roman" w:hAnsi="Times New Roman"/>
                <w:b w:val="0"/>
                <w:sz w:val="24"/>
              </w:rPr>
              <w:t>Primary shield — ISS-validated baseline</w:t>
            </w:r>
          </w:p>
        </w:tc>
        <w:tc>
          <w:tcPr>
            <w:tcW w:type="dxa" w:w="2126"/>
          </w:tcPr>
          <w:p>
            <w:pPr>
              <w:jc w:val="center"/>
            </w:pPr>
            <w:r>
              <w:rPr>
                <w:rFonts w:ascii="Times New Roman" w:hAnsi="Times New Roman"/>
                <w:b w:val="0"/>
                <w:sz w:val="24"/>
              </w:rPr>
              <w:t>~2.17% (peak)</w:t>
            </w:r>
          </w:p>
        </w:tc>
      </w:tr>
      <w:tr>
        <w:tc>
          <w:tcPr>
            <w:tcW w:type="dxa" w:w="2126"/>
          </w:tcPr>
          <w:p>
            <w:pPr>
              <w:jc w:val="center"/>
            </w:pPr>
            <w:r>
              <w:rPr>
                <w:rFonts w:ascii="Times New Roman" w:hAnsi="Times New Roman"/>
                <w:b w:val="0"/>
                <w:sz w:val="24"/>
              </w:rPr>
              <w:t>CH-3</w:t>
            </w:r>
          </w:p>
        </w:tc>
        <w:tc>
          <w:tcPr>
            <w:tcW w:type="dxa" w:w="2126"/>
          </w:tcPr>
          <w:p>
            <w:pPr>
              <w:jc w:val="center"/>
            </w:pPr>
            <w:r>
              <w:rPr>
                <w:rFonts w:ascii="Times New Roman" w:hAnsi="Times New Roman"/>
                <w:b w:val="0"/>
                <w:sz w:val="24"/>
              </w:rPr>
              <w:t>W. dermatitidis  on Sabouraud agar</w:t>
            </w:r>
          </w:p>
        </w:tc>
        <w:tc>
          <w:tcPr>
            <w:tcW w:type="dxa" w:w="2126"/>
          </w:tcPr>
          <w:p>
            <w:pPr>
              <w:jc w:val="center"/>
            </w:pPr>
            <w:r>
              <w:rPr>
                <w:rFonts w:ascii="Times New Roman" w:hAnsi="Times New Roman"/>
                <w:b w:val="0"/>
                <w:sz w:val="24"/>
              </w:rPr>
              <w:t>Challenger — higher melanin density per cell</w:t>
            </w:r>
          </w:p>
        </w:tc>
        <w:tc>
          <w:tcPr>
            <w:tcW w:type="dxa" w:w="2126"/>
          </w:tcPr>
          <w:p>
            <w:pPr>
              <w:jc w:val="center"/>
            </w:pPr>
            <w:r>
              <w:rPr>
                <w:rFonts w:ascii="Times New Roman" w:hAnsi="Times New Roman"/>
                <w:b w:val="0"/>
                <w:sz w:val="24"/>
              </w:rPr>
              <w:t>~2.5–3.0% (predicted)</w:t>
            </w:r>
          </w:p>
        </w:tc>
      </w:tr>
    </w:tbl>
    <w:p/>
    <w:p>
      <w:r>
        <w:br w:type="page"/>
      </w:r>
    </w:p>
    <w:p>
      <w:pPr>
        <w:spacing w:before="280" w:after="120"/>
        <w:jc w:val="left"/>
        <w:pBdr>
          <w:bottom w:val="single" w:sz="4" w:space="1" w:color="AAAAAA"/>
        </w:pBdr>
      </w:pPr>
      <w:r>
        <w:rPr>
          <w:rFonts w:ascii="Times New Roman" w:hAnsi="Times New Roman"/>
          <w:b/>
          <w:color w:val="000000"/>
          <w:sz w:val="28"/>
        </w:rPr>
        <w:t>4. Hardware Architecture (Virtual Twin)</w:t>
      </w:r>
    </w:p>
    <w:p>
      <w:pPr>
        <w:spacing w:before="200" w:after="80"/>
        <w:jc w:val="left"/>
      </w:pPr>
      <w:r>
        <w:rPr>
          <w:rFonts w:ascii="Times New Roman" w:hAnsi="Times New Roman"/>
          <w:b/>
          <w:sz w:val="28"/>
        </w:rPr>
        <w:t>4.1. CubeSat Form Factor &amp; Payload Budget</w:t>
      </w:r>
    </w:p>
    <w:p>
      <w:pPr>
        <w:spacing w:line="360" w:lineRule="exact" w:after="120"/>
        <w:jc w:val="both"/>
      </w:pPr>
      <w:r>
        <w:rPr>
          <w:rFonts w:ascii="Times New Roman" w:hAnsi="Times New Roman"/>
          <w:b w:val="0"/>
          <w:i w:val="0"/>
          <w:sz w:val="24"/>
        </w:rPr>
        <w:t>The payload is designed to the 3U CubeSat standard (CDS Rev. 14, Cal Poly SLO) with external dimensions of 100 x 100 x 340.5 mm and a maximum mass of 4.0 kg. The structure uses aluminium alloy 6061-T6 (density 2.70 g/cm³) for the main body, providing structural rigidity and passive radiation shielding from the shell wall.</w:t>
      </w:r>
    </w:p>
    <w:p>
      <w:pPr>
        <w:jc w:val="center"/>
      </w:pPr>
      <w:r>
        <w:rPr>
          <w:rFonts w:ascii="Times New Roman" w:hAnsi="Times New Roman"/>
          <w:b/>
          <w:i/>
          <w:sz w:val="20"/>
        </w:rPr>
        <w:t>Table 4: CubeSat Payload Mass Budget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Component</w:t>
            </w:r>
          </w:p>
        </w:tc>
        <w:tc>
          <w:tcPr>
            <w:tcW w:type="dxa" w:w="2835"/>
            <w:shd w:val="clear" w:color="auto" w:fill="1A1A2E"/>
          </w:tcPr>
          <w:p>
            <w:pPr>
              <w:jc w:val="center"/>
            </w:pPr>
            <w:r>
              <w:rPr>
                <w:rFonts w:ascii="Times New Roman" w:hAnsi="Times New Roman"/>
                <w:b/>
                <w:color w:val="FFFFFF"/>
                <w:sz w:val="24"/>
              </w:rPr>
              <w:t>Mass (g)</w:t>
            </w:r>
          </w:p>
        </w:tc>
        <w:tc>
          <w:tcPr>
            <w:tcW w:type="dxa" w:w="2835"/>
            <w:shd w:val="clear" w:color="auto" w:fill="1A1A2E"/>
          </w:tcPr>
          <w:p>
            <w:pPr>
              <w:jc w:val="center"/>
            </w:pPr>
            <w:r>
              <w:rPr>
                <w:rFonts w:ascii="Times New Roman" w:hAnsi="Times New Roman"/>
                <w:b/>
                <w:color w:val="FFFFFF"/>
                <w:sz w:val="24"/>
              </w:rPr>
              <w:t>Notes</w:t>
            </w:r>
          </w:p>
        </w:tc>
      </w:tr>
      <w:tr>
        <w:tc>
          <w:tcPr>
            <w:tcW w:type="dxa" w:w="2835"/>
          </w:tcPr>
          <w:p>
            <w:pPr>
              <w:jc w:val="left"/>
            </w:pPr>
            <w:r>
              <w:rPr>
                <w:rFonts w:ascii="Times New Roman" w:hAnsi="Times New Roman"/>
                <w:b w:val="0"/>
                <w:sz w:val="24"/>
              </w:rPr>
              <w:t>Aluminium shell (3U)</w:t>
            </w:r>
          </w:p>
        </w:tc>
        <w:tc>
          <w:tcPr>
            <w:tcW w:type="dxa" w:w="2835"/>
          </w:tcPr>
          <w:p>
            <w:pPr>
              <w:jc w:val="center"/>
            </w:pPr>
            <w:r>
              <w:rPr>
                <w:rFonts w:ascii="Times New Roman" w:hAnsi="Times New Roman"/>
                <w:b w:val="0"/>
                <w:sz w:val="24"/>
              </w:rPr>
              <w:t>250</w:t>
            </w:r>
          </w:p>
        </w:tc>
        <w:tc>
          <w:tcPr>
            <w:tcW w:type="dxa" w:w="2835"/>
          </w:tcPr>
          <w:p>
            <w:pPr>
              <w:jc w:val="center"/>
            </w:pPr>
            <w:r>
              <w:rPr>
                <w:rFonts w:ascii="Times New Roman" w:hAnsi="Times New Roman"/>
                <w:b w:val="0"/>
                <w:sz w:val="24"/>
              </w:rPr>
              <w:t>6061-T6, 1.5 mm walls</w:t>
            </w:r>
          </w:p>
        </w:tc>
      </w:tr>
      <w:tr>
        <w:tc>
          <w:tcPr>
            <w:tcW w:type="dxa" w:w="2835"/>
          </w:tcPr>
          <w:p>
            <w:pPr>
              <w:jc w:val="left"/>
            </w:pPr>
            <w:r>
              <w:rPr>
                <w:rFonts w:ascii="Times New Roman" w:hAnsi="Times New Roman"/>
                <w:b w:val="0"/>
                <w:sz w:val="24"/>
              </w:rPr>
              <w:t>Raspberry Pi Zero W × 2</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9 g each, ARM Cortex-A53</w:t>
            </w:r>
          </w:p>
        </w:tc>
      </w:tr>
      <w:tr>
        <w:tc>
          <w:tcPr>
            <w:tcW w:type="dxa" w:w="2835"/>
          </w:tcPr>
          <w:p>
            <w:pPr>
              <w:jc w:val="left"/>
            </w:pPr>
            <w:r>
              <w:rPr>
                <w:rFonts w:ascii="Times New Roman" w:hAnsi="Times New Roman"/>
                <w:b w:val="0"/>
                <w:sz w:val="24"/>
              </w:rPr>
              <w:t>LOC chip assembly (3 chambers)</w:t>
            </w:r>
          </w:p>
        </w:tc>
        <w:tc>
          <w:tcPr>
            <w:tcW w:type="dxa" w:w="2835"/>
          </w:tcPr>
          <w:p>
            <w:pPr>
              <w:jc w:val="center"/>
            </w:pPr>
            <w:r>
              <w:rPr>
                <w:rFonts w:ascii="Times New Roman" w:hAnsi="Times New Roman"/>
                <w:b w:val="0"/>
                <w:sz w:val="24"/>
              </w:rPr>
              <w:t>12</w:t>
            </w:r>
          </w:p>
        </w:tc>
        <w:tc>
          <w:tcPr>
            <w:tcW w:type="dxa" w:w="2835"/>
          </w:tcPr>
          <w:p>
            <w:pPr>
              <w:jc w:val="center"/>
            </w:pPr>
            <w:r>
              <w:rPr>
                <w:rFonts w:ascii="Times New Roman" w:hAnsi="Times New Roman"/>
                <w:b w:val="0"/>
                <w:sz w:val="24"/>
              </w:rPr>
              <w:t>Polycarbonate + agar media</w:t>
            </w:r>
          </w:p>
        </w:tc>
      </w:tr>
      <w:tr>
        <w:tc>
          <w:tcPr>
            <w:tcW w:type="dxa" w:w="2835"/>
          </w:tcPr>
          <w:p>
            <w:pPr>
              <w:jc w:val="left"/>
            </w:pPr>
            <w:r>
              <w:rPr>
                <w:rFonts w:ascii="Times New Roman" w:hAnsi="Times New Roman"/>
                <w:b w:val="0"/>
                <w:sz w:val="24"/>
              </w:rPr>
              <w:t>DHT22 sensor</w:t>
            </w:r>
          </w:p>
        </w:tc>
        <w:tc>
          <w:tcPr>
            <w:tcW w:type="dxa" w:w="2835"/>
          </w:tcPr>
          <w:p>
            <w:pPr>
              <w:jc w:val="center"/>
            </w:pPr>
            <w:r>
              <w:rPr>
                <w:rFonts w:ascii="Times New Roman" w:hAnsi="Times New Roman"/>
                <w:b w:val="0"/>
                <w:sz w:val="24"/>
              </w:rPr>
              <w:t>3</w:t>
            </w:r>
          </w:p>
        </w:tc>
        <w:tc>
          <w:tcPr>
            <w:tcW w:type="dxa" w:w="2835"/>
          </w:tcPr>
          <w:p>
            <w:pPr>
              <w:jc w:val="center"/>
            </w:pPr>
            <w:r>
              <w:rPr>
                <w:rFonts w:ascii="Times New Roman" w:hAnsi="Times New Roman"/>
                <w:b w:val="0"/>
                <w:sz w:val="24"/>
              </w:rPr>
              <w:t>Temp/humidity</w:t>
            </w:r>
          </w:p>
        </w:tc>
      </w:tr>
      <w:tr>
        <w:tc>
          <w:tcPr>
            <w:tcW w:type="dxa" w:w="2835"/>
          </w:tcPr>
          <w:p>
            <w:pPr>
              <w:jc w:val="left"/>
            </w:pPr>
            <w:r>
              <w:rPr>
                <w:rFonts w:ascii="Times New Roman" w:hAnsi="Times New Roman"/>
                <w:b w:val="0"/>
                <w:sz w:val="24"/>
              </w:rPr>
              <w:t>Geiger-Müller sensors × 2</w:t>
            </w:r>
          </w:p>
        </w:tc>
        <w:tc>
          <w:tcPr>
            <w:tcW w:type="dxa" w:w="2835"/>
          </w:tcPr>
          <w:p>
            <w:pPr>
              <w:jc w:val="center"/>
            </w:pPr>
            <w:r>
              <w:rPr>
                <w:rFonts w:ascii="Times New Roman" w:hAnsi="Times New Roman"/>
                <w:b w:val="0"/>
                <w:sz w:val="24"/>
              </w:rPr>
              <w:t>20</w:t>
            </w:r>
          </w:p>
        </w:tc>
        <w:tc>
          <w:tcPr>
            <w:tcW w:type="dxa" w:w="2835"/>
          </w:tcPr>
          <w:p>
            <w:pPr>
              <w:jc w:val="center"/>
            </w:pPr>
            <w:r>
              <w:rPr>
                <w:rFonts w:ascii="Times New Roman" w:hAnsi="Times New Roman"/>
                <w:b w:val="0"/>
                <w:sz w:val="24"/>
              </w:rPr>
              <w:t>LND 712 type, 10 g each</w:t>
            </w:r>
          </w:p>
        </w:tc>
      </w:tr>
      <w:tr>
        <w:tc>
          <w:tcPr>
            <w:tcW w:type="dxa" w:w="2835"/>
          </w:tcPr>
          <w:p>
            <w:pPr>
              <w:jc w:val="left"/>
            </w:pPr>
            <w:r>
              <w:rPr>
                <w:rFonts w:ascii="Times New Roman" w:hAnsi="Times New Roman"/>
                <w:b w:val="0"/>
                <w:sz w:val="24"/>
              </w:rPr>
              <w:t>Camera module (OV5647)</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5 MP, optical density proxy</w:t>
            </w:r>
          </w:p>
        </w:tc>
      </w:tr>
      <w:tr>
        <w:tc>
          <w:tcPr>
            <w:tcW w:type="dxa" w:w="2835"/>
          </w:tcPr>
          <w:p>
            <w:pPr>
              <w:jc w:val="left"/>
            </w:pPr>
            <w:r>
              <w:rPr>
                <w:rFonts w:ascii="Times New Roman" w:hAnsi="Times New Roman"/>
                <w:b w:val="0"/>
                <w:sz w:val="24"/>
              </w:rPr>
              <w:t>LED panel</w:t>
            </w:r>
          </w:p>
        </w:tc>
        <w:tc>
          <w:tcPr>
            <w:tcW w:type="dxa" w:w="2835"/>
          </w:tcPr>
          <w:p>
            <w:pPr>
              <w:jc w:val="center"/>
            </w:pPr>
            <w:r>
              <w:rPr>
                <w:rFonts w:ascii="Times New Roman" w:hAnsi="Times New Roman"/>
                <w:b w:val="0"/>
                <w:sz w:val="24"/>
              </w:rPr>
              <w:t>5</w:t>
            </w:r>
          </w:p>
        </w:tc>
        <w:tc>
          <w:tcPr>
            <w:tcW w:type="dxa" w:w="2835"/>
          </w:tcPr>
          <w:p>
            <w:pPr>
              <w:jc w:val="center"/>
            </w:pPr>
            <w:r>
              <w:rPr>
                <w:rFonts w:ascii="Times New Roman" w:hAnsi="Times New Roman"/>
                <w:b w:val="0"/>
                <w:sz w:val="24"/>
              </w:rPr>
              <w:t>White LED, 35 × 35 mm</w:t>
            </w:r>
          </w:p>
        </w:tc>
      </w:tr>
      <w:tr>
        <w:tc>
          <w:tcPr>
            <w:tcW w:type="dxa" w:w="2835"/>
          </w:tcPr>
          <w:p>
            <w:pPr>
              <w:jc w:val="left"/>
            </w:pPr>
            <w:r>
              <w:rPr>
                <w:rFonts w:ascii="Times New Roman" w:hAnsi="Times New Roman"/>
                <w:b w:val="0"/>
                <w:sz w:val="24"/>
              </w:rPr>
              <w:t>LiPo battery (1800 mAh)</w:t>
            </w:r>
          </w:p>
        </w:tc>
        <w:tc>
          <w:tcPr>
            <w:tcW w:type="dxa" w:w="2835"/>
          </w:tcPr>
          <w:p>
            <w:pPr>
              <w:jc w:val="center"/>
            </w:pPr>
            <w:r>
              <w:rPr>
                <w:rFonts w:ascii="Times New Roman" w:hAnsi="Times New Roman"/>
                <w:b w:val="0"/>
                <w:sz w:val="24"/>
              </w:rPr>
              <w:t>38</w:t>
            </w:r>
          </w:p>
        </w:tc>
        <w:tc>
          <w:tcPr>
            <w:tcW w:type="dxa" w:w="2835"/>
          </w:tcPr>
          <w:p>
            <w:pPr>
              <w:jc w:val="center"/>
            </w:pPr>
            <w:r>
              <w:rPr>
                <w:rFonts w:ascii="Times New Roman" w:hAnsi="Times New Roman"/>
                <w:b w:val="0"/>
                <w:sz w:val="24"/>
              </w:rPr>
              <w:t>3.7 V nominal</w:t>
            </w:r>
          </w:p>
        </w:tc>
      </w:tr>
      <w:tr>
        <w:tc>
          <w:tcPr>
            <w:tcW w:type="dxa" w:w="2835"/>
          </w:tcPr>
          <w:p>
            <w:pPr>
              <w:jc w:val="left"/>
            </w:pPr>
            <w:r>
              <w:rPr>
                <w:rFonts w:ascii="Times New Roman" w:hAnsi="Times New Roman"/>
                <w:b w:val="0"/>
                <w:sz w:val="24"/>
              </w:rPr>
              <w:t>RTC module (DS3231)</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Battery backup included</w:t>
            </w:r>
          </w:p>
        </w:tc>
      </w:tr>
      <w:tr>
        <w:tc>
          <w:tcPr>
            <w:tcW w:type="dxa" w:w="2835"/>
          </w:tcPr>
          <w:p>
            <w:pPr>
              <w:jc w:val="left"/>
            </w:pPr>
            <w:r>
              <w:rPr>
                <w:rFonts w:ascii="Times New Roman" w:hAnsi="Times New Roman"/>
                <w:b w:val="0"/>
                <w:sz w:val="24"/>
              </w:rPr>
              <w:t>PCB + wiring</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Custom PCB + ribbon cables</w:t>
            </w:r>
          </w:p>
        </w:tc>
      </w:tr>
      <w:tr>
        <w:tc>
          <w:tcPr>
            <w:tcW w:type="dxa" w:w="2835"/>
          </w:tcPr>
          <w:p>
            <w:pPr>
              <w:jc w:val="center"/>
            </w:pPr>
            <w:r>
              <w:rPr>
                <w:rFonts w:ascii="Times New Roman" w:hAnsi="Times New Roman"/>
                <w:b w:val="0"/>
                <w:sz w:val="24"/>
              </w:rPr>
              <w:t>TOTAL</w:t>
            </w:r>
          </w:p>
        </w:tc>
        <w:tc>
          <w:tcPr>
            <w:tcW w:type="dxa" w:w="2835"/>
          </w:tcPr>
          <w:p>
            <w:pPr>
              <w:jc w:val="center"/>
            </w:pPr>
            <w:r>
              <w:rPr>
                <w:rFonts w:ascii="Times New Roman" w:hAnsi="Times New Roman"/>
                <w:b w:val="0"/>
                <w:sz w:val="24"/>
              </w:rPr>
              <w:t>372 g</w:t>
            </w:r>
          </w:p>
        </w:tc>
        <w:tc>
          <w:tcPr>
            <w:tcW w:type="dxa" w:w="2835"/>
          </w:tcPr>
          <w:p>
            <w:pPr>
              <w:jc w:val="center"/>
            </w:pPr>
            <w:r>
              <w:rPr>
                <w:rFonts w:ascii="Times New Roman" w:hAnsi="Times New Roman"/>
                <w:b w:val="0"/>
                <w:sz w:val="24"/>
              </w:rPr>
              <w:t>Well within 4.0 kg limit ✓</w:t>
            </w:r>
          </w:p>
        </w:tc>
      </w:tr>
    </w:tbl>
    <w:p/>
    <w:p>
      <w:pPr>
        <w:jc w:val="center"/>
      </w:pPr>
      <w:r>
        <w:rPr>
          <w:rFonts w:ascii="Times New Roman" w:hAnsi="Times New Roman"/>
          <w:b/>
          <w:i/>
          <w:sz w:val="20"/>
        </w:rPr>
        <w:t>Table 9: Power Budget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Component</w:t>
            </w:r>
          </w:p>
        </w:tc>
        <w:tc>
          <w:tcPr>
            <w:tcW w:type="dxa" w:w="2126"/>
            <w:shd w:val="clear" w:color="auto" w:fill="1A1A2E"/>
          </w:tcPr>
          <w:p>
            <w:pPr>
              <w:jc w:val="center"/>
            </w:pPr>
            <w:r>
              <w:rPr>
                <w:rFonts w:ascii="Times New Roman" w:hAnsi="Times New Roman"/>
                <w:b/>
                <w:color w:val="FFFFFF"/>
                <w:sz w:val="24"/>
              </w:rPr>
              <w:t>Current (mA)</w:t>
            </w:r>
          </w:p>
        </w:tc>
        <w:tc>
          <w:tcPr>
            <w:tcW w:type="dxa" w:w="2126"/>
            <w:shd w:val="clear" w:color="auto" w:fill="1A1A2E"/>
          </w:tcPr>
          <w:p>
            <w:pPr>
              <w:jc w:val="center"/>
            </w:pPr>
            <w:r>
              <w:rPr>
                <w:rFonts w:ascii="Times New Roman" w:hAnsi="Times New Roman"/>
                <w:b/>
                <w:color w:val="FFFFFF"/>
                <w:sz w:val="24"/>
              </w:rPr>
              <w:t>Voltage (V)</w:t>
            </w:r>
          </w:p>
        </w:tc>
        <w:tc>
          <w:tcPr>
            <w:tcW w:type="dxa" w:w="2126"/>
            <w:shd w:val="clear" w:color="auto" w:fill="1A1A2E"/>
          </w:tcPr>
          <w:p>
            <w:pPr>
              <w:jc w:val="center"/>
            </w:pPr>
            <w:r>
              <w:rPr>
                <w:rFonts w:ascii="Times New Roman" w:hAnsi="Times New Roman"/>
                <w:b/>
                <w:color w:val="FFFFFF"/>
                <w:sz w:val="24"/>
              </w:rPr>
              <w:t>Power (mW)</w:t>
            </w:r>
          </w:p>
        </w:tc>
      </w:tr>
      <w:tr>
        <w:tc>
          <w:tcPr>
            <w:tcW w:type="dxa" w:w="2126"/>
          </w:tcPr>
          <w:p>
            <w:pPr>
              <w:jc w:val="left"/>
            </w:pPr>
            <w:r>
              <w:rPr>
                <w:rFonts w:ascii="Times New Roman" w:hAnsi="Times New Roman"/>
                <w:b w:val="0"/>
                <w:sz w:val="24"/>
              </w:rPr>
              <w:t>Raspberry Pi Zero W × 2</w:t>
            </w:r>
          </w:p>
        </w:tc>
        <w:tc>
          <w:tcPr>
            <w:tcW w:type="dxa" w:w="2126"/>
          </w:tcPr>
          <w:p>
            <w:pPr>
              <w:jc w:val="center"/>
            </w:pPr>
            <w:r>
              <w:rPr>
                <w:rFonts w:ascii="Times New Roman" w:hAnsi="Times New Roman"/>
                <w:b w:val="0"/>
                <w:sz w:val="24"/>
              </w:rPr>
              <w:t>2 × 120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1200</w:t>
            </w:r>
          </w:p>
        </w:tc>
      </w:tr>
      <w:tr>
        <w:tc>
          <w:tcPr>
            <w:tcW w:type="dxa" w:w="2126"/>
          </w:tcPr>
          <w:p>
            <w:pPr>
              <w:jc w:val="left"/>
            </w:pPr>
            <w:r>
              <w:rPr>
                <w:rFonts w:ascii="Times New Roman" w:hAnsi="Times New Roman"/>
                <w:b w:val="0"/>
                <w:sz w:val="24"/>
              </w:rPr>
              <w:t>Camera module</w:t>
            </w:r>
          </w:p>
        </w:tc>
        <w:tc>
          <w:tcPr>
            <w:tcW w:type="dxa" w:w="2126"/>
          </w:tcPr>
          <w:p>
            <w:pPr>
              <w:jc w:val="center"/>
            </w:pPr>
            <w:r>
              <w:rPr>
                <w:rFonts w:ascii="Times New Roman" w:hAnsi="Times New Roman"/>
                <w:b w:val="0"/>
                <w:sz w:val="24"/>
              </w:rPr>
              <w:t>250</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825</w:t>
            </w:r>
          </w:p>
        </w:tc>
      </w:tr>
      <w:tr>
        <w:tc>
          <w:tcPr>
            <w:tcW w:type="dxa" w:w="2126"/>
          </w:tcPr>
          <w:p>
            <w:pPr>
              <w:jc w:val="left"/>
            </w:pPr>
            <w:r>
              <w:rPr>
                <w:rFonts w:ascii="Times New Roman" w:hAnsi="Times New Roman"/>
                <w:b w:val="0"/>
                <w:sz w:val="24"/>
              </w:rPr>
              <w:t>LED panel</w:t>
            </w:r>
          </w:p>
        </w:tc>
        <w:tc>
          <w:tcPr>
            <w:tcW w:type="dxa" w:w="2126"/>
          </w:tcPr>
          <w:p>
            <w:pPr>
              <w:jc w:val="center"/>
            </w:pPr>
            <w:r>
              <w:rPr>
                <w:rFonts w:ascii="Times New Roman" w:hAnsi="Times New Roman"/>
                <w:b w:val="0"/>
                <w:sz w:val="24"/>
              </w:rPr>
              <w:t>80</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264</w:t>
            </w:r>
          </w:p>
        </w:tc>
      </w:tr>
      <w:tr>
        <w:tc>
          <w:tcPr>
            <w:tcW w:type="dxa" w:w="2126"/>
          </w:tcPr>
          <w:p>
            <w:pPr>
              <w:jc w:val="left"/>
            </w:pPr>
            <w:r>
              <w:rPr>
                <w:rFonts w:ascii="Times New Roman" w:hAnsi="Times New Roman"/>
                <w:b w:val="0"/>
                <w:sz w:val="24"/>
              </w:rPr>
              <w:t>Sensors (total)</w:t>
            </w:r>
          </w:p>
        </w:tc>
        <w:tc>
          <w:tcPr>
            <w:tcW w:type="dxa" w:w="2126"/>
          </w:tcPr>
          <w:p>
            <w:pPr>
              <w:jc w:val="center"/>
            </w:pPr>
            <w:r>
              <w:rPr>
                <w:rFonts w:ascii="Times New Roman" w:hAnsi="Times New Roman"/>
                <w:b w:val="0"/>
                <w:sz w:val="24"/>
              </w:rPr>
              <w:t>35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116</w:t>
            </w:r>
          </w:p>
        </w:tc>
      </w:tr>
      <w:tr>
        <w:tc>
          <w:tcPr>
            <w:tcW w:type="dxa" w:w="2126"/>
          </w:tcPr>
          <w:p>
            <w:pPr>
              <w:jc w:val="center"/>
            </w:pPr>
            <w:r>
              <w:rPr>
                <w:rFonts w:ascii="Times New Roman" w:hAnsi="Times New Roman"/>
                <w:b w:val="0"/>
                <w:sz w:val="24"/>
              </w:rPr>
              <w:t>Total</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2,405 mW</w:t>
            </w:r>
          </w:p>
        </w:tc>
      </w:tr>
      <w:tr>
        <w:tc>
          <w:tcPr>
            <w:tcW w:type="dxa" w:w="2126"/>
          </w:tcPr>
          <w:p>
            <w:pPr>
              <w:jc w:val="left"/>
            </w:pPr>
            <w:r>
              <w:rPr>
                <w:rFonts w:ascii="Times New Roman" w:hAnsi="Times New Roman"/>
                <w:b w:val="0"/>
                <w:sz w:val="24"/>
              </w:rPr>
              <w:t>Battery capacity</w:t>
            </w:r>
          </w:p>
        </w:tc>
        <w:tc>
          <w:tcPr>
            <w:tcW w:type="dxa" w:w="2126"/>
          </w:tcPr>
          <w:p>
            <w:pPr>
              <w:jc w:val="center"/>
            </w:pPr>
            <w:r>
              <w:rPr>
                <w:rFonts w:ascii="Times New Roman" w:hAnsi="Times New Roman"/>
                <w:b w:val="0"/>
                <w:sz w:val="24"/>
              </w:rPr>
              <w:t>1800 mAh × 3.7 V = 6,660 mWh</w:t>
            </w:r>
          </w:p>
        </w:tc>
        <w:tc>
          <w:tcPr>
            <w:tcW w:type="dxa" w:w="2126"/>
          </w:tcPr>
          <w:p>
            <w:pPr>
              <w:jc w:val="center"/>
            </w:pPr>
            <w:r>
              <w:rPr>
                <w:rFonts w:ascii="Times New Roman" w:hAnsi="Times New Roman"/>
                <w:b w:val="0"/>
                <w:sz w:val="24"/>
              </w:rPr>
              <w:t>~2.77 hr runtime</w:t>
            </w:r>
          </w:p>
        </w:tc>
        <w:tc>
          <w:tcPr>
            <w:tcW w:type="dxa" w:w="2126"/>
          </w:tcPr>
          <w:p/>
        </w:tc>
      </w:tr>
    </w:tbl>
    <w:p/>
    <w:p>
      <w:pPr>
        <w:spacing w:line="360" w:lineRule="exact" w:after="120"/>
        <w:jc w:val="both"/>
      </w:pPr>
      <w:r>
        <w:rPr>
          <w:rFonts w:ascii="Times New Roman" w:hAnsi="Times New Roman"/>
          <w:b w:val="0"/>
          <w:i w:val="0"/>
          <w:sz w:val="24"/>
        </w:rPr>
        <w:t>Power Budget Mitigation: The baseline LiPo battery (14.8 V, 2.6 Ah = 38.5 Wh) provides approximately 2.8 hours of continuous operation at full load (13.8 W peak). For the full 48-hour mission, the following strategies are implemented: (1) Camera duty-cycling — one OD600 image per hour rather than continuous recording reduces camera power from 2.0 W continuous to ~0.05 W average. (2) Arduino deep-sleep mode between 2-second readings reduces microcontroller draw from 0.5 W to ~0.02 W average. (3) LED lighting timed to camera capture only. (4) A supplementary solar panel (0.5 U body-mounted, ~0.8 W average generation at LEO) closes the power gap for extended missions. With duty-cycling, the effective average load drops to approximately 1.2 W, giving a battery-only runtime of ~32 hours and full 48-hour coverage with solar supplement.</w:t>
      </w:r>
    </w:p>
    <w:p>
      <w:pPr>
        <w:spacing w:before="200" w:after="80"/>
        <w:jc w:val="left"/>
      </w:pPr>
      <w:r>
        <w:rPr>
          <w:rFonts w:ascii="Times New Roman" w:hAnsi="Times New Roman"/>
          <w:b/>
          <w:sz w:val="28"/>
        </w:rPr>
        <w:t>4.2. Sensor Suite</w:t>
      </w:r>
    </w:p>
    <w:p>
      <w:pPr>
        <w:jc w:val="center"/>
      </w:pPr>
      <w:r>
        <w:rPr>
          <w:rFonts w:ascii="Times New Roman" w:hAnsi="Times New Roman"/>
          <w:b/>
          <w:i/>
          <w:sz w:val="20"/>
        </w:rPr>
        <w:t>Table 5: Sensor Suite Specifications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Sensor</w:t>
            </w:r>
          </w:p>
        </w:tc>
        <w:tc>
          <w:tcPr>
            <w:tcW w:type="dxa" w:w="1701"/>
            <w:shd w:val="clear" w:color="auto" w:fill="1A1A2E"/>
          </w:tcPr>
          <w:p>
            <w:pPr>
              <w:jc w:val="center"/>
            </w:pPr>
            <w:r>
              <w:rPr>
                <w:rFonts w:ascii="Times New Roman" w:hAnsi="Times New Roman"/>
                <w:b/>
                <w:color w:val="FFFFFF"/>
                <w:sz w:val="24"/>
              </w:rPr>
              <w:t>Model</w:t>
            </w:r>
          </w:p>
        </w:tc>
        <w:tc>
          <w:tcPr>
            <w:tcW w:type="dxa" w:w="1701"/>
            <w:shd w:val="clear" w:color="auto" w:fill="1A1A2E"/>
          </w:tcPr>
          <w:p>
            <w:pPr>
              <w:jc w:val="center"/>
            </w:pPr>
            <w:r>
              <w:rPr>
                <w:rFonts w:ascii="Times New Roman" w:hAnsi="Times New Roman"/>
                <w:b/>
                <w:color w:val="FFFFFF"/>
                <w:sz w:val="24"/>
              </w:rPr>
              <w:t>Measurement</w:t>
            </w:r>
          </w:p>
        </w:tc>
        <w:tc>
          <w:tcPr>
            <w:tcW w:type="dxa" w:w="1701"/>
            <w:shd w:val="clear" w:color="auto" w:fill="1A1A2E"/>
          </w:tcPr>
          <w:p>
            <w:pPr>
              <w:jc w:val="center"/>
            </w:pPr>
            <w:r>
              <w:rPr>
                <w:rFonts w:ascii="Times New Roman" w:hAnsi="Times New Roman"/>
                <w:b/>
                <w:color w:val="FFFFFF"/>
                <w:sz w:val="24"/>
              </w:rPr>
              <w:t>Interface</w:t>
            </w:r>
          </w:p>
        </w:tc>
        <w:tc>
          <w:tcPr>
            <w:tcW w:type="dxa" w:w="1701"/>
            <w:shd w:val="clear" w:color="auto" w:fill="1A1A2E"/>
          </w:tcPr>
          <w:p>
            <w:pPr>
              <w:jc w:val="center"/>
            </w:pPr>
            <w:r>
              <w:rPr>
                <w:rFonts w:ascii="Times New Roman" w:hAnsi="Times New Roman"/>
                <w:b/>
                <w:color w:val="FFFFFF"/>
                <w:sz w:val="24"/>
              </w:rPr>
              <w:t>Sampling Rate</w:t>
            </w:r>
          </w:p>
        </w:tc>
      </w:tr>
      <w:tr>
        <w:tc>
          <w:tcPr>
            <w:tcW w:type="dxa" w:w="1701"/>
          </w:tcPr>
          <w:p>
            <w:pPr>
              <w:jc w:val="left"/>
            </w:pPr>
            <w:r>
              <w:rPr>
                <w:rFonts w:ascii="Times New Roman" w:hAnsi="Times New Roman"/>
                <w:b w:val="0"/>
                <w:sz w:val="24"/>
              </w:rPr>
              <w:t>Temperature &amp; Humidity</w:t>
            </w:r>
          </w:p>
        </w:tc>
        <w:tc>
          <w:tcPr>
            <w:tcW w:type="dxa" w:w="1701"/>
          </w:tcPr>
          <w:p>
            <w:pPr>
              <w:jc w:val="center"/>
            </w:pPr>
            <w:r>
              <w:rPr>
                <w:rFonts w:ascii="Times New Roman" w:hAnsi="Times New Roman"/>
                <w:b w:val="0"/>
                <w:sz w:val="24"/>
              </w:rPr>
              <w:t>DHT22</w:t>
            </w:r>
          </w:p>
        </w:tc>
        <w:tc>
          <w:tcPr>
            <w:tcW w:type="dxa" w:w="1701"/>
          </w:tcPr>
          <w:p>
            <w:pPr>
              <w:jc w:val="center"/>
            </w:pPr>
            <w:r>
              <w:rPr>
                <w:rFonts w:ascii="Times New Roman" w:hAnsi="Times New Roman"/>
                <w:b w:val="0"/>
                <w:sz w:val="24"/>
              </w:rPr>
              <w:t>-40–80°C, 0–100% RH</w:t>
            </w:r>
          </w:p>
        </w:tc>
        <w:tc>
          <w:tcPr>
            <w:tcW w:type="dxa" w:w="1701"/>
          </w:tcPr>
          <w:p>
            <w:pPr>
              <w:jc w:val="center"/>
            </w:pPr>
            <w:r>
              <w:rPr>
                <w:rFonts w:ascii="Times New Roman" w:hAnsi="Times New Roman"/>
                <w:b w:val="0"/>
                <w:sz w:val="24"/>
              </w:rPr>
              <w:t>Single-wire</w:t>
            </w:r>
          </w:p>
        </w:tc>
        <w:tc>
          <w:tcPr>
            <w:tcW w:type="dxa" w:w="1701"/>
          </w:tcPr>
          <w:p>
            <w:pPr>
              <w:jc w:val="center"/>
            </w:pPr>
            <w:r>
              <w:rPr>
                <w:rFonts w:ascii="Times New Roman" w:hAnsi="Times New Roman"/>
                <w:b w:val="0"/>
                <w:sz w:val="24"/>
              </w:rPr>
              <w:t>0.5 Hz</w:t>
            </w:r>
          </w:p>
        </w:tc>
      </w:tr>
      <w:tr>
        <w:tc>
          <w:tcPr>
            <w:tcW w:type="dxa" w:w="1701"/>
          </w:tcPr>
          <w:p>
            <w:pPr>
              <w:jc w:val="left"/>
            </w:pPr>
            <w:r>
              <w:rPr>
                <w:rFonts w:ascii="Times New Roman" w:hAnsi="Times New Roman"/>
                <w:b w:val="0"/>
                <w:sz w:val="24"/>
              </w:rPr>
              <w:t>Radiation Sensor × 2</w:t>
            </w:r>
          </w:p>
        </w:tc>
        <w:tc>
          <w:tcPr>
            <w:tcW w:type="dxa" w:w="1701"/>
          </w:tcPr>
          <w:p>
            <w:pPr>
              <w:jc w:val="center"/>
            </w:pPr>
            <w:r>
              <w:rPr>
                <w:rFonts w:ascii="Times New Roman" w:hAnsi="Times New Roman"/>
                <w:b w:val="0"/>
                <w:sz w:val="24"/>
              </w:rPr>
              <w:t>LND 712 GM tube</w:t>
            </w:r>
          </w:p>
        </w:tc>
        <w:tc>
          <w:tcPr>
            <w:tcW w:type="dxa" w:w="1701"/>
          </w:tcPr>
          <w:p>
            <w:pPr>
              <w:jc w:val="center"/>
            </w:pPr>
            <w:r>
              <w:rPr>
                <w:rFonts w:ascii="Times New Roman" w:hAnsi="Times New Roman"/>
                <w:b w:val="0"/>
                <w:sz w:val="24"/>
              </w:rPr>
              <w:t>0–10,000 CPM</w:t>
            </w:r>
          </w:p>
        </w:tc>
        <w:tc>
          <w:tcPr>
            <w:tcW w:type="dxa" w:w="1701"/>
          </w:tcPr>
          <w:p>
            <w:pPr>
              <w:jc w:val="center"/>
            </w:pPr>
            <w:r>
              <w:rPr>
                <w:rFonts w:ascii="Times New Roman" w:hAnsi="Times New Roman"/>
                <w:b w:val="0"/>
                <w:sz w:val="24"/>
              </w:rPr>
              <w:t>Digital pulse</w:t>
            </w:r>
          </w:p>
        </w:tc>
        <w:tc>
          <w:tcPr>
            <w:tcW w:type="dxa" w:w="1701"/>
          </w:tcPr>
          <w:p>
            <w:pPr>
              <w:jc w:val="center"/>
            </w:pPr>
            <w:r>
              <w:rPr>
                <w:rFonts w:ascii="Times New Roman" w:hAnsi="Times New Roman"/>
                <w:b w:val="0"/>
                <w:sz w:val="24"/>
              </w:rPr>
              <w:t>1/60 Hz (1 min avg)</w:t>
            </w:r>
          </w:p>
        </w:tc>
      </w:tr>
      <w:tr>
        <w:tc>
          <w:tcPr>
            <w:tcW w:type="dxa" w:w="1701"/>
          </w:tcPr>
          <w:p>
            <w:pPr>
              <w:jc w:val="left"/>
            </w:pPr>
            <w:r>
              <w:rPr>
                <w:rFonts w:ascii="Times New Roman" w:hAnsi="Times New Roman"/>
                <w:b w:val="0"/>
                <w:sz w:val="24"/>
              </w:rPr>
              <w:t>Camera (biomass proxy)</w:t>
            </w:r>
          </w:p>
        </w:tc>
        <w:tc>
          <w:tcPr>
            <w:tcW w:type="dxa" w:w="1701"/>
          </w:tcPr>
          <w:p>
            <w:pPr>
              <w:jc w:val="center"/>
            </w:pPr>
            <w:r>
              <w:rPr>
                <w:rFonts w:ascii="Times New Roman" w:hAnsi="Times New Roman"/>
                <w:b w:val="0"/>
                <w:sz w:val="24"/>
              </w:rPr>
              <w:t>OV5647 (Pi Cam)</w:t>
            </w:r>
          </w:p>
        </w:tc>
        <w:tc>
          <w:tcPr>
            <w:tcW w:type="dxa" w:w="1701"/>
          </w:tcPr>
          <w:p>
            <w:pPr>
              <w:jc w:val="center"/>
            </w:pPr>
            <w:r>
              <w:rPr>
                <w:rFonts w:ascii="Times New Roman" w:hAnsi="Times New Roman"/>
                <w:b w:val="0"/>
                <w:sz w:val="24"/>
              </w:rPr>
              <w:t>OD600 optical density</w:t>
            </w:r>
          </w:p>
        </w:tc>
        <w:tc>
          <w:tcPr>
            <w:tcW w:type="dxa" w:w="1701"/>
          </w:tcPr>
          <w:p>
            <w:pPr>
              <w:jc w:val="center"/>
            </w:pPr>
            <w:r>
              <w:rPr>
                <w:rFonts w:ascii="Times New Roman" w:hAnsi="Times New Roman"/>
                <w:b w:val="0"/>
                <w:sz w:val="24"/>
              </w:rPr>
              <w:t>CSI</w:t>
            </w:r>
          </w:p>
        </w:tc>
        <w:tc>
          <w:tcPr>
            <w:tcW w:type="dxa" w:w="1701"/>
          </w:tcPr>
          <w:p>
            <w:pPr>
              <w:jc w:val="center"/>
            </w:pPr>
            <w:r>
              <w:rPr>
                <w:rFonts w:ascii="Times New Roman" w:hAnsi="Times New Roman"/>
                <w:b w:val="0"/>
                <w:sz w:val="24"/>
              </w:rPr>
              <w:t>1/3600 Hz (1 hr)</w:t>
            </w:r>
          </w:p>
        </w:tc>
      </w:tr>
      <w:tr>
        <w:tc>
          <w:tcPr>
            <w:tcW w:type="dxa" w:w="1701"/>
          </w:tcPr>
          <w:p>
            <w:pPr>
              <w:jc w:val="left"/>
            </w:pPr>
            <w:r>
              <w:rPr>
                <w:rFonts w:ascii="Times New Roman" w:hAnsi="Times New Roman"/>
                <w:b w:val="0"/>
                <w:sz w:val="24"/>
              </w:rPr>
              <w:t>Real-time clock</w:t>
            </w:r>
          </w:p>
        </w:tc>
        <w:tc>
          <w:tcPr>
            <w:tcW w:type="dxa" w:w="1701"/>
          </w:tcPr>
          <w:p>
            <w:pPr>
              <w:jc w:val="center"/>
            </w:pPr>
            <w:r>
              <w:rPr>
                <w:rFonts w:ascii="Times New Roman" w:hAnsi="Times New Roman"/>
                <w:b w:val="0"/>
                <w:sz w:val="24"/>
              </w:rPr>
              <w:t>DS3231</w:t>
            </w:r>
          </w:p>
        </w:tc>
        <w:tc>
          <w:tcPr>
            <w:tcW w:type="dxa" w:w="1701"/>
          </w:tcPr>
          <w:p>
            <w:pPr>
              <w:jc w:val="center"/>
            </w:pPr>
            <w:r>
              <w:rPr>
                <w:rFonts w:ascii="Times New Roman" w:hAnsi="Times New Roman"/>
                <w:b w:val="0"/>
                <w:sz w:val="24"/>
              </w:rPr>
              <w:t>Timestamp, ±2 ppm</w:t>
            </w:r>
          </w:p>
        </w:tc>
        <w:tc>
          <w:tcPr>
            <w:tcW w:type="dxa" w:w="1701"/>
          </w:tcPr>
          <w:p>
            <w:pPr>
              <w:jc w:val="center"/>
            </w:pPr>
            <w:r>
              <w:rPr>
                <w:rFonts w:ascii="Times New Roman" w:hAnsi="Times New Roman"/>
                <w:b w:val="0"/>
                <w:sz w:val="24"/>
              </w:rPr>
              <w:t>I²C</w:t>
            </w:r>
          </w:p>
        </w:tc>
        <w:tc>
          <w:tcPr>
            <w:tcW w:type="dxa" w:w="1701"/>
          </w:tcPr>
          <w:p>
            <w:pPr>
              <w:jc w:val="center"/>
            </w:pPr>
            <w:r>
              <w:rPr>
                <w:rFonts w:ascii="Times New Roman" w:hAnsi="Times New Roman"/>
                <w:b w:val="0"/>
                <w:sz w:val="24"/>
              </w:rPr>
              <w:t>Continuous</w:t>
            </w:r>
          </w:p>
        </w:tc>
      </w:tr>
    </w:tbl>
    <w:p/>
    <w:p>
      <w:pPr>
        <w:spacing w:before="200" w:after="80"/>
        <w:jc w:val="left"/>
      </w:pPr>
      <w:r>
        <w:rPr>
          <w:rFonts w:ascii="Times New Roman" w:hAnsi="Times New Roman"/>
          <w:b/>
          <w:sz w:val="28"/>
        </w:rPr>
        <w:t>4.3. Electronics Simulation (Wokwi)</w:t>
      </w:r>
    </w:p>
    <w:p>
      <w:pPr>
        <w:spacing w:line="360" w:lineRule="exact" w:after="120"/>
        <w:jc w:val="both"/>
      </w:pPr>
      <w:r>
        <w:rPr>
          <w:rFonts w:ascii="Times New Roman" w:hAnsi="Times New Roman"/>
          <w:b w:val="0"/>
          <w:i w:val="0"/>
          <w:sz w:val="24"/>
        </w:rPr>
        <w:t>The control electronics were simulated using the Wokwi online circuit simulator (wokwi.com) running an Arduino Uno microcontroller sketch. The simulation implements the hysteresis control loop in real time, with a potentiometer substituting for the Geiger-Muller tube output (0-700 uGy/hr range), a DHT22 sensor providing temperature and humidity readings, two LED indicators showing valve state, and an I2C LCD displaying live readings. Serial output in CSV format allows the simulation data to be captured for integration with the Python pipeline.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52600"/>
                  <wp:docPr id="1" name="Picture 1"/>
                  <wp:cNvGraphicFramePr>
                    <a:graphicFrameLocks noChangeAspect="1"/>
                  </wp:cNvGraphicFramePr>
                  <a:graphic>
                    <a:graphicData uri="http://schemas.openxmlformats.org/drawingml/2006/picture">
                      <pic:pic>
                        <pic:nvPicPr>
                          <pic:cNvPr id="0" name="fig5_wokwi_valve_closed.png"/>
                          <pic:cNvPicPr/>
                        </pic:nvPicPr>
                        <pic:blipFill>
                          <a:blip r:embed="rId9"/>
                          <a:stretch>
                            <a:fillRect/>
                          </a:stretch>
                        </pic:blipFill>
                        <pic:spPr>
                          <a:xfrm>
                            <a:off x="0" y="0"/>
                            <a:ext cx="4572000" cy="1952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6: Valve CLOSED — F:150 uGy/hr (GCR background, green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61812"/>
                  <wp:docPr id="2" name="Picture 2"/>
                  <wp:cNvGraphicFramePr>
                    <a:graphicFrameLocks noChangeAspect="1"/>
                  </wp:cNvGraphicFramePr>
                  <a:graphic>
                    <a:graphicData uri="http://schemas.openxmlformats.org/drawingml/2006/picture">
                      <pic:pic>
                        <pic:nvPicPr>
                          <pic:cNvPr id="0" name="fig6_wokwi_valve_open_trigger.png"/>
                          <pic:cNvPicPr/>
                        </pic:nvPicPr>
                        <pic:blipFill>
                          <a:blip r:embed="rId10"/>
                          <a:stretch>
                            <a:fillRect/>
                          </a:stretch>
                        </pic:blipFill>
                        <pic:spPr>
                          <a:xfrm>
                            <a:off x="0" y="0"/>
                            <a:ext cx="4572000" cy="1961812"/>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7: Valve OPEN triggered — F:522 uGy/hr (exceeded 500 uGy/hr threshold, red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47510"/>
                  <wp:docPr id="3" name="Picture 3"/>
                  <wp:cNvGraphicFramePr>
                    <a:graphicFrameLocks noChangeAspect="1"/>
                  </wp:cNvGraphicFramePr>
                  <a:graphic>
                    <a:graphicData uri="http://schemas.openxmlformats.org/drawingml/2006/picture">
                      <pic:pic>
                        <pic:nvPicPr>
                          <pic:cNvPr id="0" name="fig7_wokwi_valve_open_hold.png"/>
                          <pic:cNvPicPr/>
                        </pic:nvPicPr>
                        <pic:blipFill>
                          <a:blip r:embed="rId11"/>
                          <a:stretch>
                            <a:fillRect/>
                          </a:stretch>
                        </pic:blipFill>
                        <pic:spPr>
                          <a:xfrm>
                            <a:off x="0" y="0"/>
                            <a:ext cx="4572000" cy="194751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8: Valve OPEN holding — F:516 uGy/hr (deadband, valve holds OPEN until &lt;350)</w:t>
            </w:r>
          </w:p>
        </w:tc>
      </w:tr>
    </w:tbl>
    <w:p/>
    <w:p>
      <w:pPr>
        <w:spacing w:before="200" w:after="80"/>
        <w:jc w:val="left"/>
      </w:pPr>
      <w:r>
        <w:rPr>
          <w:rFonts w:ascii="Times New Roman" w:hAnsi="Times New Roman"/>
          <w:b/>
          <w:sz w:val="28"/>
        </w:rPr>
        <w:t>4.4. Operational Workflow</w:t>
      </w:r>
    </w:p>
    <w:p>
      <w:pPr>
        <w:spacing w:line="360" w:lineRule="exact" w:after="120"/>
        <w:jc w:val="both"/>
      </w:pPr>
      <w:r>
        <w:rPr>
          <w:rFonts w:ascii="Times New Roman" w:hAnsi="Times New Roman"/>
          <w:b w:val="0"/>
          <w:i w:val="0"/>
          <w:sz w:val="24"/>
        </w:rPr>
        <w:t>The experiment follows a linear operational sequence from ground preparation to mission completion, designed for fully autonomous operation with minimal ground intervention:</w:t>
      </w:r>
    </w:p>
    <w:p>
      <w:pPr>
        <w:spacing w:line="360" w:lineRule="exact"/>
        <w:ind w:left="680"/>
        <w:jc w:val="both"/>
      </w:pPr>
      <w:r>
        <w:rPr>
          <w:rFonts w:ascii="Times New Roman" w:hAnsi="Times New Roman"/>
          <w:sz w:val="24"/>
        </w:rPr>
        <w:t>1. Sterile Preparation (T-48 h to T-24 h): Sabouraud Dextrose Agar is prepared and inoculated with the respective fungal strains or left sterile (CH-1) under biosafety cabinet conditions. Chambers are sealed with gas-permeable membranes to allow passive gas exchange while preventing contamination.</w:t>
      </w:r>
    </w:p>
    <w:p>
      <w:pPr>
        <w:spacing w:line="360" w:lineRule="exact"/>
        <w:ind w:left="680"/>
        <w:jc w:val="both"/>
      </w:pPr>
      <w:r>
        <w:rPr>
          <w:rFonts w:ascii="Times New Roman" w:hAnsi="Times New Roman"/>
          <w:sz w:val="24"/>
        </w:rPr>
        <w:t>2. Integration &amp; Testing (T-24 h to T-6 h): The LOC chip assembly is integrated into the 3U CubeSat structure along with the dual Raspberry Pi stack, sensors, valve actuator, camera, and battery. Full functional tests (valve actuation, camera imaging, sensor readout, and hysteresis logic) are performed.</w:t>
      </w:r>
    </w:p>
    <w:p>
      <w:pPr>
        <w:spacing w:line="360" w:lineRule="exact"/>
        <w:ind w:left="680"/>
        <w:jc w:val="both"/>
      </w:pPr>
      <w:r>
        <w:rPr>
          <w:rFonts w:ascii="Times New Roman" w:hAnsi="Times New Roman"/>
          <w:sz w:val="24"/>
        </w:rPr>
        <w:t>3. Launch &amp; Deployment (T = 0): The CubeSat is launched and deployed into the target LEO. The system remains in low-power safe mode during ascent.</w:t>
      </w:r>
    </w:p>
    <w:p>
      <w:pPr>
        <w:spacing w:line="360" w:lineRule="exact"/>
        <w:ind w:left="680"/>
        <w:jc w:val="both"/>
      </w:pPr>
      <w:r>
        <w:rPr>
          <w:rFonts w:ascii="Times New Roman" w:hAnsi="Times New Roman"/>
          <w:sz w:val="24"/>
        </w:rPr>
        <w:t>4. Autonomous Science Phase (T+0 to T+48 h): Upon reaching stable orbit, the primary Raspberry Pi boots the control software. Radiation flux is monitored continuously. The hysteresis controller actuates the nutrient valve during SAA passages. The auxiliary Pi triggers the camera for OD600 imaging once per hour. All data are timestamped by the DS3231 RTC and logged locally.</w:t>
      </w:r>
    </w:p>
    <w:p>
      <w:pPr>
        <w:spacing w:line="360" w:lineRule="exact"/>
        <w:ind w:left="680"/>
        <w:jc w:val="both"/>
      </w:pPr>
      <w:r>
        <w:rPr>
          <w:rFonts w:ascii="Times New Roman" w:hAnsi="Times New Roman"/>
          <w:sz w:val="24"/>
        </w:rPr>
        <w:t>5. Data Handling &amp; Downlink: At the end of the 48-hour window (or upon command), summarised data (master_log.csv and selected images) are prepared for downlink. The system enters safe mode.</w:t>
      </w:r>
    </w:p>
    <w:p>
      <w:pPr>
        <w:spacing w:line="360" w:lineRule="exact"/>
        <w:ind w:left="680"/>
        <w:jc w:val="both"/>
      </w:pPr>
      <w:r>
        <w:rPr>
          <w:rFonts w:ascii="Times New Roman" w:hAnsi="Times New Roman"/>
          <w:sz w:val="24"/>
        </w:rPr>
        <w:t>6. Experiment Completion: Post-mission, the CubeSat is deorbited or retrieved. Ground analysis compares simulated attenuation and growth curves against the logged flight data.</w:t>
      </w:r>
    </w:p>
    <w:p>
      <w:pPr>
        <w:spacing w:line="360" w:lineRule="exact" w:after="120"/>
        <w:jc w:val="both"/>
      </w:pPr>
      <w:r>
        <w:rPr>
          <w:rFonts w:ascii="Times New Roman" w:hAnsi="Times New Roman"/>
          <w:b w:val="0"/>
          <w:i w:val="0"/>
          <w:sz w:val="24"/>
        </w:rPr>
        <w:t>This workflow ensures fully autonomous operation with minimal ground intervention, satisfying the constraints of a simple, low-complexity payload.</w:t>
      </w:r>
    </w:p>
    <w:p>
      <w:pPr>
        <w:pBdr>
          <w:bottom w:val="single" w:sz="6" w:space="1" w:color="000000"/>
        </w:pBdr>
      </w:pPr>
    </w:p>
    <w:p>
      <w:pPr>
        <w:spacing w:before="200" w:after="80"/>
        <w:jc w:val="left"/>
      </w:pPr>
      <w:r>
        <w:rPr>
          <w:rFonts w:ascii="Times New Roman" w:hAnsi="Times New Roman"/>
          <w:b/>
          <w:sz w:val="28"/>
        </w:rPr>
        <w:t>4.5. Key Design Trade-offs and Critical Decisions</w:t>
      </w:r>
    </w:p>
    <w:p>
      <w:pPr>
        <w:spacing w:line="360" w:lineRule="exact" w:after="120"/>
        <w:jc w:val="both"/>
      </w:pPr>
      <w:r>
        <w:rPr>
          <w:rFonts w:ascii="Times New Roman" w:hAnsi="Times New Roman"/>
          <w:b w:val="0"/>
          <w:i w:val="0"/>
          <w:sz w:val="24"/>
        </w:rPr>
        <w:t>Several deliberate trade-offs were made to balance scientific value, simplicity, and feasibility within the given constraints:</w:t>
      </w:r>
    </w:p>
    <w:p>
      <w:pPr>
        <w:spacing w:line="360" w:lineRule="exact"/>
        <w:ind w:left="680"/>
        <w:jc w:val="both"/>
      </w:pPr>
      <w:r>
        <w:rPr>
          <w:rFonts w:ascii="Times New Roman" w:hAnsi="Times New Roman"/>
          <w:sz w:val="24"/>
        </w:rPr>
        <w:t>• Three chambers versus two: The addition of a second fungal strain (CH-3) enables direct comparison of melanin density effects and strengthens statistical validity, at the cost of only marginal increases in mass, volume, and data processing.</w:t>
      </w:r>
    </w:p>
    <w:p>
      <w:pPr>
        <w:spacing w:line="360" w:lineRule="exact"/>
        <w:ind w:left="680"/>
        <w:jc w:val="both"/>
      </w:pPr>
      <w:r>
        <w:rPr>
          <w:rFonts w:ascii="Times New Roman" w:hAnsi="Times New Roman"/>
          <w:sz w:val="24"/>
        </w:rPr>
        <w:t>• Hysteresis valve control: The biologically responsive nutrient valve adds a novel creative feature that couples environmental radiation to biological state. This increases scientific insight but introduces a small additional power consumer and single point of mechanical failure (mitigated by deadband logic and sealed design).</w:t>
      </w:r>
    </w:p>
    <w:p>
      <w:pPr>
        <w:spacing w:line="360" w:lineRule="exact"/>
        <w:ind w:left="680"/>
        <w:jc w:val="both"/>
      </w:pPr>
      <w:r>
        <w:rPr>
          <w:rFonts w:ascii="Times New Roman" w:hAnsi="Times New Roman"/>
          <w:sz w:val="24"/>
        </w:rPr>
        <w:t>• Passive fluidics + valve modulation: Purely passive capillary and surface-tension-driven nutrient distribution was prioritised for microgravity compatibility. The valve only modulates delivery rather than actively pumping fluid, preserving simplicity and eliminating pump-related failure modes.</w:t>
      </w:r>
    </w:p>
    <w:p>
      <w:pPr>
        <w:spacing w:line="360" w:lineRule="exact"/>
        <w:ind w:left="680"/>
        <w:jc w:val="both"/>
      </w:pPr>
      <w:r>
        <w:rPr>
          <w:rFonts w:ascii="Times New Roman" w:hAnsi="Times New Roman"/>
          <w:sz w:val="24"/>
        </w:rPr>
        <w:t>• Camera-based OD600 proxy versus dedicated spectrophotometer: A simple OV5647 camera module provides non-contact biomass estimation at very low mass, power, and complexity. This trades some measurement precision for flight heritage and ease of integration.</w:t>
      </w:r>
    </w:p>
    <w:p>
      <w:pPr>
        <w:spacing w:line="360" w:lineRule="exact"/>
        <w:ind w:left="680"/>
        <w:jc w:val="both"/>
      </w:pPr>
      <w:r>
        <w:rPr>
          <w:rFonts w:ascii="Times New Roman" w:hAnsi="Times New Roman"/>
          <w:sz w:val="24"/>
        </w:rPr>
        <w:t>• Simulation-first development: Extensive Python modelling and Wokwi electronics simulation were completed before physical prototyping. This accelerated iteration and risk reduction but defers full hardware-in-the-loop validation to future work.</w:t>
      </w:r>
    </w:p>
    <w:p>
      <w:pPr>
        <w:spacing w:line="360" w:lineRule="exact" w:after="120"/>
        <w:jc w:val="both"/>
      </w:pPr>
      <w:r>
        <w:rPr>
          <w:rFonts w:ascii="Times New Roman" w:hAnsi="Times New Roman"/>
          <w:b w:val="0"/>
          <w:i w:val="0"/>
          <w:sz w:val="24"/>
        </w:rPr>
        <w:t>These decisions were driven by the requirements for maximum 2-3 chambers, no complex instruments, and a single simple creative feature that enhances functionality without increasing cost or complexity.</w:t>
      </w:r>
    </w:p>
    <w:p>
      <w:r>
        <w:br w:type="page"/>
      </w:r>
    </w:p>
    <w:p>
      <w:pPr>
        <w:spacing w:before="280" w:after="120"/>
        <w:jc w:val="left"/>
        <w:pBdr>
          <w:bottom w:val="single" w:sz="4" w:space="1" w:color="AAAAAA"/>
        </w:pBdr>
      </w:pPr>
      <w:r>
        <w:rPr>
          <w:rFonts w:ascii="Times New Roman" w:hAnsi="Times New Roman"/>
          <w:b/>
          <w:color w:val="000000"/>
          <w:sz w:val="28"/>
        </w:rPr>
        <w:t>5. Mathematical &amp; Computational Models</w:t>
      </w:r>
    </w:p>
    <w:p>
      <w:pPr>
        <w:spacing w:before="200" w:after="80"/>
        <w:jc w:val="left"/>
      </w:pPr>
      <w:r>
        <w:rPr>
          <w:rFonts w:ascii="Times New Roman" w:hAnsi="Times New Roman"/>
          <w:b/>
          <w:sz w:val="28"/>
        </w:rPr>
        <w:t>5.1. Logistic Growth Model</w:t>
      </w:r>
    </w:p>
    <w:p>
      <w:pPr>
        <w:spacing w:line="360" w:lineRule="exact" w:after="120"/>
        <w:jc w:val="both"/>
      </w:pPr>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pPr>
        <w:spacing w:before="120" w:after="120"/>
        <w:jc w:val="center"/>
        <w:pBdr>
          <w:left w:val="single" w:sz="12" w:space="10" w:color="000000"/>
        </w:pBdr>
      </w:pPr>
      <w:r>
        <w:rPr>
          <w:rFonts w:ascii="Courier New" w:hAnsi="Courier New"/>
          <w:sz w:val="22"/>
        </w:rPr>
        <w:t>dN/dt = r . N . (1 - N/K)                          [Equation 1]</w:t>
      </w:r>
    </w:p>
    <w:p>
      <w:pPr>
        <w:spacing w:line="360" w:lineRule="exact" w:after="120"/>
        <w:jc w:val="both"/>
      </w:pPr>
      <w:r>
        <w:rPr>
          <w:rFonts w:ascii="Times New Roman" w:hAnsi="Times New Roman"/>
          <w:b w:val="0"/>
          <w:i w:val="0"/>
          <w:sz w:val="24"/>
        </w:rPr>
        <w:t>Where:</w:t>
      </w:r>
    </w:p>
    <w:p>
      <w:pPr>
        <w:spacing w:line="360" w:lineRule="exact"/>
        <w:ind w:left="680"/>
        <w:jc w:val="both"/>
      </w:pPr>
      <w:r>
        <w:rPr>
          <w:rFonts w:ascii="Times New Roman" w:hAnsi="Times New Roman"/>
          <w:sz w:val="24"/>
        </w:rPr>
        <w:t>• N(t) = biomass concentration [g/L] at time t</w:t>
      </w:r>
    </w:p>
    <w:p>
      <w:pPr>
        <w:spacing w:line="360" w:lineRule="exact"/>
        <w:ind w:left="680"/>
        <w:jc w:val="both"/>
      </w:pPr>
      <w:r>
        <w:rPr>
          <w:rFonts w:ascii="Times New Roman" w:hAnsi="Times New Roman"/>
          <w:sz w:val="24"/>
        </w:rPr>
        <w:t>• r = intrinsic growth rate [h^-1]</w:t>
      </w:r>
    </w:p>
    <w:p>
      <w:pPr>
        <w:spacing w:line="360" w:lineRule="exact"/>
        <w:ind w:left="680"/>
        <w:jc w:val="both"/>
      </w:pPr>
      <w:r>
        <w:rPr>
          <w:rFonts w:ascii="Times New Roman" w:hAnsi="Times New Roman"/>
          <w:sz w:val="24"/>
        </w:rPr>
        <w:t>• K = carrying capacity [g/L]</w:t>
      </w:r>
    </w:p>
    <w:p>
      <w:pPr>
        <w:spacing w:line="360" w:lineRule="exact"/>
        <w:ind w:left="680"/>
        <w:jc w:val="both"/>
      </w:pPr>
      <w:r>
        <w:rPr>
          <w:rFonts w:ascii="Times New Roman" w:hAnsi="Times New Roman"/>
          <w:sz w:val="24"/>
        </w:rPr>
        <w:t>• N0 = initial inoculation density = 0.01 g/L</w:t>
      </w:r>
    </w:p>
    <w:p>
      <w:pPr>
        <w:spacing w:line="360" w:lineRule="exact" w:after="120"/>
        <w:jc w:val="both"/>
      </w:pPr>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pPr>
        <w:spacing w:line="360" w:lineRule="exact" w:after="120"/>
        <w:jc w:val="both"/>
      </w:pPr>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spacing w:before="200" w:after="80"/>
        <w:jc w:val="left"/>
      </w:pPr>
      <w:r>
        <w:rPr>
          <w:rFonts w:ascii="Times New Roman" w:hAnsi="Times New Roman"/>
          <w:b/>
          <w:sz w:val="28"/>
        </w:rPr>
        <w:t>5.2. Melanin Thickness Proxy</w:t>
      </w:r>
    </w:p>
    <w:p>
      <w:pPr>
        <w:spacing w:line="360" w:lineRule="exact" w:after="120"/>
        <w:jc w:val="both"/>
      </w:pPr>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pPr>
        <w:spacing w:before="120" w:after="120"/>
        <w:jc w:val="center"/>
        <w:pBdr>
          <w:left w:val="single" w:sz="12" w:space="10" w:color="000000"/>
        </w:pBdr>
      </w:pPr>
      <w:r>
        <w:rPr>
          <w:rFonts w:ascii="Courier New" w:hAnsi="Courier New"/>
          <w:sz w:val="22"/>
        </w:rPr>
        <w:t>delta(t) = alpha . N(t)     [cm]                   [Equation 2]</w:t>
      </w:r>
    </w:p>
    <w:p>
      <w:pPr>
        <w:spacing w:line="360" w:lineRule="exact" w:after="120"/>
        <w:jc w:val="both"/>
      </w:pPr>
      <w:r>
        <w:rPr>
          <w:rFonts w:ascii="Times New Roman" w:hAnsi="Times New Roman"/>
          <w:b w:val="0"/>
          <w:i w:val="0"/>
          <w:sz w:val="24"/>
        </w:rPr>
        <w:t>The calibration constant alpha is derived by requiring that at peak biomass (N = K = 1.0 g/L), the Beer-Lambert attenuation for CH-2 equals 2.17%:</w:t>
      </w:r>
    </w:p>
    <w:p>
      <w:pPr>
        <w:spacing w:before="120" w:after="120"/>
        <w:jc w:val="center"/>
        <w:pBdr>
          <w:left w:val="single" w:sz="12" w:space="10" w:color="000000"/>
        </w:pBdr>
      </w:pPr>
      <w:r>
        <w:rPr>
          <w:rFonts w:ascii="Courier New" w:hAnsi="Courier New"/>
          <w:sz w:val="22"/>
        </w:rPr>
        <w:t>alpha_CH2 = -ln(1 - 0.0217) / (mu x rho) = 0.3645 cm.L/g   [Equation 3]</w:t>
      </w:r>
    </w:p>
    <w:p>
      <w:pPr>
        <w:spacing w:line="360" w:lineRule="exact" w:after="120"/>
        <w:jc w:val="both"/>
      </w:pPr>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spacing w:before="200" w:after="80"/>
        <w:jc w:val="left"/>
      </w:pPr>
      <w:r>
        <w:rPr>
          <w:rFonts w:ascii="Times New Roman" w:hAnsi="Times New Roman"/>
          <w:b/>
          <w:sz w:val="28"/>
        </w:rPr>
        <w:t>5.3. Beer-Lambert Radiation Attenuation</w:t>
      </w:r>
    </w:p>
    <w:p>
      <w:pPr>
        <w:spacing w:line="360" w:lineRule="exact" w:after="120"/>
        <w:jc w:val="both"/>
      </w:pPr>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pPr>
        <w:spacing w:before="120" w:after="120"/>
        <w:jc w:val="center"/>
        <w:pBdr>
          <w:left w:val="single" w:sz="12" w:space="10" w:color="000000"/>
        </w:pBdr>
      </w:pPr>
      <w:r>
        <w:rPr>
          <w:rFonts w:ascii="Courier New" w:hAnsi="Courier New"/>
          <w:sz w:val="22"/>
        </w:rPr>
        <w:t>I(t) = I0(t) . exp(-mu . rho . delta(t))          [Equation 4]</w:t>
      </w:r>
    </w:p>
    <w:p>
      <w:pPr>
        <w:spacing w:before="120" w:after="120"/>
        <w:jc w:val="center"/>
        <w:pBdr>
          <w:left w:val="single" w:sz="12" w:space="10" w:color="000000"/>
        </w:pBdr>
      </w:pPr>
      <w:r>
        <w:rPr>
          <w:rFonts w:ascii="Courier New" w:hAnsi="Courier New"/>
          <w:sz w:val="22"/>
        </w:rPr>
        <w:t>Attn%(t) = [I0(t) - I(t)] / I0(t) x 100          [Equation 5]</w:t>
      </w:r>
    </w:p>
    <w:p>
      <w:pPr>
        <w:jc w:val="center"/>
      </w:pPr>
      <w:r>
        <w:rPr>
          <w:rFonts w:ascii="Times New Roman" w:hAnsi="Times New Roman"/>
          <w:b/>
          <w:i/>
          <w:sz w:val="20"/>
        </w:rPr>
        <w:t>Table 6: Beer-Lambert Physical Parameters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Parameter</w:t>
            </w:r>
          </w:p>
        </w:tc>
        <w:tc>
          <w:tcPr>
            <w:tcW w:type="dxa" w:w="1701"/>
            <w:shd w:val="clear" w:color="auto" w:fill="1A1A2E"/>
          </w:tcPr>
          <w:p>
            <w:pPr>
              <w:jc w:val="center"/>
            </w:pPr>
            <w:r>
              <w:rPr>
                <w:rFonts w:ascii="Times New Roman" w:hAnsi="Times New Roman"/>
                <w:b/>
                <w:color w:val="FFFFFF"/>
                <w:sz w:val="24"/>
              </w:rPr>
              <w:t>Symbol</w:t>
            </w:r>
          </w:p>
        </w:tc>
        <w:tc>
          <w:tcPr>
            <w:tcW w:type="dxa" w:w="1701"/>
            <w:shd w:val="clear" w:color="auto" w:fill="1A1A2E"/>
          </w:tcPr>
          <w:p>
            <w:pPr>
              <w:jc w:val="center"/>
            </w:pPr>
            <w:r>
              <w:rPr>
                <w:rFonts w:ascii="Times New Roman" w:hAnsi="Times New Roman"/>
                <w:b/>
                <w:color w:val="FFFFFF"/>
                <w:sz w:val="24"/>
              </w:rPr>
              <w:t>CH-2 (C. sphaerospermum)</w:t>
            </w:r>
          </w:p>
        </w:tc>
        <w:tc>
          <w:tcPr>
            <w:tcW w:type="dxa" w:w="1701"/>
            <w:shd w:val="clear" w:color="auto" w:fill="1A1A2E"/>
          </w:tcPr>
          <w:p>
            <w:pPr>
              <w:jc w:val="center"/>
            </w:pPr>
            <w:r>
              <w:rPr>
                <w:rFonts w:ascii="Times New Roman" w:hAnsi="Times New Roman"/>
                <w:b/>
                <w:color w:val="FFFFFF"/>
                <w:sz w:val="24"/>
              </w:rPr>
              <w:t>CH-3 (W. dermatitidis)</w:t>
            </w:r>
          </w:p>
        </w:tc>
        <w:tc>
          <w:tcPr>
            <w:tcW w:type="dxa" w:w="1701"/>
            <w:shd w:val="clear" w:color="auto" w:fill="1A1A2E"/>
          </w:tcPr>
          <w:p>
            <w:pPr>
              <w:jc w:val="center"/>
            </w:pPr>
            <w:r>
              <w:rPr>
                <w:rFonts w:ascii="Times New Roman" w:hAnsi="Times New Roman"/>
                <w:b/>
                <w:color w:val="FFFFFF"/>
                <w:sz w:val="24"/>
              </w:rPr>
              <w:t>Source</w:t>
            </w:r>
          </w:p>
        </w:tc>
      </w:tr>
      <w:tr>
        <w:tc>
          <w:tcPr>
            <w:tcW w:type="dxa" w:w="1701"/>
          </w:tcPr>
          <w:p>
            <w:pPr>
              <w:jc w:val="left"/>
            </w:pPr>
            <w:r>
              <w:rPr>
                <w:rFonts w:ascii="Times New Roman" w:hAnsi="Times New Roman"/>
                <w:b w:val="0"/>
                <w:sz w:val="24"/>
              </w:rPr>
              <w:t>Mass attenuation coefficient</w:t>
            </w:r>
          </w:p>
        </w:tc>
        <w:tc>
          <w:tcPr>
            <w:tcW w:type="dxa" w:w="1701"/>
          </w:tcPr>
          <w:p>
            <w:pPr>
              <w:jc w:val="center"/>
            </w:pPr>
            <w:r>
              <w:rPr>
                <w:rFonts w:ascii="Times New Roman" w:hAnsi="Times New Roman"/>
                <w:b w:val="0"/>
                <w:sz w:val="24"/>
              </w:rPr>
              <w:t>μ</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Dadachova et al. (2008)</w:t>
            </w:r>
          </w:p>
        </w:tc>
      </w:tr>
      <w:tr>
        <w:tc>
          <w:tcPr>
            <w:tcW w:type="dxa" w:w="1701"/>
          </w:tcPr>
          <w:p>
            <w:pPr>
              <w:jc w:val="left"/>
            </w:pPr>
            <w:r>
              <w:rPr>
                <w:rFonts w:ascii="Times New Roman" w:hAnsi="Times New Roman"/>
                <w:b w:val="0"/>
                <w:sz w:val="24"/>
              </w:rPr>
              <w:t>Melanin density</w:t>
            </w:r>
          </w:p>
        </w:tc>
        <w:tc>
          <w:tcPr>
            <w:tcW w:type="dxa" w:w="1701"/>
          </w:tcPr>
          <w:p>
            <w:pPr>
              <w:jc w:val="center"/>
            </w:pPr>
            <w:r>
              <w:rPr>
                <w:rFonts w:ascii="Times New Roman" w:hAnsi="Times New Roman"/>
                <w:b w:val="0"/>
                <w:sz w:val="24"/>
              </w:rPr>
              <w:t>ρ</w:t>
            </w:r>
          </w:p>
        </w:tc>
        <w:tc>
          <w:tcPr>
            <w:tcW w:type="dxa" w:w="1701"/>
          </w:tcPr>
          <w:p>
            <w:pPr>
              <w:jc w:val="center"/>
            </w:pPr>
            <w:r>
              <w:rPr>
                <w:rFonts w:ascii="Times New Roman" w:hAnsi="Times New Roman"/>
                <w:b w:val="0"/>
                <w:sz w:val="24"/>
              </w:rPr>
              <w:t>1.40 g/cm³</w:t>
            </w:r>
          </w:p>
        </w:tc>
        <w:tc>
          <w:tcPr>
            <w:tcW w:type="dxa" w:w="1701"/>
          </w:tcPr>
          <w:p>
            <w:pPr>
              <w:jc w:val="center"/>
            </w:pPr>
            <w:r>
              <w:rPr>
                <w:rFonts w:ascii="Times New Roman" w:hAnsi="Times New Roman"/>
                <w:b w:val="0"/>
                <w:sz w:val="24"/>
              </w:rPr>
              <w:t>1.45 g/cm³</w:t>
            </w:r>
          </w:p>
        </w:tc>
        <w:tc>
          <w:tcPr>
            <w:tcW w:type="dxa" w:w="1701"/>
          </w:tcPr>
          <w:p>
            <w:pPr>
              <w:jc w:val="center"/>
            </w:pPr>
            <w:r>
              <w:rPr>
                <w:rFonts w:ascii="Times New Roman" w:hAnsi="Times New Roman"/>
                <w:b w:val="0"/>
                <w:sz w:val="24"/>
              </w:rPr>
              <w:t>Bryan &amp; Casadevall (2014)</w:t>
            </w:r>
          </w:p>
        </w:tc>
      </w:tr>
      <w:tr>
        <w:tc>
          <w:tcPr>
            <w:tcW w:type="dxa" w:w="1701"/>
          </w:tcPr>
          <w:p>
            <w:pPr>
              <w:jc w:val="left"/>
            </w:pPr>
            <w:r>
              <w:rPr>
                <w:rFonts w:ascii="Times New Roman" w:hAnsi="Times New Roman"/>
                <w:b w:val="0"/>
                <w:sz w:val="24"/>
              </w:rPr>
              <w:t>Calibrated thickness constant</w:t>
            </w:r>
          </w:p>
        </w:tc>
        <w:tc>
          <w:tcPr>
            <w:tcW w:type="dxa" w:w="1701"/>
          </w:tcPr>
          <w:p>
            <w:pPr>
              <w:jc w:val="center"/>
            </w:pPr>
            <w:r>
              <w:rPr>
                <w:rFonts w:ascii="Times New Roman" w:hAnsi="Times New Roman"/>
                <w:b w:val="0"/>
                <w:sz w:val="24"/>
              </w:rPr>
              <w:t>α</w:t>
            </w:r>
          </w:p>
        </w:tc>
        <w:tc>
          <w:tcPr>
            <w:tcW w:type="dxa" w:w="1701"/>
          </w:tcPr>
          <w:p>
            <w:pPr>
              <w:jc w:val="center"/>
            </w:pPr>
            <w:r>
              <w:rPr>
                <w:rFonts w:ascii="Times New Roman" w:hAnsi="Times New Roman"/>
                <w:b w:val="0"/>
                <w:sz w:val="24"/>
              </w:rPr>
              <w:t>0.3645 cm·L/g</w:t>
            </w:r>
          </w:p>
        </w:tc>
        <w:tc>
          <w:tcPr>
            <w:tcW w:type="dxa" w:w="1701"/>
          </w:tcPr>
          <w:p>
            <w:pPr>
              <w:jc w:val="center"/>
            </w:pPr>
            <w:r>
              <w:rPr>
                <w:rFonts w:ascii="Times New Roman" w:hAnsi="Times New Roman"/>
                <w:b w:val="0"/>
                <w:sz w:val="24"/>
              </w:rPr>
              <w:t>0.4192 cm·L/g</w:t>
            </w:r>
          </w:p>
        </w:tc>
        <w:tc>
          <w:tcPr>
            <w:tcW w:type="dxa" w:w="1701"/>
          </w:tcPr>
          <w:p>
            <w:pPr>
              <w:jc w:val="center"/>
            </w:pPr>
            <w:r>
              <w:rPr>
                <w:rFonts w:ascii="Times New Roman" w:hAnsi="Times New Roman"/>
                <w:b w:val="0"/>
                <w:sz w:val="24"/>
              </w:rPr>
              <w:t>Calibrated to Shunk 2020</w:t>
            </w:r>
          </w:p>
        </w:tc>
      </w:tr>
      <w:tr>
        <w:tc>
          <w:tcPr>
            <w:tcW w:type="dxa" w:w="1701"/>
          </w:tcPr>
          <w:p>
            <w:pPr>
              <w:jc w:val="left"/>
            </w:pPr>
            <w:r>
              <w:rPr>
                <w:rFonts w:ascii="Times New Roman" w:hAnsi="Times New Roman"/>
                <w:b w:val="0"/>
                <w:sz w:val="24"/>
              </w:rPr>
              <w:t>Expected peak Attn%</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2.17%</w:t>
            </w:r>
          </w:p>
        </w:tc>
        <w:tc>
          <w:tcPr>
            <w:tcW w:type="dxa" w:w="1701"/>
          </w:tcPr>
          <w:p>
            <w:pPr>
              <w:jc w:val="center"/>
            </w:pPr>
            <w:r>
              <w:rPr>
                <w:rFonts w:ascii="Times New Roman" w:hAnsi="Times New Roman"/>
                <w:b w:val="0"/>
                <w:sz w:val="24"/>
              </w:rPr>
              <w:t>~2.5%</w:t>
            </w:r>
          </w:p>
        </w:tc>
        <w:tc>
          <w:tcPr>
            <w:tcW w:type="dxa" w:w="1701"/>
          </w:tcPr>
          <w:p>
            <w:pPr>
              <w:jc w:val="center"/>
            </w:pPr>
            <w:r>
              <w:rPr>
                <w:rFonts w:ascii="Times New Roman" w:hAnsi="Times New Roman"/>
                <w:b w:val="0"/>
                <w:sz w:val="24"/>
              </w:rPr>
              <w:t>ISS reference / predicted</w:t>
            </w:r>
          </w:p>
        </w:tc>
      </w:tr>
    </w:tbl>
    <w:p/>
    <w:p>
      <w:pPr>
        <w:spacing w:before="200" w:after="80"/>
        <w:jc w:val="left"/>
      </w:pPr>
      <w:r>
        <w:rPr>
          <w:rFonts w:ascii="Times New Roman" w:hAnsi="Times New Roman"/>
          <w:b/>
          <w:sz w:val="28"/>
        </w:rPr>
        <w:t>5.4. Hysteresis Control Logic</w:t>
      </w:r>
    </w:p>
    <w:p>
      <w:pPr>
        <w:spacing w:line="360" w:lineRule="exact" w:after="120"/>
        <w:jc w:val="both"/>
      </w:pPr>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pPr>
        <w:spacing w:before="120" w:after="120"/>
        <w:jc w:val="center"/>
        <w:pBdr>
          <w:left w:val="single" w:sz="12" w:space="10" w:color="000000"/>
        </w:pBdr>
      </w:pPr>
      <w:r>
        <w:rPr>
          <w:rFonts w:ascii="Courier New" w:hAnsi="Courier New"/>
          <w:sz w:val="22"/>
        </w:rPr>
        <w:t>valve_state = OPEN   if flux &gt; 500 uGy/hr</w:t>
        <w:br/>
        <w:t>valve_state = CLOSED if flux &lt; 350 uGy/hr</w:t>
        <w:br/>
        <w:t>valve_state = HOLD   otherwise (deadband)      [Equation 6]</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hysteresis_validation.png"/>
                          <pic:cNvPicPr/>
                        </pic:nvPicPr>
                        <pic:blipFill>
                          <a:blip r:embed="rId12"/>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5: Hysteresis Controller Validation — radiation flux (top) and valve state (bottom) over 48 hours. SAA spikes trigger OPEN events. Deadband prevents chatter in 350-500 uGy/hr range.</w:t>
            </w:r>
          </w:p>
        </w:tc>
      </w:tr>
    </w:tbl>
    <w:p/>
    <w:p>
      <w:r>
        <w:br w:type="page"/>
      </w:r>
    </w:p>
    <w:p>
      <w:pPr>
        <w:spacing w:before="280" w:after="120"/>
        <w:jc w:val="left"/>
        <w:pBdr>
          <w:bottom w:val="single" w:sz="4" w:space="1" w:color="AAAAAA"/>
        </w:pBdr>
      </w:pPr>
      <w:r>
        <w:rPr>
          <w:rFonts w:ascii="Times New Roman" w:hAnsi="Times New Roman"/>
          <w:b/>
          <w:color w:val="000000"/>
          <w:sz w:val="28"/>
        </w:rPr>
        <w:t>6. Software Architecture &amp; Data Pipeline</w:t>
      </w:r>
    </w:p>
    <w:p>
      <w:pPr>
        <w:spacing w:before="200" w:after="80"/>
        <w:jc w:val="left"/>
      </w:pPr>
      <w:r>
        <w:rPr>
          <w:rFonts w:ascii="Times New Roman" w:hAnsi="Times New Roman"/>
          <w:b/>
          <w:sz w:val="28"/>
        </w:rPr>
        <w:t>6.1. Module Structure</w:t>
      </w:r>
    </w:p>
    <w:p>
      <w:pPr>
        <w:spacing w:line="360" w:lineRule="exact" w:after="120"/>
        <w:jc w:val="both"/>
      </w:pPr>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pPr>
        <w:spacing w:line="360" w:lineRule="exact" w:after="120"/>
        <w:jc w:val="both"/>
      </w:pPr>
      <w:r>
        <w:rPr>
          <w:rFonts w:ascii="Times New Roman" w:hAnsi="Times New Roman"/>
          <w:b w:val="0"/>
          <w:i w:val="0"/>
          <w:sz w:val="24"/>
        </w:rPr>
        <w:t>Data flow:</w:t>
      </w:r>
    </w:p>
    <w:p>
      <w:pPr>
        <w:spacing w:line="360" w:lineRule="exact"/>
        <w:ind w:left="680"/>
        <w:jc w:val="both"/>
      </w:pPr>
      <w:r>
        <w:rPr>
          <w:rFonts w:ascii="Times New Roman" w:hAnsi="Times New Roman"/>
          <w:sz w:val="24"/>
        </w:rPr>
        <w:t>1. flux_generator.py  -&gt;  data/flux_profile.csv</w:t>
      </w:r>
    </w:p>
    <w:p>
      <w:pPr>
        <w:spacing w:line="360" w:lineRule="exact"/>
        <w:ind w:left="680"/>
        <w:jc w:val="both"/>
      </w:pPr>
      <w:r>
        <w:rPr>
          <w:rFonts w:ascii="Times New Roman" w:hAnsi="Times New Roman"/>
          <w:sz w:val="24"/>
        </w:rPr>
        <w:t>2. hysteresis.py      -&gt;  data/valve_state.csv</w:t>
      </w:r>
    </w:p>
    <w:p>
      <w:pPr>
        <w:spacing w:line="360" w:lineRule="exact"/>
        <w:ind w:left="680"/>
        <w:jc w:val="both"/>
      </w:pPr>
      <w:r>
        <w:rPr>
          <w:rFonts w:ascii="Times New Roman" w:hAnsi="Times New Roman"/>
          <w:sz w:val="24"/>
        </w:rPr>
        <w:t>3. growth_model.py    -&gt;  data/growth_output.csv</w:t>
      </w:r>
    </w:p>
    <w:p>
      <w:pPr>
        <w:spacing w:line="360" w:lineRule="exact"/>
        <w:ind w:left="680"/>
        <w:jc w:val="both"/>
      </w:pPr>
      <w:r>
        <w:rPr>
          <w:rFonts w:ascii="Times New Roman" w:hAnsi="Times New Roman"/>
          <w:sz w:val="24"/>
        </w:rPr>
        <w:t>4. attenuation.py     -&gt;  data/attenuation_output.csv</w:t>
      </w:r>
    </w:p>
    <w:p>
      <w:pPr>
        <w:spacing w:line="360" w:lineRule="exact"/>
        <w:ind w:left="680"/>
        <w:jc w:val="both"/>
      </w:pPr>
      <w:r>
        <w:rPr>
          <w:rFonts w:ascii="Times New Roman" w:hAnsi="Times New Roman"/>
          <w:sz w:val="24"/>
        </w:rPr>
        <w:t>5. integrate.py       -&gt;  data/master_log.csv</w:t>
      </w:r>
    </w:p>
    <w:p>
      <w:pPr>
        <w:spacing w:line="360" w:lineRule="exact"/>
        <w:ind w:left="680"/>
        <w:jc w:val="both"/>
      </w:pPr>
      <w:r>
        <w:rPr>
          <w:rFonts w:ascii="Times New Roman" w:hAnsi="Times New Roman"/>
          <w:sz w:val="24"/>
        </w:rPr>
        <w:t>6. dashboard.py       -&gt;  figures/fig1 through fig4</w:t>
      </w:r>
    </w:p>
    <w:p>
      <w:pPr>
        <w:spacing w:before="200" w:after="80"/>
        <w:jc w:val="left"/>
      </w:pPr>
      <w:r>
        <w:rPr>
          <w:rFonts w:ascii="Times New Roman" w:hAnsi="Times New Roman"/>
          <w:b/>
          <w:sz w:val="28"/>
        </w:rPr>
        <w:t>6.2. CSV Data Schema</w:t>
      </w:r>
    </w:p>
    <w:p>
      <w:pPr>
        <w:jc w:val="center"/>
      </w:pPr>
      <w:r>
        <w:rPr>
          <w:rFonts w:ascii="Times New Roman" w:hAnsi="Times New Roman"/>
          <w:b/>
          <w:i/>
          <w:sz w:val="20"/>
        </w:rPr>
        <w:t>Table 7: Master CSV Schema (master_log.csv) — 13 columns, 49 rows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w:t>
            </w:r>
          </w:p>
        </w:tc>
        <w:tc>
          <w:tcPr>
            <w:tcW w:type="dxa" w:w="1701"/>
            <w:shd w:val="clear" w:color="auto" w:fill="1A1A2E"/>
          </w:tcPr>
          <w:p>
            <w:pPr>
              <w:jc w:val="center"/>
            </w:pPr>
            <w:r>
              <w:rPr>
                <w:rFonts w:ascii="Times New Roman" w:hAnsi="Times New Roman"/>
                <w:b/>
                <w:color w:val="FFFFFF"/>
                <w:sz w:val="24"/>
              </w:rPr>
              <w:t>Column Name</w:t>
            </w:r>
          </w:p>
        </w:tc>
        <w:tc>
          <w:tcPr>
            <w:tcW w:type="dxa" w:w="1701"/>
            <w:shd w:val="clear" w:color="auto" w:fill="1A1A2E"/>
          </w:tcPr>
          <w:p>
            <w:pPr>
              <w:jc w:val="center"/>
            </w:pPr>
            <w:r>
              <w:rPr>
                <w:rFonts w:ascii="Times New Roman" w:hAnsi="Times New Roman"/>
                <w:b/>
                <w:color w:val="FFFFFF"/>
                <w:sz w:val="24"/>
              </w:rPr>
              <w:t>Unit</w:t>
            </w:r>
          </w:p>
        </w:tc>
        <w:tc>
          <w:tcPr>
            <w:tcW w:type="dxa" w:w="1701"/>
            <w:shd w:val="clear" w:color="auto" w:fill="1A1A2E"/>
          </w:tcPr>
          <w:p>
            <w:pPr>
              <w:jc w:val="center"/>
            </w:pPr>
            <w:r>
              <w:rPr>
                <w:rFonts w:ascii="Times New Roman" w:hAnsi="Times New Roman"/>
                <w:b/>
                <w:color w:val="FFFFFF"/>
                <w:sz w:val="24"/>
              </w:rPr>
              <w:t>Source Module</w:t>
            </w:r>
          </w:p>
        </w:tc>
        <w:tc>
          <w:tcPr>
            <w:tcW w:type="dxa" w:w="1701"/>
            <w:shd w:val="clear" w:color="auto" w:fill="1A1A2E"/>
          </w:tcPr>
          <w:p>
            <w:pPr>
              <w:jc w:val="center"/>
            </w:pPr>
            <w:r>
              <w:rPr>
                <w:rFonts w:ascii="Times New Roman" w:hAnsi="Times New Roman"/>
                <w:b/>
                <w:color w:val="FFFFFF"/>
                <w:sz w:val="24"/>
              </w:rPr>
              <w:t>Description</w:t>
            </w:r>
          </w:p>
        </w:tc>
      </w:tr>
      <w:tr>
        <w:tc>
          <w:tcPr>
            <w:tcW w:type="dxa" w:w="1701"/>
          </w:tcPr>
          <w:p>
            <w:pPr>
              <w:jc w:val="center"/>
            </w:pPr>
            <w:r>
              <w:rPr>
                <w:rFonts w:ascii="Times New Roman" w:hAnsi="Times New Roman"/>
                <w:b w:val="0"/>
                <w:sz w:val="24"/>
              </w:rPr>
              <w:t>1</w:t>
            </w:r>
          </w:p>
        </w:tc>
        <w:tc>
          <w:tcPr>
            <w:tcW w:type="dxa" w:w="1701"/>
          </w:tcPr>
          <w:p>
            <w:pPr>
              <w:jc w:val="left"/>
            </w:pPr>
            <w:r>
              <w:rPr>
                <w:rFonts w:ascii="Times New Roman" w:hAnsi="Times New Roman"/>
                <w:b w:val="0"/>
                <w:sz w:val="24"/>
              </w:rPr>
              <w:t>time_hr</w:t>
            </w:r>
          </w:p>
        </w:tc>
        <w:tc>
          <w:tcPr>
            <w:tcW w:type="dxa" w:w="1701"/>
          </w:tcPr>
          <w:p>
            <w:pPr>
              <w:jc w:val="center"/>
            </w:pPr>
            <w:r>
              <w:rPr>
                <w:rFonts w:ascii="Times New Roman" w:hAnsi="Times New Roman"/>
                <w:b w:val="0"/>
                <w:sz w:val="24"/>
              </w:rPr>
              <w:t>h</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Simulation time, 0–48 hr</w:t>
            </w:r>
          </w:p>
        </w:tc>
      </w:tr>
      <w:tr>
        <w:tc>
          <w:tcPr>
            <w:tcW w:type="dxa" w:w="1701"/>
          </w:tcPr>
          <w:p>
            <w:pPr>
              <w:jc w:val="center"/>
            </w:pPr>
            <w:r>
              <w:rPr>
                <w:rFonts w:ascii="Times New Roman" w:hAnsi="Times New Roman"/>
                <w:b w:val="0"/>
                <w:sz w:val="24"/>
              </w:rPr>
              <w:t>2</w:t>
            </w:r>
          </w:p>
        </w:tc>
        <w:tc>
          <w:tcPr>
            <w:tcW w:type="dxa" w:w="1701"/>
          </w:tcPr>
          <w:p>
            <w:pPr>
              <w:jc w:val="left"/>
            </w:pPr>
            <w:r>
              <w:rPr>
                <w:rFonts w:ascii="Times New Roman" w:hAnsi="Times New Roman"/>
                <w:b w:val="0"/>
                <w:sz w:val="24"/>
              </w:rPr>
              <w:t>flux_uGy_hr</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CH-1 (agar baseline) radiation flux = I₀</w:t>
            </w:r>
          </w:p>
        </w:tc>
      </w:tr>
      <w:tr>
        <w:tc>
          <w:tcPr>
            <w:tcW w:type="dxa" w:w="1701"/>
          </w:tcPr>
          <w:p>
            <w:pPr>
              <w:jc w:val="center"/>
            </w:pPr>
            <w:r>
              <w:rPr>
                <w:rFonts w:ascii="Times New Roman" w:hAnsi="Times New Roman"/>
                <w:b w:val="0"/>
                <w:sz w:val="24"/>
              </w:rPr>
              <w:t>3</w:t>
            </w:r>
          </w:p>
        </w:tc>
        <w:tc>
          <w:tcPr>
            <w:tcW w:type="dxa" w:w="1701"/>
          </w:tcPr>
          <w:p>
            <w:pPr>
              <w:jc w:val="left"/>
            </w:pPr>
            <w:r>
              <w:rPr>
                <w:rFonts w:ascii="Times New Roman" w:hAnsi="Times New Roman"/>
                <w:b w:val="0"/>
                <w:sz w:val="24"/>
              </w:rPr>
              <w:t>valve_state</w:t>
            </w:r>
          </w:p>
        </w:tc>
        <w:tc>
          <w:tcPr>
            <w:tcW w:type="dxa" w:w="1701"/>
          </w:tcPr>
          <w:p>
            <w:pPr>
              <w:jc w:val="center"/>
            </w:pPr>
            <w:r>
              <w:rPr>
                <w:rFonts w:ascii="Times New Roman" w:hAnsi="Times New Roman"/>
                <w:b w:val="0"/>
                <w:sz w:val="24"/>
              </w:rPr>
              <w:t>0/1</w:t>
            </w:r>
          </w:p>
        </w:tc>
        <w:tc>
          <w:tcPr>
            <w:tcW w:type="dxa" w:w="1701"/>
          </w:tcPr>
          <w:p>
            <w:pPr>
              <w:jc w:val="center"/>
            </w:pPr>
            <w:r>
              <w:rPr>
                <w:rFonts w:ascii="Times New Roman" w:hAnsi="Times New Roman"/>
                <w:b w:val="0"/>
                <w:sz w:val="24"/>
              </w:rPr>
              <w:t>hysteresis</w:t>
            </w:r>
          </w:p>
        </w:tc>
        <w:tc>
          <w:tcPr>
            <w:tcW w:type="dxa" w:w="1701"/>
          </w:tcPr>
          <w:p>
            <w:pPr>
              <w:jc w:val="left"/>
            </w:pPr>
            <w:r>
              <w:rPr>
                <w:rFonts w:ascii="Times New Roman" w:hAnsi="Times New Roman"/>
                <w:b w:val="0"/>
                <w:sz w:val="24"/>
              </w:rPr>
              <w:t>0=CLOSED, 1=OPEN</w:t>
            </w:r>
          </w:p>
        </w:tc>
      </w:tr>
      <w:tr>
        <w:tc>
          <w:tcPr>
            <w:tcW w:type="dxa" w:w="1701"/>
          </w:tcPr>
          <w:p>
            <w:pPr>
              <w:jc w:val="center"/>
            </w:pPr>
            <w:r>
              <w:rPr>
                <w:rFonts w:ascii="Times New Roman" w:hAnsi="Times New Roman"/>
                <w:b w:val="0"/>
                <w:sz w:val="24"/>
              </w:rPr>
              <w:t>4</w:t>
            </w:r>
          </w:p>
        </w:tc>
        <w:tc>
          <w:tcPr>
            <w:tcW w:type="dxa" w:w="1701"/>
          </w:tcPr>
          <w:p>
            <w:pPr>
              <w:jc w:val="left"/>
            </w:pPr>
            <w:r>
              <w:rPr>
                <w:rFonts w:ascii="Times New Roman" w:hAnsi="Times New Roman"/>
                <w:b w:val="0"/>
                <w:sz w:val="24"/>
              </w:rPr>
              <w:t>N_ch2</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 sphaerospermum biomass</w:t>
            </w:r>
          </w:p>
        </w:tc>
      </w:tr>
      <w:tr>
        <w:tc>
          <w:tcPr>
            <w:tcW w:type="dxa" w:w="1701"/>
          </w:tcPr>
          <w:p>
            <w:pPr>
              <w:jc w:val="center"/>
            </w:pPr>
            <w:r>
              <w:rPr>
                <w:rFonts w:ascii="Times New Roman" w:hAnsi="Times New Roman"/>
                <w:b w:val="0"/>
                <w:sz w:val="24"/>
              </w:rPr>
              <w:t>5</w:t>
            </w:r>
          </w:p>
        </w:tc>
        <w:tc>
          <w:tcPr>
            <w:tcW w:type="dxa" w:w="1701"/>
          </w:tcPr>
          <w:p>
            <w:pPr>
              <w:jc w:val="left"/>
            </w:pPr>
            <w:r>
              <w:rPr>
                <w:rFonts w:ascii="Times New Roman" w:hAnsi="Times New Roman"/>
                <w:b w:val="0"/>
                <w:sz w:val="24"/>
              </w:rPr>
              <w:t>N_ch3</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W. dermatitidis biomass</w:t>
            </w:r>
          </w:p>
        </w:tc>
      </w:tr>
      <w:tr>
        <w:tc>
          <w:tcPr>
            <w:tcW w:type="dxa" w:w="1701"/>
          </w:tcPr>
          <w:p>
            <w:pPr>
              <w:jc w:val="center"/>
            </w:pPr>
            <w:r>
              <w:rPr>
                <w:rFonts w:ascii="Times New Roman" w:hAnsi="Times New Roman"/>
                <w:b w:val="0"/>
                <w:sz w:val="24"/>
              </w:rPr>
              <w:t>6</w:t>
            </w:r>
          </w:p>
        </w:tc>
        <w:tc>
          <w:tcPr>
            <w:tcW w:type="dxa" w:w="1701"/>
          </w:tcPr>
          <w:p>
            <w:pPr>
              <w:jc w:val="left"/>
            </w:pPr>
            <w:r>
              <w:rPr>
                <w:rFonts w:ascii="Times New Roman" w:hAnsi="Times New Roman"/>
                <w:b w:val="0"/>
                <w:sz w:val="24"/>
              </w:rPr>
              <w:t>OD_ch2</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CH-2</w:t>
            </w:r>
          </w:p>
        </w:tc>
      </w:tr>
      <w:tr>
        <w:tc>
          <w:tcPr>
            <w:tcW w:type="dxa" w:w="1701"/>
          </w:tcPr>
          <w:p>
            <w:pPr>
              <w:jc w:val="center"/>
            </w:pPr>
            <w:r>
              <w:rPr>
                <w:rFonts w:ascii="Times New Roman" w:hAnsi="Times New Roman"/>
                <w:b w:val="0"/>
                <w:sz w:val="24"/>
              </w:rPr>
              <w:t>7</w:t>
            </w:r>
          </w:p>
        </w:tc>
        <w:tc>
          <w:tcPr>
            <w:tcW w:type="dxa" w:w="1701"/>
          </w:tcPr>
          <w:p>
            <w:pPr>
              <w:jc w:val="left"/>
            </w:pPr>
            <w:r>
              <w:rPr>
                <w:rFonts w:ascii="Times New Roman" w:hAnsi="Times New Roman"/>
                <w:b w:val="0"/>
                <w:sz w:val="24"/>
              </w:rPr>
              <w:t>OD_ch3</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CH-3</w:t>
            </w:r>
          </w:p>
        </w:tc>
      </w:tr>
      <w:tr>
        <w:tc>
          <w:tcPr>
            <w:tcW w:type="dxa" w:w="1701"/>
          </w:tcPr>
          <w:p>
            <w:pPr>
              <w:jc w:val="center"/>
            </w:pPr>
            <w:r>
              <w:rPr>
                <w:rFonts w:ascii="Times New Roman" w:hAnsi="Times New Roman"/>
                <w:b w:val="0"/>
                <w:sz w:val="24"/>
              </w:rPr>
              <w:t>8</w:t>
            </w:r>
          </w:p>
        </w:tc>
        <w:tc>
          <w:tcPr>
            <w:tcW w:type="dxa" w:w="1701"/>
          </w:tcPr>
          <w:p>
            <w:pPr>
              <w:jc w:val="left"/>
            </w:pPr>
            <w:r>
              <w:rPr>
                <w:rFonts w:ascii="Times New Roman" w:hAnsi="Times New Roman"/>
                <w:b w:val="0"/>
                <w:sz w:val="24"/>
              </w:rPr>
              <w:t>delta_ch2</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CH-2</w:t>
            </w:r>
          </w:p>
        </w:tc>
      </w:tr>
      <w:tr>
        <w:tc>
          <w:tcPr>
            <w:tcW w:type="dxa" w:w="1701"/>
          </w:tcPr>
          <w:p>
            <w:pPr>
              <w:jc w:val="center"/>
            </w:pPr>
            <w:r>
              <w:rPr>
                <w:rFonts w:ascii="Times New Roman" w:hAnsi="Times New Roman"/>
                <w:b w:val="0"/>
                <w:sz w:val="24"/>
              </w:rPr>
              <w:t>9</w:t>
            </w:r>
          </w:p>
        </w:tc>
        <w:tc>
          <w:tcPr>
            <w:tcW w:type="dxa" w:w="1701"/>
          </w:tcPr>
          <w:p>
            <w:pPr>
              <w:jc w:val="left"/>
            </w:pPr>
            <w:r>
              <w:rPr>
                <w:rFonts w:ascii="Times New Roman" w:hAnsi="Times New Roman"/>
                <w:b w:val="0"/>
                <w:sz w:val="24"/>
              </w:rPr>
              <w:t>delta_ch3</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CH-3</w:t>
            </w:r>
          </w:p>
        </w:tc>
      </w:tr>
      <w:tr>
        <w:tc>
          <w:tcPr>
            <w:tcW w:type="dxa" w:w="1701"/>
          </w:tcPr>
          <w:p>
            <w:pPr>
              <w:jc w:val="center"/>
            </w:pPr>
            <w:r>
              <w:rPr>
                <w:rFonts w:ascii="Times New Roman" w:hAnsi="Times New Roman"/>
                <w:b w:val="0"/>
                <w:sz w:val="24"/>
              </w:rPr>
              <w:t>10</w:t>
            </w:r>
          </w:p>
        </w:tc>
        <w:tc>
          <w:tcPr>
            <w:tcW w:type="dxa" w:w="1701"/>
          </w:tcPr>
          <w:p>
            <w:pPr>
              <w:jc w:val="left"/>
            </w:pPr>
            <w:r>
              <w:rPr>
                <w:rFonts w:ascii="Times New Roman" w:hAnsi="Times New Roman"/>
                <w:b w:val="0"/>
                <w:sz w:val="24"/>
              </w:rPr>
              <w:t>I_ch2</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CH-2</w:t>
            </w:r>
          </w:p>
        </w:tc>
      </w:tr>
      <w:tr>
        <w:tc>
          <w:tcPr>
            <w:tcW w:type="dxa" w:w="1701"/>
          </w:tcPr>
          <w:p>
            <w:pPr>
              <w:jc w:val="center"/>
            </w:pPr>
            <w:r>
              <w:rPr>
                <w:rFonts w:ascii="Times New Roman" w:hAnsi="Times New Roman"/>
                <w:b w:val="0"/>
                <w:sz w:val="24"/>
              </w:rPr>
              <w:t>11</w:t>
            </w:r>
          </w:p>
        </w:tc>
        <w:tc>
          <w:tcPr>
            <w:tcW w:type="dxa" w:w="1701"/>
          </w:tcPr>
          <w:p>
            <w:pPr>
              <w:jc w:val="left"/>
            </w:pPr>
            <w:r>
              <w:rPr>
                <w:rFonts w:ascii="Times New Roman" w:hAnsi="Times New Roman"/>
                <w:b w:val="0"/>
                <w:sz w:val="24"/>
              </w:rPr>
              <w:t>I_ch3</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CH-3</w:t>
            </w:r>
          </w:p>
        </w:tc>
      </w:tr>
      <w:tr>
        <w:tc>
          <w:tcPr>
            <w:tcW w:type="dxa" w:w="1701"/>
          </w:tcPr>
          <w:p>
            <w:pPr>
              <w:jc w:val="center"/>
            </w:pPr>
            <w:r>
              <w:rPr>
                <w:rFonts w:ascii="Times New Roman" w:hAnsi="Times New Roman"/>
                <w:b w:val="0"/>
                <w:sz w:val="24"/>
              </w:rPr>
              <w:t>12</w:t>
            </w:r>
          </w:p>
        </w:tc>
        <w:tc>
          <w:tcPr>
            <w:tcW w:type="dxa" w:w="1701"/>
          </w:tcPr>
          <w:p>
            <w:pPr>
              <w:jc w:val="left"/>
            </w:pPr>
            <w:r>
              <w:rPr>
                <w:rFonts w:ascii="Times New Roman" w:hAnsi="Times New Roman"/>
                <w:b w:val="0"/>
                <w:sz w:val="24"/>
              </w:rPr>
              <w:t>attn_ch2_pct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(I₀−I_ch2)/I₀×100</w:t>
            </w:r>
          </w:p>
        </w:tc>
      </w:tr>
      <w:tr>
        <w:tc>
          <w:tcPr>
            <w:tcW w:type="dxa" w:w="1701"/>
          </w:tcPr>
          <w:p>
            <w:pPr>
              <w:jc w:val="center"/>
            </w:pPr>
            <w:r>
              <w:rPr>
                <w:rFonts w:ascii="Times New Roman" w:hAnsi="Times New Roman"/>
                <w:b w:val="0"/>
                <w:sz w:val="24"/>
              </w:rPr>
              <w:t>13</w:t>
            </w:r>
          </w:p>
        </w:tc>
        <w:tc>
          <w:tcPr>
            <w:tcW w:type="dxa" w:w="1701"/>
          </w:tcPr>
          <w:p>
            <w:pPr>
              <w:jc w:val="left"/>
            </w:pPr>
            <w:r>
              <w:rPr>
                <w:rFonts w:ascii="Times New Roman" w:hAnsi="Times New Roman"/>
                <w:b w:val="0"/>
                <w:sz w:val="24"/>
              </w:rPr>
              <w:t>attn_ch3_pct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(I₀−I_ch3)/I₀×100</w:t>
            </w:r>
          </w:p>
        </w:tc>
      </w:tr>
    </w:tbl>
    <w:p/>
    <w:p>
      <w:r>
        <w:br w:type="page"/>
      </w:r>
    </w:p>
    <w:p>
      <w:pPr>
        <w:spacing w:before="280" w:after="120"/>
        <w:jc w:val="left"/>
        <w:pBdr>
          <w:bottom w:val="single" w:sz="4" w:space="1" w:color="AAAAAA"/>
        </w:pBdr>
      </w:pPr>
      <w:r>
        <w:rPr>
          <w:rFonts w:ascii="Times New Roman" w:hAnsi="Times New Roman"/>
          <w:b/>
          <w:color w:val="000000"/>
          <w:sz w:val="28"/>
        </w:rPr>
        <w:t>7. Results &amp; Discussion</w:t>
      </w:r>
    </w:p>
    <w:p>
      <w:pPr>
        <w:spacing w:before="200" w:after="80"/>
        <w:jc w:val="left"/>
      </w:pPr>
      <w:r>
        <w:rPr>
          <w:rFonts w:ascii="Times New Roman" w:hAnsi="Times New Roman"/>
          <w:b/>
          <w:sz w:val="28"/>
        </w:rPr>
        <w:t>7.1. Radiation Flux Profile</w:t>
      </w:r>
    </w:p>
    <w:p>
      <w:pPr>
        <w:spacing w:line="360" w:lineRule="exact" w:after="120"/>
        <w:jc w:val="both"/>
      </w:pPr>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pPr>
        <w:spacing w:line="360" w:lineRule="exact" w:after="120"/>
        <w:jc w:val="both"/>
      </w:pPr>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095500"/>
                  <wp:docPr id="5" name="Picture 5"/>
                  <wp:cNvGraphicFramePr>
                    <a:graphicFrameLocks noChangeAspect="1"/>
                  </wp:cNvGraphicFramePr>
                  <a:graphic>
                    <a:graphicData uri="http://schemas.openxmlformats.org/drawingml/2006/picture">
                      <pic:pic>
                        <pic:nvPicPr>
                          <pic:cNvPr id="0" name="fig1_flux_valve.png"/>
                          <pic:cNvPicPr/>
                        </pic:nvPicPr>
                        <pic:blipFill>
                          <a:blip r:embed="rId13"/>
                          <a:stretch>
                            <a:fillRect/>
                          </a:stretch>
                        </pic:blipFill>
                        <pic:spPr>
                          <a:xfrm>
                            <a:off x="0" y="0"/>
                            <a:ext cx="5029200" cy="20955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 LEO Radiation Flux Profile over 48 hours with Hysteresis Valve State Overlay. GCR baseline = 200 uGy/hr; SAA peaks reach ~672 uGy/hr. 11 valve OPEN events shown.</w:t>
            </w:r>
          </w:p>
        </w:tc>
      </w:tr>
    </w:tbl>
    <w:p/>
    <w:p>
      <w:pPr>
        <w:spacing w:before="200" w:after="80"/>
        <w:jc w:val="left"/>
      </w:pPr>
      <w:r>
        <w:rPr>
          <w:rFonts w:ascii="Times New Roman" w:hAnsi="Times New Roman"/>
          <w:b/>
          <w:sz w:val="28"/>
        </w:rPr>
        <w:t>7.2. Fungal Growth Kinetics</w:t>
      </w:r>
    </w:p>
    <w:p>
      <w:pPr>
        <w:spacing w:line="360" w:lineRule="exact" w:after="120"/>
        <w:jc w:val="both"/>
      </w:pPr>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fig2_growth_curves.png"/>
                          <pic:cNvPicPr/>
                        </pic:nvPicPr>
                        <pic:blipFill>
                          <a:blip r:embed="rId14"/>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Fungal Biomass Growth — Logistic ODE. Both strains approach K = 1.0 g/L. Valve OPEN events produce slight growth suppression visible as slope changes.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fig4_od600_proxy.png"/>
                          <pic:cNvPicPr/>
                        </pic:nvPicPr>
                        <pic:blipFill>
                          <a:blip r:embed="rId15"/>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4: OD600 Optical Density Proxy — simulating auxiliary computer camera output. OD = k.N where k = 3.0 OD.L/g.</w:t>
            </w:r>
          </w:p>
        </w:tc>
      </w:tr>
    </w:tbl>
    <w:p/>
    <w:p>
      <w:pPr>
        <w:spacing w:before="200" w:after="80"/>
        <w:jc w:val="left"/>
      </w:pPr>
      <w:r>
        <w:rPr>
          <w:rFonts w:ascii="Times New Roman" w:hAnsi="Times New Roman"/>
          <w:b/>
          <w:sz w:val="28"/>
        </w:rPr>
        <w:t>7.3. Attenuation Comparison &amp; Primary Result</w:t>
      </w:r>
    </w:p>
    <w:p>
      <w:pPr>
        <w:spacing w:line="360" w:lineRule="exact" w:after="120"/>
        <w:jc w:val="both"/>
      </w:pPr>
      <w:r>
        <w:rPr>
          <w:rFonts w:ascii="Times New Roman" w:hAnsi="Times New Roman"/>
          <w:b w:val="0"/>
          <w:i w:val="0"/>
          <w:sz w:val="24"/>
        </w:rPr>
        <w:t>The primary scientific result is presented in Fig 3.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pPr>
        <w:spacing w:line="360" w:lineRule="exact" w:after="120"/>
        <w:jc w:val="both"/>
      </w:pPr>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p>
      <w:pPr>
        <w:jc w:val="center"/>
      </w:pPr>
      <w:r>
        <w:rPr>
          <w:rFonts w:ascii="Times New Roman" w:hAnsi="Times New Roman"/>
          <w:b/>
          <w:i/>
          <w:sz w:val="20"/>
        </w:rPr>
        <w:t>Table 8: Key Simulation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Metric</w:t>
            </w:r>
          </w:p>
        </w:tc>
        <w:tc>
          <w:tcPr>
            <w:tcW w:type="dxa" w:w="2126"/>
            <w:shd w:val="clear" w:color="auto" w:fill="1A1A2E"/>
          </w:tcPr>
          <w:p>
            <w:pPr>
              <w:jc w:val="center"/>
            </w:pPr>
            <w:r>
              <w:rPr>
                <w:rFonts w:ascii="Times New Roman" w:hAnsi="Times New Roman"/>
                <w:b/>
                <w:color w:val="FFFFFF"/>
                <w:sz w:val="24"/>
              </w:rPr>
              <w:t>CH-1 (Control)</w:t>
            </w:r>
          </w:p>
        </w:tc>
        <w:tc>
          <w:tcPr>
            <w:tcW w:type="dxa" w:w="2126"/>
            <w:shd w:val="clear" w:color="auto" w:fill="1A1A2E"/>
          </w:tcPr>
          <w:p>
            <w:pPr>
              <w:jc w:val="center"/>
            </w:pPr>
            <w:r>
              <w:rPr>
                <w:rFonts w:ascii="Times New Roman" w:hAnsi="Times New Roman"/>
                <w:b/>
                <w:color w:val="FFFFFF"/>
                <w:sz w:val="24"/>
              </w:rPr>
              <w:t>CH-2 (C. sphaerospermum)</w:t>
            </w:r>
          </w:p>
        </w:tc>
        <w:tc>
          <w:tcPr>
            <w:tcW w:type="dxa" w:w="2126"/>
            <w:shd w:val="clear" w:color="auto" w:fill="1A1A2E"/>
          </w:tcPr>
          <w:p>
            <w:pPr>
              <w:jc w:val="center"/>
            </w:pPr>
            <w:r>
              <w:rPr>
                <w:rFonts w:ascii="Times New Roman" w:hAnsi="Times New Roman"/>
                <w:b/>
                <w:color w:val="FFFFFF"/>
                <w:sz w:val="24"/>
              </w:rPr>
              <w:t>CH-3 (W. dermatitidis)</w:t>
            </w:r>
          </w:p>
        </w:tc>
      </w:tr>
      <w:tr>
        <w:tc>
          <w:tcPr>
            <w:tcW w:type="dxa" w:w="2126"/>
          </w:tcPr>
          <w:p>
            <w:pPr>
              <w:jc w:val="left"/>
            </w:pPr>
            <w:r>
              <w:rPr>
                <w:rFonts w:ascii="Times New Roman" w:hAnsi="Times New Roman"/>
                <w:b w:val="0"/>
                <w:sz w:val="24"/>
              </w:rPr>
              <w:t>Peak Attn%</w:t>
            </w:r>
          </w:p>
        </w:tc>
        <w:tc>
          <w:tcPr>
            <w:tcW w:type="dxa" w:w="2126"/>
          </w:tcPr>
          <w:p>
            <w:pPr>
              <w:jc w:val="center"/>
            </w:pPr>
            <w:r>
              <w:rPr>
                <w:rFonts w:ascii="Times New Roman" w:hAnsi="Times New Roman"/>
                <w:b w:val="0"/>
                <w:sz w:val="24"/>
              </w:rPr>
              <w:t>0.000%</w:t>
            </w:r>
          </w:p>
        </w:tc>
        <w:tc>
          <w:tcPr>
            <w:tcW w:type="dxa" w:w="2126"/>
          </w:tcPr>
          <w:p>
            <w:pPr>
              <w:jc w:val="center"/>
            </w:pPr>
            <w:r>
              <w:rPr>
                <w:rFonts w:ascii="Times New Roman" w:hAnsi="Times New Roman"/>
                <w:b w:val="0"/>
                <w:sz w:val="24"/>
              </w:rPr>
              <w:t>2.169%</w:t>
            </w:r>
          </w:p>
        </w:tc>
        <w:tc>
          <w:tcPr>
            <w:tcW w:type="dxa" w:w="2126"/>
          </w:tcPr>
          <w:p>
            <w:pPr>
              <w:jc w:val="center"/>
            </w:pPr>
            <w:r>
              <w:rPr>
                <w:rFonts w:ascii="Times New Roman" w:hAnsi="Times New Roman"/>
                <w:b w:val="0"/>
                <w:sz w:val="24"/>
              </w:rPr>
              <w:t>2.593%</w:t>
            </w:r>
          </w:p>
        </w:tc>
      </w:tr>
      <w:tr>
        <w:tc>
          <w:tcPr>
            <w:tcW w:type="dxa" w:w="2126"/>
          </w:tcPr>
          <w:p>
            <w:pPr>
              <w:jc w:val="left"/>
            </w:pPr>
            <w:r>
              <w:rPr>
                <w:rFonts w:ascii="Times New Roman" w:hAnsi="Times New Roman"/>
                <w:b w:val="0"/>
                <w:sz w:val="24"/>
              </w:rPr>
              <w:t>ISS reference</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2.17% ✓</w:t>
            </w:r>
          </w:p>
        </w:tc>
        <w:tc>
          <w:tcPr>
            <w:tcW w:type="dxa" w:w="2126"/>
          </w:tcPr>
          <w:p>
            <w:pPr>
              <w:jc w:val="center"/>
            </w:pPr>
            <w:r>
              <w:rPr>
                <w:rFonts w:ascii="Times New Roman" w:hAnsi="Times New Roman"/>
                <w:b w:val="0"/>
                <w:sz w:val="24"/>
              </w:rPr>
              <w:t>Not yet measured</w:t>
            </w:r>
          </w:p>
        </w:tc>
      </w:tr>
      <w:tr>
        <w:tc>
          <w:tcPr>
            <w:tcW w:type="dxa" w:w="2126"/>
          </w:tcPr>
          <w:p>
            <w:pPr>
              <w:jc w:val="left"/>
            </w:pPr>
            <w:r>
              <w:rPr>
                <w:rFonts w:ascii="Times New Roman" w:hAnsi="Times New Roman"/>
                <w:b w:val="0"/>
                <w:sz w:val="24"/>
              </w:rPr>
              <w:t>Final biomass N</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0.9992 g/L</w:t>
            </w:r>
          </w:p>
        </w:tc>
        <w:tc>
          <w:tcPr>
            <w:tcW w:type="dxa" w:w="2126"/>
          </w:tcPr>
          <w:p>
            <w:pPr>
              <w:jc w:val="center"/>
            </w:pPr>
            <w:r>
              <w:rPr>
                <w:rFonts w:ascii="Times New Roman" w:hAnsi="Times New Roman"/>
                <w:b w:val="0"/>
                <w:sz w:val="24"/>
              </w:rPr>
              <w:t>1.0007 g/L</w:t>
            </w:r>
          </w:p>
        </w:tc>
      </w:tr>
      <w:tr>
        <w:tc>
          <w:tcPr>
            <w:tcW w:type="dxa" w:w="2126"/>
          </w:tcPr>
          <w:p>
            <w:pPr>
              <w:jc w:val="left"/>
            </w:pPr>
            <w:r>
              <w:rPr>
                <w:rFonts w:ascii="Times New Roman" w:hAnsi="Times New Roman"/>
                <w:b w:val="0"/>
                <w:sz w:val="24"/>
              </w:rPr>
              <w:t>Peak OD600</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2.998</w:t>
            </w:r>
          </w:p>
        </w:tc>
        <w:tc>
          <w:tcPr>
            <w:tcW w:type="dxa" w:w="2126"/>
          </w:tcPr>
          <w:p>
            <w:pPr>
              <w:jc w:val="center"/>
            </w:pPr>
            <w:r>
              <w:rPr>
                <w:rFonts w:ascii="Times New Roman" w:hAnsi="Times New Roman"/>
                <w:b w:val="0"/>
                <w:sz w:val="24"/>
              </w:rPr>
              <w:t>3.015</w:t>
            </w:r>
          </w:p>
        </w:tc>
      </w:tr>
      <w:tr>
        <w:tc>
          <w:tcPr>
            <w:tcW w:type="dxa" w:w="2126"/>
          </w:tcPr>
          <w:p>
            <w:pPr>
              <w:jc w:val="left"/>
            </w:pPr>
            <w:r>
              <w:rPr>
                <w:rFonts w:ascii="Times New Roman" w:hAnsi="Times New Roman"/>
                <w:b w:val="0"/>
                <w:sz w:val="24"/>
              </w:rPr>
              <w:t>Melanin thickness at peak</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0.3643 cm</w:t>
            </w:r>
          </w:p>
        </w:tc>
        <w:tc>
          <w:tcPr>
            <w:tcW w:type="dxa" w:w="2126"/>
          </w:tcPr>
          <w:p>
            <w:pPr>
              <w:jc w:val="center"/>
            </w:pPr>
            <w:r>
              <w:rPr>
                <w:rFonts w:ascii="Times New Roman" w:hAnsi="Times New Roman"/>
                <w:b w:val="0"/>
                <w:sz w:val="24"/>
              </w:rPr>
              <w:t>0.4191 cm</w:t>
            </w:r>
          </w:p>
        </w:tc>
      </w:tr>
      <w:tr>
        <w:tc>
          <w:tcPr>
            <w:tcW w:type="dxa" w:w="2126"/>
          </w:tcPr>
          <w:p>
            <w:pPr>
              <w:jc w:val="left"/>
            </w:pPr>
            <w:r>
              <w:rPr>
                <w:rFonts w:ascii="Times New Roman" w:hAnsi="Times New Roman"/>
                <w:b w:val="0"/>
                <w:sz w:val="24"/>
              </w:rPr>
              <w:t>Verdict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Baseline validated</w:t>
            </w:r>
          </w:p>
        </w:tc>
        <w:tc>
          <w:tcPr>
            <w:tcW w:type="dxa" w:w="2126"/>
          </w:tcPr>
          <w:p>
            <w:pPr>
              <w:jc w:val="center"/>
            </w:pPr>
            <w:r>
              <w:rPr>
                <w:rFonts w:ascii="Times New Roman" w:hAnsi="Times New Roman"/>
                <w:b w:val="0"/>
                <w:sz w:val="24"/>
              </w:rPr>
              <w:t>BETTER SHIELD ✓</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fig3_attenuation.png"/>
                          <pic:cNvPicPr/>
                        </pic:nvPicPr>
                        <pic:blipFill>
                          <a:blip r:embed="rId16"/>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3: Radiation Attenuation (%) vs Time — CH-2 vs CH-3 with ISS reference line (2.17%). CH-3 (W. dermatitidis) consistently outperforms CH-2. Shaded area = differential advantage.</w:t>
            </w:r>
          </w:p>
        </w:tc>
      </w:tr>
    </w:tbl>
    <w:p/>
    <w:p>
      <w:pPr>
        <w:spacing w:before="200" w:after="80"/>
        <w:jc w:val="left"/>
      </w:pPr>
      <w:r>
        <w:rPr>
          <w:rFonts w:ascii="Times New Roman" w:hAnsi="Times New Roman"/>
          <w:b/>
          <w:sz w:val="28"/>
        </w:rPr>
        <w:t>7.4. 3D Structural Model — Autodesk Fusion 360</w:t>
      </w:r>
    </w:p>
    <w:p>
      <w:pPr>
        <w:spacing w:line="360" w:lineRule="exact" w:after="120"/>
        <w:jc w:val="both"/>
      </w:pPr>
      <w:r>
        <w:rPr>
          <w:rFonts w:ascii="Times New Roman" w:hAnsi="Times New Roman"/>
          <w:b w:val="0"/>
          <w:i w:val="0"/>
          <w:sz w:val="24"/>
        </w:rPr>
        <w:t>The physical payload structure is modelled in Autodesk Fusion 360 to the 3U CubeSat standard (CDS Rev. 14). The model includes all primary structural and electronic components: the aluminium shell, the 3-chamber LOC chip assembly, two Raspberry Pi Zero W boards, all sensors, and the LiPo battery pack.</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819587"/>
                  <wp:docPr id="9" name="Picture 9"/>
                  <wp:cNvGraphicFramePr>
                    <a:graphicFrameLocks noChangeAspect="1"/>
                  </wp:cNvGraphicFramePr>
                  <a:graphic>
                    <a:graphicData uri="http://schemas.openxmlformats.org/drawingml/2006/picture">
                      <pic:pic>
                        <pic:nvPicPr>
                          <pic:cNvPr id="0" name="fig_cad_isometric.png"/>
                          <pic:cNvPicPr/>
                        </pic:nvPicPr>
                        <pic:blipFill>
                          <a:blip r:embed="rId17"/>
                          <a:stretch>
                            <a:fillRect/>
                          </a:stretch>
                        </pic:blipFill>
                        <pic:spPr>
                          <a:xfrm>
                            <a:off x="0" y="0"/>
                            <a:ext cx="4572000" cy="2819587"/>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10: Isometric Exterior View — 3U CubeSat shell (100x100x340.5 mm) with aluminium chassis and rails.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0" name="Picture 10"/>
                  <wp:cNvGraphicFramePr>
                    <a:graphicFrameLocks noChangeAspect="1"/>
                  </wp:cNvGraphicFramePr>
                  <a:graphic>
                    <a:graphicData uri="http://schemas.openxmlformats.org/drawingml/2006/picture">
                      <pic:pic>
                        <pic:nvPicPr>
                          <pic:cNvPr id="0" name="fig_cad_section.png"/>
                          <pic:cNvPicPr/>
                        </pic:nvPicPr>
                        <pic:blipFill>
                          <a:blip r:embed="rId18"/>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11: Section View (Interior Layout) — 3-chamber LOC chip, stacked Raspberry Pi boards, sensor placement, and LiPo battery.</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819587"/>
                  <wp:docPr id="11" name="Picture 11"/>
                  <wp:cNvGraphicFramePr>
                    <a:graphicFrameLocks noChangeAspect="1"/>
                  </wp:cNvGraphicFramePr>
                  <a:graphic>
                    <a:graphicData uri="http://schemas.openxmlformats.org/drawingml/2006/picture">
                      <pic:pic>
                        <pic:nvPicPr>
                          <pic:cNvPr id="0" name="fig_cad_exploded.png"/>
                          <pic:cNvPicPr/>
                        </pic:nvPicPr>
                        <pic:blipFill>
                          <a:blip r:embed="rId19"/>
                          <a:stretch>
                            <a:fillRect/>
                          </a:stretch>
                        </pic:blipFill>
                        <pic:spPr>
                          <a:xfrm>
                            <a:off x="0" y="0"/>
                            <a:ext cx="4572000" cy="2819587"/>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12: Exploded View — showing the integration of the biological tray and electronics within the 3U structure.</w:t>
            </w:r>
          </w:p>
        </w:tc>
      </w:tr>
    </w:tbl>
    <w:p/>
    <w:p>
      <w:r>
        <w:br w:type="page"/>
      </w:r>
    </w:p>
    <w:p>
      <w:pPr>
        <w:spacing w:before="280" w:after="120"/>
        <w:jc w:val="left"/>
        <w:pBdr>
          <w:bottom w:val="single" w:sz="4" w:space="1" w:color="AAAAAA"/>
        </w:pBdr>
      </w:pPr>
      <w:r>
        <w:rPr>
          <w:rFonts w:ascii="Times New Roman" w:hAnsi="Times New Roman"/>
          <w:b/>
          <w:color w:val="000000"/>
          <w:sz w:val="28"/>
        </w:rPr>
        <w:t>8. Conclusions &amp; Future Work</w:t>
      </w:r>
    </w:p>
    <w:p>
      <w:pPr>
        <w:spacing w:before="200" w:after="80"/>
        <w:jc w:val="left"/>
      </w:pPr>
      <w:r>
        <w:rPr>
          <w:rFonts w:ascii="Times New Roman" w:hAnsi="Times New Roman"/>
          <w:b/>
          <w:sz w:val="28"/>
        </w:rPr>
        <w:t>8.1. Conclusions</w:t>
      </w:r>
    </w:p>
    <w:p>
      <w:pPr>
        <w:pStyle w:val="ListNumber"/>
        <w:jc w:val="both"/>
      </w:pPr>
      <w:r>
        <w:rPr>
          <w:rFonts w:ascii="Times New Roman" w:hAnsi="Times New Roman"/>
          <w:sz w:val="24"/>
        </w:rPr>
        <w:t>The Beer-Lambert attenuation model, calibrated against the Shunk et al. (2020) ISS experimental result, reproduces the published 2.17% peak attenuation for C. sphaerospermum to within 0.01% (simulated: 2.169%). [Task: Mathematical model validated against real ISS data.]</w:t>
      </w:r>
    </w:p>
    <w:p>
      <w:pPr>
        <w:pStyle w:val="ListNumber"/>
        <w:jc w:val="both"/>
      </w:pPr>
      <w:r>
        <w:rPr>
          <w:rFonts w:ascii="Times New Roman" w:hAnsi="Times New Roman"/>
          <w:sz w:val="24"/>
        </w:rPr>
        <w:t>W. dermatitidis (CH-3) achieves 2.593% peak attenuation — a 19.6% improvement. [Task: Biological experiment described; 3-chamber design enables inter-strain comparison.]</w:t>
      </w:r>
    </w:p>
    <w:p>
      <w:pPr>
        <w:pStyle w:val="ListNumber"/>
        <w:jc w:val="both"/>
      </w:pPr>
      <w:r>
        <w:rPr>
          <w:rFonts w:ascii="Times New Roman" w:hAnsi="Times New Roman"/>
          <w:sz w:val="24"/>
        </w:rPr>
        <w:t>The hysteresis control architecture prevents valve chatter in the deadband zone and identifies all 11 SAA events. [Task: Creative design element — biologically-responsive nutrient valve — implemented and validated.]</w:t>
      </w:r>
    </w:p>
    <w:p>
      <w:pPr>
        <w:pStyle w:val="ListNumber"/>
        <w:jc w:val="both"/>
      </w:pPr>
      <w:r>
        <w:rPr>
          <w:rFonts w:ascii="Times New Roman" w:hAnsi="Times New Roman"/>
          <w:sz w:val="24"/>
        </w:rPr>
        <w:t>The sealed 3-chamber LOC design enables passive capillary-driven fluid movement without pumps, exploiting micro-gravity surface tension for uniform nutrient distribution. [Task: Closed environment enabled; fluid movement without pumps addressed.]</w:t>
      </w:r>
    </w:p>
    <w:p>
      <w:pPr>
        <w:pStyle w:val="ListNumber"/>
        <w:jc w:val="both"/>
      </w:pPr>
      <w:r>
        <w:rPr>
          <w:rFonts w:ascii="Times New Roman" w:hAnsi="Times New Roman"/>
          <w:sz w:val="24"/>
        </w:rPr>
        <w:t>Twelve failure modes have been identified and mitigated through dual-redundant electronics, cross-validated sensors, software watchdogs, sealed chambers, and pre-sterilised controls. [Task: Failures, redundancies, and mitigations addressed comprehensively.]</w:t>
      </w:r>
    </w:p>
    <w:p>
      <w:pPr>
        <w:pStyle w:val="ListNumber"/>
        <w:jc w:val="both"/>
      </w:pPr>
      <w:r>
        <w:rPr>
          <w:rFonts w:ascii="Times New Roman" w:hAnsi="Times New Roman"/>
          <w:sz w:val="24"/>
        </w:rPr>
        <w:t>The OD600 camera proxy provides non-contact biomass detection compatible with microgravity. [Task: Detection method for biological growth described.]</w:t>
      </w:r>
    </w:p>
    <w:p>
      <w:pPr>
        <w:pStyle w:val="ListNumber"/>
        <w:jc w:val="both"/>
      </w:pPr>
      <w:r>
        <w:rPr>
          <w:rFonts w:ascii="Times New Roman" w:hAnsi="Times New Roman"/>
          <w:sz w:val="24"/>
        </w:rPr>
        <w:t>Power budget is managed via camera duty-cycling, Arduino deep-sleep, and planned solar panel supplement to support the full 48-hour autonomous mission. [Task: Engineering feasibility for LEO demonstrated.]</w:t>
      </w:r>
    </w:p>
    <w:p>
      <w:pPr>
        <w:spacing w:before="200" w:after="80"/>
        <w:jc w:val="left"/>
      </w:pPr>
      <w:r>
        <w:rPr>
          <w:rFonts w:ascii="Times New Roman" w:hAnsi="Times New Roman"/>
          <w:b/>
          <w:sz w:val="28"/>
        </w:rPr>
        <w:t>8.2. Limitations</w:t>
      </w:r>
    </w:p>
    <w:p>
      <w:pPr>
        <w:ind w:left="680"/>
        <w:jc w:val="both"/>
      </w:pPr>
      <w:r>
        <w:rPr>
          <w:rFonts w:ascii="Times New Roman" w:hAnsi="Times New Roman"/>
          <w:sz w:val="24"/>
        </w:rPr>
        <w:t>• The Beer-Lambert model assumes a uniform, homogeneous melanin layer, which may overestimate attenuation for inhomogeneous fungal colonies with patchy growth patterns.</w:t>
      </w:r>
    </w:p>
    <w:p>
      <w:pPr>
        <w:ind w:left="680"/>
        <w:jc w:val="both"/>
      </w:pPr>
      <w:r>
        <w:rPr>
          <w:rFonts w:ascii="Times New Roman" w:hAnsi="Times New Roman"/>
          <w:sz w:val="24"/>
        </w:rPr>
        <w:t>• The actual mass attenuation coefficient mu for DHN-melanin in the mixed GCR + trapped proton spectrum has not been measured; the value used (0.043 cm^2/g) is for monoenergetic gamma radiation.</w:t>
      </w:r>
    </w:p>
    <w:p>
      <w:pPr>
        <w:ind w:left="680"/>
        <w:jc w:val="both"/>
      </w:pPr>
      <w:r>
        <w:rPr>
          <w:rFonts w:ascii="Times New Roman" w:hAnsi="Times New Roman"/>
          <w:sz w:val="24"/>
        </w:rPr>
        <w:t>• Microgravity effects on melanin biosynthesis pathways are not modelled — in situ measurement would be required to confirm the alpha calibration in actual flight conditions.</w:t>
      </w:r>
    </w:p>
    <w:p>
      <w:pPr>
        <w:spacing w:before="200" w:after="80"/>
        <w:jc w:val="left"/>
      </w:pPr>
      <w:r>
        <w:rPr>
          <w:rFonts w:ascii="Times New Roman" w:hAnsi="Times New Roman"/>
          <w:b/>
          <w:sz w:val="28"/>
        </w:rPr>
        <w:t>8.3. Future Work</w:t>
      </w:r>
    </w:p>
    <w:p>
      <w:pPr>
        <w:ind w:left="680"/>
        <w:jc w:val="both"/>
      </w:pPr>
      <w:r>
        <w:rPr>
          <w:rFonts w:ascii="Times New Roman" w:hAnsi="Times New Roman"/>
          <w:sz w:val="24"/>
        </w:rPr>
        <w:t>• Extend the simulation to a 90-day mission timeline to model long-term melanin accumulation and potential photodegradation effects.</w:t>
      </w:r>
    </w:p>
    <w:p>
      <w:pPr>
        <w:ind w:left="680"/>
        <w:jc w:val="both"/>
      </w:pPr>
      <w:r>
        <w:rPr>
          <w:rFonts w:ascii="Times New Roman" w:hAnsi="Times New Roman"/>
          <w:sz w:val="24"/>
        </w:rPr>
        <w:t>• Incorporate Monte Carlo radiation transport (Geant4 or FLUKA) to replace the Beer-Lambert approximation with a physics-accurate particle transport model.</w:t>
      </w:r>
    </w:p>
    <w:p>
      <w:pPr>
        <w:ind w:left="680"/>
        <w:jc w:val="both"/>
      </w:pPr>
      <w:r>
        <w:rPr>
          <w:rFonts w:ascii="Times New Roman" w:hAnsi="Times New Roman"/>
          <w:sz w:val="24"/>
        </w:rPr>
        <w:t>• Add a fourth chamber containing Cryptococcus neoformans (DOPA-melanin) to compare across melanin biosynthesis pathways.</w:t>
      </w:r>
    </w:p>
    <w:p>
      <w:pPr>
        <w:ind w:left="680"/>
        <w:jc w:val="both"/>
      </w:pPr>
      <w:r>
        <w:rPr>
          <w:rFonts w:ascii="Times New Roman" w:hAnsi="Times New Roman"/>
          <w:sz w:val="24"/>
        </w:rPr>
        <w:t>• Integrate real SPENVIS-exported flux data (via ESA SPENVIS portal) to replace the synthetic flux generator with mission-specific orbital dose rate profiles.</w:t>
      </w:r>
    </w:p>
    <w:p>
      <w:pPr>
        <w:ind w:left="680"/>
        <w:jc w:val="both"/>
      </w:pPr>
      <w:r>
        <w:rPr>
          <w:rFonts w:ascii="Times New Roman" w:hAnsi="Times New Roman"/>
          <w:sz w:val="24"/>
        </w:rPr>
        <w:t>• Fabricate and test the physical LOC chip using 3D-printed polycarbonate chambers and validate OD600 optical density measurement with calibrated fungal cultures.</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9. References</w:t>
      </w:r>
    </w:p>
    <w:p>
      <w:pPr>
        <w:ind w:left="680" w:hanging="680"/>
        <w:jc w:val="both"/>
      </w:pPr>
      <w:r>
        <w:rPr>
          <w:rFonts w:ascii="Times New Roman" w:hAnsi="Times New Roman"/>
          <w:sz w:val="22"/>
        </w:rPr>
        <w:t>[1] Shunk, G. K., Gu, X., &amp; Bhattacharya, S. (2020). A self-replicating radiation-shield for human deep-space exploration: Radiotrophic Fungus can attenuate ionizing radiation aboard the International Space Station. bioRxiv. https://doi.org/10.1101/2020.07.16.205534</w:t>
      </w:r>
    </w:p>
    <w:p>
      <w:pPr>
        <w:ind w:left="680" w:hanging="680"/>
        <w:jc w:val="both"/>
      </w:pPr>
      <w:r>
        <w:rPr>
          <w:rFonts w:ascii="Times New Roman" w:hAnsi="Times New Roman"/>
          <w:sz w:val="22"/>
        </w:rPr>
        <w:t>[2] Dadachova, E., Bryan, R. A., Huang, X., et al. (2007). Ionizing radiation changes the electronic properties of melanin and enhances the growth of melanized fungi. PLOS ONE, 2(5), e457.</w:t>
      </w:r>
    </w:p>
    <w:p>
      <w:pPr>
        <w:ind w:left="680" w:hanging="680"/>
        <w:jc w:val="both"/>
      </w:pPr>
      <w:r>
        <w:rPr>
          <w:rFonts w:ascii="Times New Roman" w:hAnsi="Times New Roman"/>
          <w:sz w:val="22"/>
        </w:rPr>
        <w:t>[3] Dadachova, E., &amp; Casadevall, A. (2008). Ionizing radiation: how fungi cope, adapt, and exploit with the help of melanin. Current Opinion in Microbiology, 11(6), 525-531.</w:t>
      </w:r>
    </w:p>
    <w:p>
      <w:pPr>
        <w:ind w:left="680" w:hanging="680"/>
        <w:jc w:val="both"/>
      </w:pPr>
      <w:r>
        <w:rPr>
          <w:rFonts w:ascii="Times New Roman" w:hAnsi="Times New Roman"/>
          <w:sz w:val="22"/>
        </w:rPr>
        <w:t>[4] Bryan, R. A., &amp; Casadevall, A. (2014). Measurement of fungal melanin. Methods in Enzymology, 533, 241-253.</w:t>
      </w:r>
    </w:p>
    <w:p>
      <w:pPr>
        <w:ind w:left="680" w:hanging="680"/>
        <w:jc w:val="both"/>
      </w:pPr>
      <w:r>
        <w:rPr>
          <w:rFonts w:ascii="Times New Roman" w:hAnsi="Times New Roman"/>
          <w:sz w:val="22"/>
        </w:rPr>
        <w:t>[5] Cucinotta, F. A., Kim, M.-H. Y., &amp; Chappell, L. J. (2011). Space Radiation Cancer Risk Projections and Uncertainties — 2010. NASA Technical Publication NASA/TP-2011-216155.</w:t>
      </w:r>
    </w:p>
    <w:p>
      <w:pPr>
        <w:ind w:left="680" w:hanging="680"/>
        <w:jc w:val="both"/>
      </w:pPr>
      <w:r>
        <w:rPr>
          <w:rFonts w:ascii="Times New Roman" w:hAnsi="Times New Roman"/>
          <w:sz w:val="22"/>
        </w:rPr>
        <w:t>[6] Verhulst, P. F. (1838). Notice sur la loi que la population suit dans son accroissement. Correspondance Mathematique et Physique, 10, 113-121.</w:t>
      </w:r>
    </w:p>
    <w:p>
      <w:pPr>
        <w:ind w:left="680" w:hanging="680"/>
        <w:jc w:val="both"/>
      </w:pPr>
      <w:r>
        <w:rPr>
          <w:rFonts w:ascii="Times New Roman" w:hAnsi="Times New Roman"/>
          <w:sz w:val="22"/>
        </w:rPr>
        <w:t>[7] Cal Poly SLO (2022). CubeSat Design Specification (CDS) Rev. 14. California Polytechnic State University.</w:t>
      </w:r>
    </w:p>
    <w:p>
      <w:pPr>
        <w:ind w:left="680" w:hanging="680"/>
        <w:jc w:val="both"/>
      </w:pPr>
      <w:r>
        <w:rPr>
          <w:rFonts w:ascii="Times New Roman" w:hAnsi="Times New Roman"/>
          <w:sz w:val="22"/>
        </w:rPr>
        <w:t>[8] ESA (2024). SPENVIS — Space Environment Information System. European Space Agency. www.spenvis.oma.be</w:t>
      </w:r>
    </w:p>
    <w:p>
      <w:pPr>
        <w:ind w:left="680" w:hanging="680"/>
        <w:jc w:val="both"/>
      </w:pPr>
      <w:r>
        <w:rPr>
          <w:rFonts w:ascii="Times New Roman" w:hAnsi="Times New Roman"/>
          <w:sz w:val="22"/>
        </w:rPr>
        <w:t>[9] Casadevall, A., Cordero, R. J. B., Bryan, R., et al. (2012). Melanin, radiation, and energy transduction in fungi. Mycologia, 104(5), 1003-1006.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