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b/>
          <w:sz w:val="24"/>
        </w:rPr>
        <w:t>8. Conclusions &amp; Future Work</w:t>
        <w:tab/>
        <w:t>9</w:t>
      </w:r>
    </w:p>
    <w:p>
      <w:pPr>
        <w:tabs>
          <w:tab w:pos="7920" w:val="left"/>
        </w:tabs>
      </w:pPr>
      <w:r>
        <w:rPr>
          <w:rFonts w:ascii="Times New Roman" w:hAnsi="Times New Roman"/>
          <w:b/>
          <w:sz w:val="24"/>
        </w:rPr>
        <w:t>9. References</w:t>
        <w:tab/>
        <w:t>10</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(Arduino Uno), validating the hardware control logic in a virtual circuit environment. The 3D structural model is designed in Autodesk Fusion 360 to the 1U CubeSat standard (100 x 100 x 113.5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1U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Radiotrophic fungi are a class of melanin-rich micro-organisms that display positive chemotaxis toward ionising radiation — a phenomenon termed radiotropism. First reported by Dadachova et al. (2007) in Nature, this behaviour is thought to be driven by the ability of melanin pigments to transduce ionising radiation energy into biochemically useful reducing power, potentially analogous to the role of chlorophyll in photosynthesis.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(30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1U CubeSat standard (CDS Rev. 14, Cal Poly SLO) with external dimensions of 100 x 100 x 113.5 mm and a maximum mass of 1.33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(1U)</w:t>
            </w:r>
          </w:p>
        </w:tc>
        <w:tc>
          <w:tcPr>
            <w:tcW w:type="dxa" w:w="2835"/>
          </w:tcPr>
          <w:p>
            <w:pPr>
              <w:jc w:val="center"/>
            </w:pPr>
            <w:r>
              <w:rPr>
                <w:rFonts w:ascii="Times New Roman" w:hAnsi="Times New Roman"/>
                <w:b w:val="0"/>
                <w:sz w:val="24"/>
              </w:rPr>
              <w:t>85</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207 g</w:t>
            </w:r>
          </w:p>
        </w:tc>
        <w:tc>
          <w:tcPr>
            <w:tcW w:type="dxa" w:w="2835"/>
          </w:tcPr>
          <w:p>
            <w:pPr>
              <w:jc w:val="center"/>
            </w:pPr>
            <w:r>
              <w:rPr>
                <w:rFonts w:ascii="Times New Roman" w:hAnsi="Times New Roman"/>
                <w:b w:val="0"/>
                <w:sz w:val="24"/>
              </w:rPr>
              <w:t>Well within 1.33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(mW)</w:t>
            </w:r>
          </w:p>
        </w:tc>
      </w:tr>
      <w:tr>
        <w:tc>
          <w:tcPr>
            <w:tcW w:type="dxa" w:w="2126"/>
          </w:tcPr>
          <w:p>
            <w:pPr>
              <w:jc w:val="left"/>
            </w:pPr>
            <w:r>
              <w:rPr>
                <w:rFonts w:ascii="Times New Roman" w:hAnsi="Times New Roman"/>
                <w:b w:val="0"/>
                <w:sz w:val="24"/>
              </w:rPr>
              <w:t>Raspberry Pi Zero W × 2</w:t>
            </w:r>
          </w:p>
        </w:tc>
        <w:tc>
          <w:tcPr>
            <w:tcW w:type="dxa" w:w="2126"/>
          </w:tcPr>
          <w:p>
            <w:pPr>
              <w:jc w:val="center"/>
            </w:pPr>
            <w:r>
              <w:rPr>
                <w:rFonts w:ascii="Times New Roman" w:hAnsi="Times New Roman"/>
                <w:b w:val="0"/>
                <w:sz w:val="24"/>
              </w:rPr>
              <w:t>2 × 120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1200</w:t>
            </w:r>
          </w:p>
        </w:tc>
      </w:tr>
      <w:tr>
        <w:tc>
          <w:tcPr>
            <w:tcW w:type="dxa" w:w="2126"/>
          </w:tcPr>
          <w:p>
            <w:pPr>
              <w:jc w:val="left"/>
            </w:pPr>
            <w:r>
              <w:rPr>
                <w:rFonts w:ascii="Times New Roman" w:hAnsi="Times New Roman"/>
                <w:b w:val="0"/>
                <w:sz w:val="24"/>
              </w:rPr>
              <w:t>Camera module</w:t>
            </w:r>
          </w:p>
        </w:tc>
        <w:tc>
          <w:tcPr>
            <w:tcW w:type="dxa" w:w="2126"/>
          </w:tcPr>
          <w:p>
            <w:pPr>
              <w:jc w:val="center"/>
            </w:pPr>
            <w:r>
              <w:rPr>
                <w:rFonts w:ascii="Times New Roman" w:hAnsi="Times New Roman"/>
                <w:b w:val="0"/>
                <w:sz w:val="24"/>
              </w:rPr>
              <w:t>250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825</w:t>
            </w:r>
          </w:p>
        </w:tc>
      </w:tr>
      <w:tr>
        <w:tc>
          <w:tcPr>
            <w:tcW w:type="dxa" w:w="2126"/>
          </w:tcPr>
          <w:p>
            <w:pPr>
              <w:jc w:val="left"/>
            </w:pPr>
            <w:r>
              <w:rPr>
                <w:rFonts w:ascii="Times New Roman" w:hAnsi="Times New Roman"/>
                <w:b w:val="0"/>
                <w:sz w:val="24"/>
              </w:rPr>
              <w:t>LED panel</w:t>
            </w:r>
          </w:p>
        </w:tc>
        <w:tc>
          <w:tcPr>
            <w:tcW w:type="dxa" w:w="2126"/>
          </w:tcPr>
          <w:p>
            <w:pPr>
              <w:jc w:val="center"/>
            </w:pPr>
            <w:r>
              <w:rPr>
                <w:rFonts w:ascii="Times New Roman" w:hAnsi="Times New Roman"/>
                <w:b w:val="0"/>
                <w:sz w:val="24"/>
              </w:rPr>
              <w:t>80</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264</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center"/>
            </w:pPr>
            <w:r>
              <w:rPr>
                <w:rFonts w:ascii="Times New Roman" w:hAnsi="Times New Roman"/>
                <w:b w:val="0"/>
                <w:sz w:val="24"/>
              </w:rPr>
              <w:t>Total</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2,405 mW</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The control electronics were simulated using the Wokwi online circuit simulator (wokwi.com) running an Arduino Uno microcontroller sketch. The simulation implements the hysteresis control loop in real time, with a potentiometer substituting for the Geiger-Muller tube output (0-700 uGy/hr range), a DHT22 sensor providing temperature and humidity readings, two LED indicators showing valve state, and an I2C LCD displaying live readings.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52600"/>
                  <wp:docPr id="1" name="Picture 1"/>
                  <wp:cNvGraphicFramePr>
                    <a:graphicFrameLocks noChangeAspect="1"/>
                  </wp:cNvGraphicFramePr>
                  <a:graphic>
                    <a:graphicData uri="http://schemas.openxmlformats.org/drawingml/2006/picture">
                      <pic:pic>
                        <pic:nvPicPr>
                          <pic:cNvPr id="0" name="fig5_wokwi_valve_closed.png"/>
                          <pic:cNvPicPr/>
                        </pic:nvPicPr>
                        <pic:blipFill>
                          <a:blip r:embed="rId9"/>
                          <a:stretch>
                            <a:fillRect/>
                          </a:stretch>
                        </pic:blipFill>
                        <pic:spPr>
                          <a:xfrm>
                            <a:off x="0" y="0"/>
                            <a:ext cx="4572000" cy="1952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6: Valve CLOSED — F:150 uGy/hr (GCR background, green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61812"/>
                  <wp:docPr id="2" name="Picture 2"/>
                  <wp:cNvGraphicFramePr>
                    <a:graphicFrameLocks noChangeAspect="1"/>
                  </wp:cNvGraphicFramePr>
                  <a:graphic>
                    <a:graphicData uri="http://schemas.openxmlformats.org/drawingml/2006/picture">
                      <pic:pic>
                        <pic:nvPicPr>
                          <pic:cNvPr id="0" name="fig6_wokwi_valve_open_trigger.png"/>
                          <pic:cNvPicPr/>
                        </pic:nvPicPr>
                        <pic:blipFill>
                          <a:blip r:embed="rId10"/>
                          <a:stretch>
                            <a:fillRect/>
                          </a:stretch>
                        </pic:blipFill>
                        <pic:spPr>
                          <a:xfrm>
                            <a:off x="0" y="0"/>
                            <a:ext cx="4572000" cy="1961812"/>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7: Valve OPEN triggered — F:522 uGy/hr (exceeded 500 uGy/hr threshold, red LED on)</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1947510"/>
                  <wp:docPr id="3" name="Picture 3"/>
                  <wp:cNvGraphicFramePr>
                    <a:graphicFrameLocks noChangeAspect="1"/>
                  </wp:cNvGraphicFramePr>
                  <a:graphic>
                    <a:graphicData uri="http://schemas.openxmlformats.org/drawingml/2006/picture">
                      <pic:pic>
                        <pic:nvPicPr>
                          <pic:cNvPr id="0" name="fig7_wokwi_valve_open_hold.png"/>
                          <pic:cNvPicPr/>
                        </pic:nvPicPr>
                        <pic:blipFill>
                          <a:blip r:embed="rId11"/>
                          <a:stretch>
                            <a:fillRect/>
                          </a:stretch>
                        </pic:blipFill>
                        <pic:spPr>
                          <a:xfrm>
                            <a:off x="0" y="0"/>
                            <a:ext cx="4572000" cy="194751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8: Valve OPEN holding — F:516 uGy/hr (deadband, valve holds OPEN until &lt;350)</w:t>
            </w:r>
          </w:p>
        </w:tc>
      </w:tr>
    </w:tbl>
    <w:p/>
    <w:p>
      <w:r>
        <w:br w:type="page"/>
      </w:r>
    </w:p>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hysteresis_validation.png"/>
                          <pic:cNvPicPr/>
                        </pic:nvPicPr>
                        <pic:blipFill>
                          <a:blip r:embed="rId12"/>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5: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095500"/>
                  <wp:docPr id="5" name="Picture 5"/>
                  <wp:cNvGraphicFramePr>
                    <a:graphicFrameLocks noChangeAspect="1"/>
                  </wp:cNvGraphicFramePr>
                  <a:graphic>
                    <a:graphicData uri="http://schemas.openxmlformats.org/drawingml/2006/picture">
                      <pic:pic>
                        <pic:nvPicPr>
                          <pic:cNvPr id="0" name="fig1_flux_valve.png"/>
                          <pic:cNvPicPr/>
                        </pic:nvPicPr>
                        <pic:blipFill>
                          <a:blip r:embed="rId13"/>
                          <a:stretch>
                            <a:fillRect/>
                          </a:stretch>
                        </pic:blipFill>
                        <pic:spPr>
                          <a:xfrm>
                            <a:off x="0" y="0"/>
                            <a:ext cx="5029200" cy="20955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11 valve OPEN events shown.</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6" name="Picture 6"/>
                  <wp:cNvGraphicFramePr>
                    <a:graphicFrameLocks noChangeAspect="1"/>
                  </wp:cNvGraphicFramePr>
                  <a:graphic>
                    <a:graphicData uri="http://schemas.openxmlformats.org/drawingml/2006/picture">
                      <pic:pic>
                        <pic:nvPicPr>
                          <pic:cNvPr id="0" name="fig2_growth_curves.png"/>
                          <pic:cNvPicPr/>
                        </pic:nvPicPr>
                        <pic:blipFill>
                          <a:blip r:embed="rId14"/>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2: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fig4_od600_proxy.png"/>
                          <pic:cNvPicPr/>
                        </pic:nvPicPr>
                        <pic:blipFill>
                          <a:blip r:embed="rId15"/>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4: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3.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p>
      <w:pPr>
        <w:jc w:val="center"/>
      </w:pPr>
      <w:r>
        <w:rPr>
          <w:rFonts w:ascii="Times New Roman" w:hAnsi="Times New Roman"/>
          <w:b/>
          <w:i/>
          <w:sz w:val="20"/>
        </w:rPr>
        <w:t>Table 8: Key Simulation Results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Metric</w:t>
            </w:r>
          </w:p>
        </w:tc>
        <w:tc>
          <w:tcPr>
            <w:tcW w:type="dxa" w:w="2126"/>
            <w:shd w:val="clear" w:color="auto" w:fill="1A1A2E"/>
          </w:tcPr>
          <w:p>
            <w:pPr>
              <w:jc w:val="center"/>
            </w:pPr>
            <w:r>
              <w:rPr>
                <w:rFonts w:ascii="Times New Roman" w:hAnsi="Times New Roman"/>
                <w:b/>
                <w:color w:val="FFFFFF"/>
                <w:sz w:val="24"/>
              </w:rPr>
              <w:t>CH-1 (Control)</w:t>
            </w:r>
          </w:p>
        </w:tc>
        <w:tc>
          <w:tcPr>
            <w:tcW w:type="dxa" w:w="2126"/>
            <w:shd w:val="clear" w:color="auto" w:fill="1A1A2E"/>
          </w:tcPr>
          <w:p>
            <w:pPr>
              <w:jc w:val="center"/>
            </w:pPr>
            <w:r>
              <w:rPr>
                <w:rFonts w:ascii="Times New Roman" w:hAnsi="Times New Roman"/>
                <w:b/>
                <w:color w:val="FFFFFF"/>
                <w:sz w:val="24"/>
              </w:rPr>
              <w:t>CH-2 (C. sphaerospermum)</w:t>
            </w:r>
          </w:p>
        </w:tc>
        <w:tc>
          <w:tcPr>
            <w:tcW w:type="dxa" w:w="2126"/>
            <w:shd w:val="clear" w:color="auto" w:fill="1A1A2E"/>
          </w:tcPr>
          <w:p>
            <w:pPr>
              <w:jc w:val="center"/>
            </w:pPr>
            <w:r>
              <w:rPr>
                <w:rFonts w:ascii="Times New Roman" w:hAnsi="Times New Roman"/>
                <w:b/>
                <w:color w:val="FFFFFF"/>
                <w:sz w:val="24"/>
              </w:rPr>
              <w:t>CH-3 (W. dermatitidis)</w:t>
            </w:r>
          </w:p>
        </w:tc>
      </w:tr>
      <w:tr>
        <w:tc>
          <w:tcPr>
            <w:tcW w:type="dxa" w:w="2126"/>
          </w:tcPr>
          <w:p>
            <w:pPr>
              <w:jc w:val="left"/>
            </w:pPr>
            <w:r>
              <w:rPr>
                <w:rFonts w:ascii="Times New Roman" w:hAnsi="Times New Roman"/>
                <w:b w:val="0"/>
                <w:sz w:val="24"/>
              </w:rPr>
              <w:t>Peak Attn%</w:t>
            </w:r>
          </w:p>
        </w:tc>
        <w:tc>
          <w:tcPr>
            <w:tcW w:type="dxa" w:w="2126"/>
          </w:tcPr>
          <w:p>
            <w:pPr>
              <w:jc w:val="center"/>
            </w:pPr>
            <w:r>
              <w:rPr>
                <w:rFonts w:ascii="Times New Roman" w:hAnsi="Times New Roman"/>
                <w:b w:val="0"/>
                <w:sz w:val="24"/>
              </w:rPr>
              <w:t>0.000%</w:t>
            </w:r>
          </w:p>
        </w:tc>
        <w:tc>
          <w:tcPr>
            <w:tcW w:type="dxa" w:w="2126"/>
          </w:tcPr>
          <w:p>
            <w:pPr>
              <w:jc w:val="center"/>
            </w:pPr>
            <w:r>
              <w:rPr>
                <w:rFonts w:ascii="Times New Roman" w:hAnsi="Times New Roman"/>
                <w:b w:val="0"/>
                <w:sz w:val="24"/>
              </w:rPr>
              <w:t>2.169%</w:t>
            </w:r>
          </w:p>
        </w:tc>
        <w:tc>
          <w:tcPr>
            <w:tcW w:type="dxa" w:w="2126"/>
          </w:tcPr>
          <w:p>
            <w:pPr>
              <w:jc w:val="center"/>
            </w:pPr>
            <w:r>
              <w:rPr>
                <w:rFonts w:ascii="Times New Roman" w:hAnsi="Times New Roman"/>
                <w:b w:val="0"/>
                <w:sz w:val="24"/>
              </w:rPr>
              <w:t>2.593%</w:t>
            </w:r>
          </w:p>
        </w:tc>
      </w:tr>
      <w:tr>
        <w:tc>
          <w:tcPr>
            <w:tcW w:type="dxa" w:w="2126"/>
          </w:tcPr>
          <w:p>
            <w:pPr>
              <w:jc w:val="left"/>
            </w:pPr>
            <w:r>
              <w:rPr>
                <w:rFonts w:ascii="Times New Roman" w:hAnsi="Times New Roman"/>
                <w:b w:val="0"/>
                <w:sz w:val="24"/>
              </w:rPr>
              <w:t>ISS reference</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2.17% ✓</w:t>
            </w:r>
          </w:p>
        </w:tc>
        <w:tc>
          <w:tcPr>
            <w:tcW w:type="dxa" w:w="2126"/>
          </w:tcPr>
          <w:p>
            <w:pPr>
              <w:jc w:val="center"/>
            </w:pPr>
            <w:r>
              <w:rPr>
                <w:rFonts w:ascii="Times New Roman" w:hAnsi="Times New Roman"/>
                <w:b w:val="0"/>
                <w:sz w:val="24"/>
              </w:rPr>
              <w:t>Not yet measured</w:t>
            </w:r>
          </w:p>
        </w:tc>
      </w:tr>
      <w:tr>
        <w:tc>
          <w:tcPr>
            <w:tcW w:type="dxa" w:w="2126"/>
          </w:tcPr>
          <w:p>
            <w:pPr>
              <w:jc w:val="left"/>
            </w:pPr>
            <w:r>
              <w:rPr>
                <w:rFonts w:ascii="Times New Roman" w:hAnsi="Times New Roman"/>
                <w:b w:val="0"/>
                <w:sz w:val="24"/>
              </w:rPr>
              <w:t>Final biomass N</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0.9992 g/L</w:t>
            </w:r>
          </w:p>
        </w:tc>
        <w:tc>
          <w:tcPr>
            <w:tcW w:type="dxa" w:w="2126"/>
          </w:tcPr>
          <w:p>
            <w:pPr>
              <w:jc w:val="center"/>
            </w:pPr>
            <w:r>
              <w:rPr>
                <w:rFonts w:ascii="Times New Roman" w:hAnsi="Times New Roman"/>
                <w:b w:val="0"/>
                <w:sz w:val="24"/>
              </w:rPr>
              <w:t>1.0007 g/L</w:t>
            </w:r>
          </w:p>
        </w:tc>
      </w:tr>
      <w:tr>
        <w:tc>
          <w:tcPr>
            <w:tcW w:type="dxa" w:w="2126"/>
          </w:tcPr>
          <w:p>
            <w:pPr>
              <w:jc w:val="left"/>
            </w:pPr>
            <w:r>
              <w:rPr>
                <w:rFonts w:ascii="Times New Roman" w:hAnsi="Times New Roman"/>
                <w:b w:val="0"/>
                <w:sz w:val="24"/>
              </w:rPr>
              <w:t>Peak OD600</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2.998</w:t>
            </w:r>
          </w:p>
        </w:tc>
        <w:tc>
          <w:tcPr>
            <w:tcW w:type="dxa" w:w="2126"/>
          </w:tcPr>
          <w:p>
            <w:pPr>
              <w:jc w:val="center"/>
            </w:pPr>
            <w:r>
              <w:rPr>
                <w:rFonts w:ascii="Times New Roman" w:hAnsi="Times New Roman"/>
                <w:b w:val="0"/>
                <w:sz w:val="24"/>
              </w:rPr>
              <w:t>3.015</w:t>
            </w:r>
          </w:p>
        </w:tc>
      </w:tr>
      <w:tr>
        <w:tc>
          <w:tcPr>
            <w:tcW w:type="dxa" w:w="2126"/>
          </w:tcPr>
          <w:p>
            <w:pPr>
              <w:jc w:val="left"/>
            </w:pPr>
            <w:r>
              <w:rPr>
                <w:rFonts w:ascii="Times New Roman" w:hAnsi="Times New Roman"/>
                <w:b w:val="0"/>
                <w:sz w:val="24"/>
              </w:rPr>
              <w:t>Melanin thickness at peak</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0.3643 cm</w:t>
            </w:r>
          </w:p>
        </w:tc>
        <w:tc>
          <w:tcPr>
            <w:tcW w:type="dxa" w:w="2126"/>
          </w:tcPr>
          <w:p>
            <w:pPr>
              <w:jc w:val="center"/>
            </w:pPr>
            <w:r>
              <w:rPr>
                <w:rFonts w:ascii="Times New Roman" w:hAnsi="Times New Roman"/>
                <w:b w:val="0"/>
                <w:sz w:val="24"/>
              </w:rPr>
              <w:t>0.4191 cm</w:t>
            </w:r>
          </w:p>
        </w:tc>
      </w:tr>
      <w:tr>
        <w:tc>
          <w:tcPr>
            <w:tcW w:type="dxa" w:w="2126"/>
          </w:tcPr>
          <w:p>
            <w:pPr>
              <w:jc w:val="left"/>
            </w:pPr>
            <w:r>
              <w:rPr>
                <w:rFonts w:ascii="Times New Roman" w:hAnsi="Times New Roman"/>
                <w:b w:val="0"/>
                <w:sz w:val="24"/>
              </w:rPr>
              <w:t>Verdict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Baseline validated</w:t>
            </w:r>
          </w:p>
        </w:tc>
        <w:tc>
          <w:tcPr>
            <w:tcW w:type="dxa" w:w="2126"/>
          </w:tcPr>
          <w:p>
            <w:pPr>
              <w:jc w:val="center"/>
            </w:pPr>
            <w:r>
              <w:rPr>
                <w:rFonts w:ascii="Times New Roman" w:hAnsi="Times New Roman"/>
                <w:b w:val="0"/>
                <w:sz w:val="24"/>
              </w:rPr>
              <w:t>BETTER SHIELD ✓</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2514600"/>
                  <wp:docPr id="8" name="Picture 8"/>
                  <wp:cNvGraphicFramePr>
                    <a:graphicFrameLocks noChangeAspect="1"/>
                  </wp:cNvGraphicFramePr>
                  <a:graphic>
                    <a:graphicData uri="http://schemas.openxmlformats.org/drawingml/2006/picture">
                      <pic:pic>
                        <pic:nvPicPr>
                          <pic:cNvPr id="0" name="fig3_attenuation.png"/>
                          <pic:cNvPicPr/>
                        </pic:nvPicPr>
                        <pic:blipFill>
                          <a:blip r:embed="rId16"/>
                          <a:stretch>
                            <a:fillRect/>
                          </a:stretch>
                        </pic:blipFill>
                        <pic:spPr>
                          <a:xfrm>
                            <a:off x="0" y="0"/>
                            <a:ext cx="5029200" cy="25146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3: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1U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fig_cad_fusion360_model.png"/>
                          <pic:cNvPicPr/>
                        </pic:nvPicPr>
                        <pic:blipFill>
                          <a:blip r:embed="rId17"/>
                          <a:stretch>
                            <a:fillRect/>
                          </a:stretch>
                        </pic:blipFill>
                        <pic:spPr>
                          <a:xfrm>
                            <a:off x="0" y="0"/>
                            <a:ext cx="5029200" cy="5029200"/>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Reference 3D model — LOC CubeSat internal layout showing 1U shell (100x100x113.5 mm), 3-chamber LOC chip, stacked Raspberry Pi boards, sensor placement, and LiPo battery.</w:t>
            </w:r>
          </w:p>
        </w:tc>
      </w:tr>
    </w:tbl>
    <w:p/>
    <w:p>
      <w:pPr>
        <w:jc w:val="center"/>
      </w:pPr>
      <w:r>
        <w:rPr>
          <w:i/>
          <w:color w:val="969696"/>
          <w:sz w:val="22"/>
        </w:rPr>
        <w:t>[PLACEHOLDER — Fig CAD-1: Fusion 360 — Isometric Exterior View]</w:t>
        <w:br/>
        <w:t>Export from Fusion 360 Render workspace and save to src/figures/</w:t>
      </w:r>
    </w:p>
    <w:p>
      <w:pPr>
        <w:jc w:val="center"/>
      </w:pPr>
      <w:r>
        <w:rPr>
          <w:i/>
          <w:color w:val="969696"/>
          <w:sz w:val="22"/>
        </w:rPr>
        <w:t>[PLACEHOLDER — Fig CAD-2: Fusion 360 — Section View (Interior Layout)]</w:t>
        <w:br/>
        <w:t>Export from Fusion 360 Render workspace and save to src/figures/</w:t>
      </w:r>
    </w:p>
    <w:p>
      <w:pPr>
        <w:jc w:val="center"/>
      </w:pPr>
      <w:r>
        <w:rPr>
          <w:i/>
          <w:color w:val="969696"/>
          <w:sz w:val="22"/>
        </w:rPr>
        <w:t>[PLACEHOLDER — Fig CAD-3: Fusion 360 — Exploded View]</w:t>
        <w:br/>
        <w:t>Export from Fusion 360 Render workspace and save to src/figures/</w:t>
      </w:r>
    </w:p>
    <w:p>
      <w:r>
        <w:br w:type="page"/>
      </w:r>
    </w:p>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validating the computational approach.</w:t>
      </w:r>
    </w:p>
    <w:p>
      <w:pPr>
        <w:pStyle w:val="ListNumber"/>
        <w:jc w:val="both"/>
      </w:pPr>
      <w:r>
        <w:rPr>
          <w:rFonts w:ascii="Times New Roman" w:hAnsi="Times New Roman"/>
          <w:sz w:val="24"/>
        </w:rPr>
        <w:t>W. dermatitidis (CH-3) achieves a simulated peak attenuation of 2.593% — a 19.6% improvement over the ISS baseline — attributable to its higher DHN-melanin content per unit biomass (estimated 15-20% greater than C. sphaerospermum).</w:t>
      </w:r>
    </w:p>
    <w:p>
      <w:pPr>
        <w:pStyle w:val="ListNumber"/>
        <w:jc w:val="both"/>
      </w:pPr>
      <w:r>
        <w:rPr>
          <w:rFonts w:ascii="Times New Roman" w:hAnsi="Times New Roman"/>
          <w:sz w:val="24"/>
        </w:rPr>
        <w:t>The hysteresis control architecture successfully prevents valve chatter in the deadband zone (350-500 uGy/hr) and correctly identifies all 11 simulated SAA passage events over 48 hours.</w:t>
      </w:r>
    </w:p>
    <w:p>
      <w:pPr>
        <w:pStyle w:val="ListNumber"/>
        <w:jc w:val="both"/>
      </w:pPr>
      <w:r>
        <w:rPr>
          <w:rFonts w:ascii="Times New Roman" w:hAnsi="Times New Roman"/>
          <w:sz w:val="24"/>
        </w:rPr>
        <w:t>The electronics simulation (Wokwi / Arduino) correctly implements the same hysteresis logic in hardware, demonstrating consistency between software and hardware control implementations.</w:t>
      </w:r>
    </w:p>
    <w:p>
      <w:pPr>
        <w:pStyle w:val="ListNumber"/>
        <w:jc w:val="both"/>
      </w:pPr>
      <w:r>
        <w:rPr>
          <w:rFonts w:ascii="Times New Roman" w:hAnsi="Times New Roman"/>
          <w:sz w:val="24"/>
        </w:rPr>
        <w:t>Both fungal strains reach near-saturation biomass (N approx. 1.0 g/L) within 30 hours, making a 48-hour mission window appropriate for observing the full growth-to-plateau attenuation curve.</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