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360" w:lineRule="exact" w:after="120"/>
        <w:jc w:val="both"/>
      </w:pPr>
      <w:r>
        <w:rPr>
          <w:rFonts w:ascii="Times New Roman" w:hAnsi="Times New Roman"/>
          <w:b w:val="0"/>
          <w:i w:val="0"/>
          <w:sz w:val="24"/>
        </w:rPr>
        <w:t>Additional system-level safeguards include:</w:t>
      </w:r>
    </w:p>
    <w:p>
      <w:pPr>
        <w:spacing w:line="360" w:lineRule="exact"/>
        <w:ind w:left="680"/>
        <w:jc w:val="both"/>
      </w:pPr>
      <w:r>
        <w:rPr>
          <w:rFonts w:ascii="Times New Roman" w:hAnsi="Times New Roman"/>
          <w:sz w:val="24"/>
        </w:rPr>
        <w:t>• Real-time clock (DS3231) with battery backup for timestamp integrity during power dips.</w:t>
      </w:r>
    </w:p>
    <w:p>
      <w:pPr>
        <w:spacing w:line="360" w:lineRule="exact"/>
        <w:ind w:left="680"/>
        <w:jc w:val="both"/>
      </w:pPr>
      <w:r>
        <w:rPr>
          <w:rFonts w:ascii="Times New Roman" w:hAnsi="Times New Roman"/>
          <w:sz w:val="24"/>
        </w:rPr>
        <w:t>• Software watchdogs on both Raspberry Pis to detect and recover from hangs.</w:t>
      </w:r>
    </w:p>
    <w:p>
      <w:pPr>
        <w:spacing w:line="360" w:lineRule="exact"/>
        <w:ind w:left="680"/>
        <w:jc w:val="both"/>
      </w:pPr>
      <w:r>
        <w:rPr>
          <w:rFonts w:ascii="Times New Roman" w:hAnsi="Times New Roman"/>
          <w:sz w:val="24"/>
        </w:rPr>
        <w:t>• Pre-flight end-to-end functional testing of the complete valve-sensor-camera loop.</w:t>
      </w:r>
    </w:p>
    <w:p>
      <w:pPr>
        <w:spacing w:line="360" w:lineRule="exact" w:after="120"/>
        <w:jc w:val="both"/>
      </w:pPr>
      <w:r>
        <w:rPr>
          <w:rFonts w:ascii="Times New Roman" w:hAnsi="Times New Roman"/>
          <w:b w:val="0"/>
          <w:i w:val="0"/>
          <w:sz w:val="24"/>
        </w:rPr>
        <w:t>These measures ensure that no single failure compromises the core scientific objectives of the 48-hour mission.</w:t>
      </w:r>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b/>
          <w:sz w:val="24"/>
        </w:rPr>
        <w:t>8. Conclusions &amp; Future Work</w:t>
        <w:tab/>
        <w:t>9</w:t>
      </w:r>
    </w:p>
    <w:p>
      <w:pPr>
        <w:tabs>
          <w:tab w:pos="7920" w:val="left"/>
        </w:tabs>
      </w:pPr>
      <w:r>
        <w:rPr>
          <w:rFonts w:ascii="Times New Roman" w:hAnsi="Times New Roman"/>
          <w:sz w:val="24"/>
        </w:rPr>
        <w:t xml:space="preserve">   8.4. System Safeguards</w:t>
        <w:tab/>
        <w:t>9</w:t>
      </w:r>
    </w:p>
    <w:p>
      <w:pPr>
        <w:tabs>
          <w:tab w:pos="7920" w:val="left"/>
        </w:tabs>
      </w:pPr>
      <w:r>
        <w:rPr>
          <w:rFonts w:ascii="Times New Roman" w:hAnsi="Times New Roman"/>
          <w:b/>
          <w:sz w:val="24"/>
        </w:rPr>
        <w:t>9. References</w:t>
        <w:tab/>
        <w:t>10</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(Arduino Uno), validating the hardware control logic in a virtual circuit environment. The 3D structural model is designed in Autodesk Fusion 360 to the 1U CubeSat standard (100 x 100 x 113.5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1U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(30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1U CubeSat standard (CDS Rev. 14, Cal Poly SLO) with external dimensions of 100 x 100 x 113.5 mm and a maximum mass of 1.33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(1U)</w:t>
            </w:r>
          </w:p>
        </w:tc>
        <w:tc>
          <w:tcPr>
            <w:tcW w:type="dxa" w:w="2835"/>
          </w:tcPr>
          <w:p>
            <w:pPr>
              <w:jc w:val="center"/>
            </w:pPr>
            <w:r>
              <w:rPr>
                <w:rFonts w:ascii="Times New Roman" w:hAnsi="Times New Roman"/>
                <w:b w:val="0"/>
                <w:sz w:val="24"/>
              </w:rPr>
              <w:t>85</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207 g</w:t>
            </w:r>
          </w:p>
        </w:tc>
        <w:tc>
          <w:tcPr>
            <w:tcW w:type="dxa" w:w="2835"/>
          </w:tcPr>
          <w:p>
            <w:pPr>
              <w:jc w:val="center"/>
            </w:pPr>
            <w:r>
              <w:rPr>
                <w:rFonts w:ascii="Times New Roman" w:hAnsi="Times New Roman"/>
                <w:b w:val="0"/>
                <w:sz w:val="24"/>
              </w:rPr>
              <w:t>Well within 1.33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(mW)</w:t>
            </w:r>
          </w:p>
        </w:tc>
      </w:tr>
      <w:tr>
        <w:tc>
          <w:tcPr>
            <w:tcW w:type="dxa" w:w="2126"/>
          </w:tcPr>
          <w:p>
            <w:pPr>
              <w:jc w:val="left"/>
            </w:pPr>
            <w:r>
              <w:rPr>
                <w:rFonts w:ascii="Times New Roman" w:hAnsi="Times New Roman"/>
                <w:b w:val="0"/>
                <w:sz w:val="24"/>
              </w:rPr>
              <w:t>Raspberry Pi Zero W × 2</w:t>
            </w:r>
          </w:p>
        </w:tc>
        <w:tc>
          <w:tcPr>
            <w:tcW w:type="dxa" w:w="2126"/>
          </w:tcPr>
          <w:p>
            <w:pPr>
              <w:jc w:val="center"/>
            </w:pPr>
            <w:r>
              <w:rPr>
                <w:rFonts w:ascii="Times New Roman" w:hAnsi="Times New Roman"/>
                <w:b w:val="0"/>
                <w:sz w:val="24"/>
              </w:rPr>
              <w:t>2 × 120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1200</w:t>
            </w:r>
          </w:p>
        </w:tc>
      </w:tr>
      <w:tr>
        <w:tc>
          <w:tcPr>
            <w:tcW w:type="dxa" w:w="2126"/>
          </w:tcPr>
          <w:p>
            <w:pPr>
              <w:jc w:val="left"/>
            </w:pPr>
            <w:r>
              <w:rPr>
                <w:rFonts w:ascii="Times New Roman" w:hAnsi="Times New Roman"/>
                <w:b w:val="0"/>
                <w:sz w:val="24"/>
              </w:rPr>
              <w:t>Camera module</w:t>
            </w:r>
          </w:p>
        </w:tc>
        <w:tc>
          <w:tcPr>
            <w:tcW w:type="dxa" w:w="2126"/>
          </w:tcPr>
          <w:p>
            <w:pPr>
              <w:jc w:val="center"/>
            </w:pPr>
            <w:r>
              <w:rPr>
                <w:rFonts w:ascii="Times New Roman" w:hAnsi="Times New Roman"/>
                <w:b w:val="0"/>
                <w:sz w:val="24"/>
              </w:rPr>
              <w:t>250</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825</w:t>
            </w:r>
          </w:p>
        </w:tc>
      </w:tr>
      <w:tr>
        <w:tc>
          <w:tcPr>
            <w:tcW w:type="dxa" w:w="2126"/>
          </w:tcPr>
          <w:p>
            <w:pPr>
              <w:jc w:val="left"/>
            </w:pPr>
            <w:r>
              <w:rPr>
                <w:rFonts w:ascii="Times New Roman" w:hAnsi="Times New Roman"/>
                <w:b w:val="0"/>
                <w:sz w:val="24"/>
              </w:rPr>
              <w:t>LED panel</w:t>
            </w:r>
          </w:p>
        </w:tc>
        <w:tc>
          <w:tcPr>
            <w:tcW w:type="dxa" w:w="2126"/>
          </w:tcPr>
          <w:p>
            <w:pPr>
              <w:jc w:val="center"/>
            </w:pPr>
            <w:r>
              <w:rPr>
                <w:rFonts w:ascii="Times New Roman" w:hAnsi="Times New Roman"/>
                <w:b w:val="0"/>
                <w:sz w:val="24"/>
              </w:rPr>
              <w:t>80</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264</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center"/>
            </w:pPr>
            <w:r>
              <w:rPr>
                <w:rFonts w:ascii="Times New Roman" w:hAnsi="Times New Roman"/>
                <w:b w:val="0"/>
                <w:sz w:val="24"/>
              </w:rPr>
              <w:t>Total</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2,405 mW</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(14.8 V, 2.6 Ah = 38.5 Wh) provides approximately 2.8 hours of continuous operation at full load (13.8 W peak). For the full 48-hour mission, the following strategies are implemented: (1) Camera duty-cycling — one OD600 image per hour rather than continuous recording reduces camera power from 2.0 W continuous to ~0.05 W average. (2) Arduino deep-sleep mode between 2-second readings reduces microcontroller draw from 0.5 W to ~0.02 W average. (3) LED lighting timed to camera capture only. (4) A supplementary solar panel (0.5 U body-mounted, ~0.8 W average generation at LEO) closes the power gap for extended missions. With duty-cycling, the effective average load drops to approximately 1.2 W, giving a battery-only runtime of ~32 hours and full 48-hour coverage with solar supplement.</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The control electronics were simulated using the Wokwi online circuit simulator (wokwi.com) running an Arduino Uno microcontroller sketch. The simulation implements the hysteresis control loop in real time, with a potentiometer substituting for the Geiger-Muller tube output (0-700 uGy/hr range), a DHT22 sensor providing temperature and humidity readings, two LED indicators showing valve state, and an I2C LCD displaying live readings.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52600"/>
                  <wp:docPr id="1" name="Picture 1"/>
                  <wp:cNvGraphicFramePr>
                    <a:graphicFrameLocks noChangeAspect="1"/>
                  </wp:cNvGraphicFramePr>
                  <a:graphic>
                    <a:graphicData uri="http://schemas.openxmlformats.org/drawingml/2006/picture">
                      <pic:pic>
                        <pic:nvPicPr>
                          <pic:cNvPr id="0" name="fig5_wokwi_valve_closed.png"/>
                          <pic:cNvPicPr/>
                        </pic:nvPicPr>
                        <pic:blipFill>
                          <a:blip r:embed="rId9"/>
                          <a:stretch>
                            <a:fillRect/>
                          </a:stretch>
                        </pic:blipFill>
                        <pic:spPr>
                          <a:xfrm>
                            <a:off x="0" y="0"/>
                            <a:ext cx="4572000" cy="1952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Valve CLOSED — F:150 uGy/hr (GCR background, green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61812"/>
                  <wp:docPr id="2" name="Picture 2"/>
                  <wp:cNvGraphicFramePr>
                    <a:graphicFrameLocks noChangeAspect="1"/>
                  </wp:cNvGraphicFramePr>
                  <a:graphic>
                    <a:graphicData uri="http://schemas.openxmlformats.org/drawingml/2006/picture">
                      <pic:pic>
                        <pic:nvPicPr>
                          <pic:cNvPr id="0" name="fig6_wokwi_valve_open_trigger.png"/>
                          <pic:cNvPicPr/>
                        </pic:nvPicPr>
                        <pic:blipFill>
                          <a:blip r:embed="rId10"/>
                          <a:stretch>
                            <a:fillRect/>
                          </a:stretch>
                        </pic:blipFill>
                        <pic:spPr>
                          <a:xfrm>
                            <a:off x="0" y="0"/>
                            <a:ext cx="4572000" cy="1961812"/>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7: Valve OPEN triggered — F:522 uGy/hr (exceeded 500 uGy/hr threshold, red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47510"/>
                  <wp:docPr id="3" name="Picture 3"/>
                  <wp:cNvGraphicFramePr>
                    <a:graphicFrameLocks noChangeAspect="1"/>
                  </wp:cNvGraphicFramePr>
                  <a:graphic>
                    <a:graphicData uri="http://schemas.openxmlformats.org/drawingml/2006/picture">
                      <pic:pic>
                        <pic:nvPicPr>
                          <pic:cNvPr id="0" name="fig7_wokwi_valve_open_hold.png"/>
                          <pic:cNvPicPr/>
                        </pic:nvPicPr>
                        <pic:blipFill>
                          <a:blip r:embed="rId11"/>
                          <a:stretch>
                            <a:fillRect/>
                          </a:stretch>
                        </pic:blipFill>
                        <pic:spPr>
                          <a:xfrm>
                            <a:off x="0" y="0"/>
                            <a:ext cx="4572000" cy="194751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1U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11 valve OPEN events shown.</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fig2_growth_curves.png"/>
                          <pic:cNvPicPr/>
                        </pic:nvPicPr>
                        <pic:blipFill>
                          <a:blip r:embed="rId14"/>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fig4_od600_proxy.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4: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3.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3_attenuation.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1U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5029200"/>
                  <wp:docPr id="9" name="Picture 9"/>
                  <wp:cNvGraphicFramePr>
                    <a:graphicFrameLocks noChangeAspect="1"/>
                  </wp:cNvGraphicFramePr>
                  <a:graphic>
                    <a:graphicData uri="http://schemas.openxmlformats.org/drawingml/2006/picture">
                      <pic:pic>
                        <pic:nvPicPr>
                          <pic:cNvPr id="0" name="fig_cad_fusion360_model.png"/>
                          <pic:cNvPicPr/>
                        </pic:nvPicPr>
                        <pic:blipFill>
                          <a:blip r:embed="rId17"/>
                          <a:stretch>
                            <a:fillRect/>
                          </a:stretch>
                        </pic:blipFill>
                        <pic:spPr>
                          <a:xfrm>
                            <a:off x="0" y="0"/>
                            <a:ext cx="5029200" cy="50292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Reference 3D model — LOC CubeSat internal layout showing 1U shell (100x100x113.5 mm), 3-chamber LOC chip, stacked Raspberry Pi boards, sensor placement, and LiPo battery.</w:t>
            </w:r>
          </w:p>
        </w:tc>
      </w:tr>
    </w:tbl>
    <w:p/>
    <w:p>
      <w:pPr>
        <w:jc w:val="center"/>
      </w:pPr>
      <w:r>
        <w:rPr>
          <w:i/>
          <w:color w:val="969696"/>
          <w:sz w:val="22"/>
        </w:rPr>
        <w:t>[PLACEHOLDER — Fig CAD-1: Fusion 360 — Isometric Exterior View]</w:t>
        <w:br/>
        <w:t>Export from Fusion 360 Render workspace and save to src/figures/</w:t>
      </w:r>
    </w:p>
    <w:p>
      <w:pPr>
        <w:jc w:val="center"/>
      </w:pPr>
      <w:r>
        <w:rPr>
          <w:i/>
          <w:color w:val="969696"/>
          <w:sz w:val="22"/>
        </w:rPr>
        <w:t>[PLACEHOLDER — Fig CAD-2: Fusion 360 — Section View (Interior Layout)]</w:t>
        <w:br/>
        <w:t>Export from Fusion 360 Render workspace and save to src/figures/</w:t>
      </w:r>
    </w:p>
    <w:p>
      <w:pPr>
        <w:jc w:val="center"/>
      </w:pPr>
      <w:r>
        <w:rPr>
          <w:i/>
          <w:color w:val="969696"/>
          <w:sz w:val="22"/>
        </w:rPr>
        <w:t>[PLACEHOLDER — Fig CAD-3: Fusion 360 — Exploded View]</w:t>
        <w:br/>
        <w:t>Export from Fusion 360 Render workspace and save to src/figures/</w:t>
      </w:r>
    </w:p>
    <w:p>
      <w:r>
        <w:br w:type="page"/>
      </w:r>
    </w:p>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Arduino deep-sleep, and planned solar panel supplement to support the full 48-hour autonomous mission. [Task: Engineering feasibility for LEO demonstrated.]</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