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6" name="Picture 6"/>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1508760"/>
                  <wp:docPr id="7" name="Picture 7"/>
                  <wp:cNvGraphicFramePr>
                    <a:graphicFrameLocks noChangeAspect="1"/>
                  </wp:cNvGraphicFramePr>
                  <a:graphic>
                    <a:graphicData uri="http://schemas.openxmlformats.org/drawingml/2006/picture">
                      <pic:pic>
                        <pic:nvPicPr>
                          <pic:cNvPr id="0" name="fig6_valve_timeline.png"/>
                          <pic:cNvPicPr/>
                        </pic:nvPicPr>
                        <pic:blipFill>
                          <a:blip r:embed="rId14"/>
                          <a:stretch>
                            <a:fillRect/>
                          </a:stretch>
                        </pic:blipFill>
                        <pic:spPr>
                          <a:xfrm>
                            <a:off x="0" y="0"/>
                            <a:ext cx="5029200" cy="150876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2_growth_curves.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9" name="Picture 9"/>
                  <wp:cNvGraphicFramePr>
                    <a:graphicFrameLocks noChangeAspect="1"/>
                  </wp:cNvGraphicFramePr>
                  <a:graphic>
                    <a:graphicData uri="http://schemas.openxmlformats.org/drawingml/2006/picture">
                      <pic:pic>
                        <pic:nvPicPr>
                          <pic:cNvPr id="0" name="fig4_od600_proxy.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10" name="Picture 10"/>
                  <wp:cNvGraphicFramePr>
                    <a:graphicFrameLocks noChangeAspect="1"/>
                  </wp:cNvGraphicFramePr>
                  <a:graphic>
                    <a:graphicData uri="http://schemas.openxmlformats.org/drawingml/2006/picture">
                      <pic:pic>
                        <pic:nvPicPr>
                          <pic:cNvPr id="0" name="fig3_attenuation.png"/>
                          <pic:cNvPicPr/>
                        </pic:nvPicPr>
                        <pic:blipFill>
                          <a:blip r:embed="rId17"/>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1" name="Picture 11"/>
                  <wp:cNvGraphicFramePr>
                    <a:graphicFrameLocks noChangeAspect="1"/>
                  </wp:cNvGraphicFramePr>
                  <a:graphic>
                    <a:graphicData uri="http://schemas.openxmlformats.org/drawingml/2006/picture">
                      <pic:pic>
                        <pic:nvPicPr>
                          <pic:cNvPr id="0" name="fig_cad_isometric.png"/>
                          <pic:cNvPicPr/>
                        </pic:nvPicPr>
                        <pic:blipFill>
                          <a:blip r:embed="rId18"/>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4572000"/>
                  <wp:docPr id="12" name="Picture 12"/>
                  <wp:cNvGraphicFramePr>
                    <a:graphicFrameLocks noChangeAspect="1"/>
                  </wp:cNvGraphicFramePr>
                  <a:graphic>
                    <a:graphicData uri="http://schemas.openxmlformats.org/drawingml/2006/picture">
                      <pic:pic>
                        <pic:nvPicPr>
                          <pic:cNvPr id="0" name="fig_cad_section.png"/>
                          <pic:cNvPicPr/>
                        </pic:nvPicPr>
                        <pic:blipFill>
                          <a:blip r:embed="rId19"/>
                          <a:stretch>
                            <a:fillRect/>
                          </a:stretch>
                        </pic:blipFill>
                        <pic:spPr>
                          <a:xfrm>
                            <a:off x="0" y="0"/>
                            <a:ext cx="4572000" cy="45720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819587"/>
                  <wp:docPr id="13" name="Picture 13"/>
                  <wp:cNvGraphicFramePr>
                    <a:graphicFrameLocks noChangeAspect="1"/>
                  </wp:cNvGraphicFramePr>
                  <a:graphic>
                    <a:graphicData uri="http://schemas.openxmlformats.org/drawingml/2006/picture">
                      <pic:pic>
                        <pic:nvPicPr>
                          <pic:cNvPr id="0" name="fig_cad_exploded.png"/>
                          <pic:cNvPicPr/>
                        </pic:nvPicPr>
                        <pic:blipFill>
                          <a:blip r:embed="rId20"/>
                          <a:stretch>
                            <a:fillRect/>
                          </a:stretch>
                        </pic:blipFill>
                        <pic:spPr>
                          <a:xfrm>
                            <a:off x="0" y="0"/>
                            <a:ext cx="4572000" cy="2819587"/>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jc w:val="center"/>
      </w:pPr>
      <w:r>
        <w:rPr>
          <w:rFonts w:ascii="Times New Roman" w:hAnsi="Times New Roman"/>
          <w:b/>
          <w:i/>
          <w:sz w:val="20"/>
        </w:rPr>
        <w:t>Table 10: Comprehensive Failure Analysis &amp; Mitigation Register</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Category</w:t>
            </w:r>
          </w:p>
        </w:tc>
        <w:tc>
          <w:tcPr>
            <w:tcW w:type="dxa" w:w="1701"/>
            <w:shd w:val="clear" w:color="auto" w:fill="1A1A2E"/>
          </w:tcPr>
          <w:p>
            <w:pPr>
              <w:jc w:val="center"/>
            </w:pPr>
            <w:r>
              <w:rPr>
                <w:rFonts w:ascii="Times New Roman" w:hAnsi="Times New Roman"/>
                <w:b/>
                <w:color w:val="FFFFFF"/>
                <w:sz w:val="24"/>
              </w:rPr>
              <w:t>Failure Mode</w:t>
            </w:r>
          </w:p>
        </w:tc>
        <w:tc>
          <w:tcPr>
            <w:tcW w:type="dxa" w:w="1701"/>
            <w:shd w:val="clear" w:color="auto" w:fill="1A1A2E"/>
          </w:tcPr>
          <w:p>
            <w:pPr>
              <w:jc w:val="center"/>
            </w:pPr>
            <w:r>
              <w:rPr>
                <w:rFonts w:ascii="Times New Roman" w:hAnsi="Times New Roman"/>
                <w:b/>
                <w:color w:val="FFFFFF"/>
                <w:sz w:val="24"/>
              </w:rPr>
              <w:t>Likelihood</w:t>
            </w:r>
          </w:p>
        </w:tc>
        <w:tc>
          <w:tcPr>
            <w:tcW w:type="dxa" w:w="1701"/>
            <w:shd w:val="clear" w:color="auto" w:fill="1A1A2E"/>
          </w:tcPr>
          <w:p>
            <w:pPr>
              <w:jc w:val="center"/>
            </w:pPr>
            <w:r>
              <w:rPr>
                <w:rFonts w:ascii="Times New Roman" w:hAnsi="Times New Roman"/>
                <w:b/>
                <w:color w:val="FFFFFF"/>
                <w:sz w:val="24"/>
              </w:rPr>
              <w:t>Impact</w:t>
            </w:r>
          </w:p>
        </w:tc>
        <w:tc>
          <w:tcPr>
            <w:tcW w:type="dxa" w:w="1701"/>
            <w:shd w:val="clear" w:color="auto" w:fill="1A1A2E"/>
          </w:tcPr>
          <w:p>
            <w:pPr>
              <w:jc w:val="center"/>
            </w:pPr>
            <w:r>
              <w:rPr>
                <w:rFonts w:ascii="Times New Roman" w:hAnsi="Times New Roman"/>
                <w:b/>
                <w:color w:val="FFFFFF"/>
                <w:sz w:val="24"/>
              </w:rPr>
              <w:t>Mitigation / Redundancy</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Fungal culture dies before saturation (nutrient depletion, radiation kill)</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Mission failure for affected chamber</w:t>
            </w:r>
          </w:p>
        </w:tc>
        <w:tc>
          <w:tcPr>
            <w:tcW w:type="dxa" w:w="1701"/>
          </w:tcPr>
          <w:p>
            <w:pPr>
              <w:jc w:val="center"/>
            </w:pPr>
            <w:r>
              <w:rPr>
                <w:rFonts w:ascii="Times New Roman" w:hAnsi="Times New Roman"/>
                <w:b w:val="0"/>
                <w:sz w:val="24"/>
              </w:rPr>
              <w:t>CH-1 sterile control still valid; 10× excess nutrients pre-loaded; radiation levels at ISS altitude are</w:t>
              <w:br/>
              <w:t xml:space="preserve">          below fungal lethal dose</w:t>
            </w:r>
          </w:p>
        </w:tc>
      </w:tr>
      <w:tr>
        <w:tc>
          <w:tcPr>
            <w:tcW w:type="dxa" w:w="1701"/>
          </w:tcPr>
          <w:p>
            <w:pPr>
              <w:jc w:val="left"/>
            </w:pPr>
            <w:r>
              <w:rPr>
                <w:rFonts w:ascii="Times New Roman" w:hAnsi="Times New Roman"/>
                <w:b w:val="0"/>
                <w:sz w:val="24"/>
              </w:rPr>
              <w:t>Biological</w:t>
            </w:r>
          </w:p>
        </w:tc>
        <w:tc>
          <w:tcPr>
            <w:tcW w:type="dxa" w:w="1701"/>
          </w:tcPr>
          <w:p>
            <w:pPr>
              <w:jc w:val="left"/>
            </w:pPr>
            <w:r>
              <w:rPr>
                <w:rFonts w:ascii="Times New Roman" w:hAnsi="Times New Roman"/>
                <w:b w:val="0"/>
                <w:sz w:val="24"/>
              </w:rPr>
              <w:t>Contamination between chambers (cross-growth)</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Invalidates comparative results</w:t>
            </w:r>
          </w:p>
        </w:tc>
        <w:tc>
          <w:tcPr>
            <w:tcW w:type="dxa" w:w="1701"/>
          </w:tcPr>
          <w:p>
            <w:pPr>
              <w:jc w:val="center"/>
            </w:pPr>
            <w:r>
              <w:rPr>
                <w:rFonts w:ascii="Times New Roman" w:hAnsi="Times New Roman"/>
                <w:b w:val="0"/>
                <w:sz w:val="24"/>
              </w:rPr>
              <w:t>1 mm PDMS divider walls; chambers independently sealed; CH-1 acts as contamination sentinel — any</w:t>
              <w:br/>
              <w:t xml:space="preserve">          attenuation in CH-1 flags cross-contamination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OPEN (over-dilution)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Altered growth kinetics</w:t>
            </w:r>
          </w:p>
        </w:tc>
        <w:tc>
          <w:tcPr>
            <w:tcW w:type="dxa" w:w="1701"/>
          </w:tcPr>
          <w:p>
            <w:pPr>
              <w:jc w:val="center"/>
            </w:pPr>
            <w:r>
              <w:rPr>
                <w:rFonts w:ascii="Times New Roman" w:hAnsi="Times New Roman"/>
                <w:b w:val="0"/>
                <w:sz w:val="24"/>
              </w:rPr>
              <w:t>Hysteresis deadband prevents chatter; software watchdog resets valve to CLOSED after 10 min continuous OPEN;</w:t>
              <w:br/>
              <w:t xml:space="preserve">          logged in valve_state.csv for post-hoc correction</w:t>
            </w:r>
          </w:p>
        </w:tc>
      </w:tr>
      <w:tr>
        <w:tc>
          <w:tcPr>
            <w:tcW w:type="dxa" w:w="1701"/>
          </w:tcPr>
          <w:p>
            <w:pPr>
              <w:jc w:val="left"/>
            </w:pPr>
            <w:r>
              <w:rPr>
                <w:rFonts w:ascii="Times New Roman" w:hAnsi="Times New Roman"/>
                <w:b w:val="0"/>
                <w:sz w:val="24"/>
              </w:rPr>
              <w:t>Fluidic</w:t>
            </w:r>
          </w:p>
        </w:tc>
        <w:tc>
          <w:tcPr>
            <w:tcW w:type="dxa" w:w="1701"/>
          </w:tcPr>
          <w:p>
            <w:pPr>
              <w:jc w:val="left"/>
            </w:pPr>
            <w:r>
              <w:rPr>
                <w:rFonts w:ascii="Times New Roman" w:hAnsi="Times New Roman"/>
                <w:b w:val="0"/>
                <w:sz w:val="24"/>
              </w:rPr>
              <w:t>Nutrient valve stuck CLOSED (starvation)</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Reduced biomass, lower attenuation</w:t>
            </w:r>
          </w:p>
        </w:tc>
        <w:tc>
          <w:tcPr>
            <w:tcW w:type="dxa" w:w="1701"/>
          </w:tcPr>
          <w:p>
            <w:pPr>
              <w:jc w:val="center"/>
            </w:pPr>
            <w:r>
              <w:rPr>
                <w:rFonts w:ascii="Times New Roman" w:hAnsi="Times New Roman"/>
                <w:b w:val="0"/>
                <w:sz w:val="24"/>
              </w:rPr>
              <w:t>Pre-loaded nutrient reserve (10× excess agar) is sufficient for 72 hr even with zero valve OPEN events;</w:t>
              <w:br/>
              <w:t xml:space="preserve">          experiment still scientifically valid</w:t>
            </w:r>
          </w:p>
        </w:tc>
      </w:tr>
      <w:tr>
        <w:tc>
          <w:tcPr>
            <w:tcW w:type="dxa" w:w="1701"/>
          </w:tcPr>
          <w:p>
            <w:pPr>
              <w:jc w:val="left"/>
            </w:pPr>
            <w:r>
              <w:rPr>
                <w:rFonts w:ascii="Times New Roman" w:hAnsi="Times New Roman"/>
                <w:b w:val="0"/>
                <w:sz w:val="24"/>
              </w:rPr>
              <w:t>Mechanical</w:t>
            </w:r>
          </w:p>
        </w:tc>
        <w:tc>
          <w:tcPr>
            <w:tcW w:type="dxa" w:w="1701"/>
          </w:tcPr>
          <w:p>
            <w:pPr>
              <w:jc w:val="left"/>
            </w:pPr>
            <w:r>
              <w:rPr>
                <w:rFonts w:ascii="Times New Roman" w:hAnsi="Times New Roman"/>
                <w:b w:val="0"/>
                <w:sz w:val="24"/>
              </w:rPr>
              <w:t>Chamber seal breach (contamination leak)</w:t>
            </w:r>
          </w:p>
        </w:tc>
        <w:tc>
          <w:tcPr>
            <w:tcW w:type="dxa" w:w="1701"/>
          </w:tcPr>
          <w:p>
            <w:pPr>
              <w:jc w:val="center"/>
            </w:pPr>
            <w:r>
              <w:rPr>
                <w:rFonts w:ascii="Times New Roman" w:hAnsi="Times New Roman"/>
                <w:b w:val="0"/>
                <w:sz w:val="24"/>
              </w:rPr>
              <w:t>Very Low</w:t>
            </w:r>
          </w:p>
        </w:tc>
        <w:tc>
          <w:tcPr>
            <w:tcW w:type="dxa" w:w="1701"/>
          </w:tcPr>
          <w:p>
            <w:pPr>
              <w:jc w:val="center"/>
            </w:pPr>
            <w:r>
              <w:rPr>
                <w:rFonts w:ascii="Times New Roman" w:hAnsi="Times New Roman"/>
                <w:b w:val="0"/>
                <w:sz w:val="24"/>
              </w:rPr>
              <w:t>Biological contamination of satellite interior</w:t>
            </w:r>
          </w:p>
        </w:tc>
        <w:tc>
          <w:tcPr>
            <w:tcW w:type="dxa" w:w="1701"/>
          </w:tcPr>
          <w:p>
            <w:pPr>
              <w:jc w:val="center"/>
            </w:pPr>
            <w:r>
              <w:rPr>
                <w:rFonts w:ascii="Times New Roman" w:hAnsi="Times New Roman"/>
                <w:b w:val="0"/>
                <w:sz w:val="24"/>
              </w:rPr>
              <w:t>Heat-sealed PDMS lid; secondary O-ring gasket on LOC tray; BSL-1 organisms pose no risk to spacecraft</w:t>
              <w:br/>
              <w:t xml:space="preserve">          electronics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Primary Raspberry Pi (Flight Computer) failure</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Loss of primary data logging</w:t>
            </w:r>
          </w:p>
        </w:tc>
        <w:tc>
          <w:tcPr>
            <w:tcW w:type="dxa" w:w="1701"/>
          </w:tcPr>
          <w:p>
            <w:pPr>
              <w:jc w:val="center"/>
            </w:pPr>
            <w:r>
              <w:rPr>
                <w:rFonts w:ascii="Times New Roman" w:hAnsi="Times New Roman"/>
                <w:b w:val="0"/>
                <w:sz w:val="24"/>
              </w:rPr>
              <w:t>Dual Raspberry Pi architecture — RPi Auxiliary automatically assumes flight computer role via watchdog</w:t>
              <w:br/>
              <w:t xml:space="preserve">          failover; data simultaneously written to both SD cards</w:t>
            </w:r>
          </w:p>
        </w:tc>
      </w:tr>
      <w:tr>
        <w:tc>
          <w:tcPr>
            <w:tcW w:type="dxa" w:w="1701"/>
          </w:tcPr>
          <w:p>
            <w:pPr>
              <w:jc w:val="left"/>
            </w:pPr>
            <w:r>
              <w:rPr>
                <w:rFonts w:ascii="Times New Roman" w:hAnsi="Times New Roman"/>
                <w:b w:val="0"/>
                <w:sz w:val="24"/>
              </w:rPr>
              <w:t>Electrical</w:t>
            </w:r>
          </w:p>
        </w:tc>
        <w:tc>
          <w:tcPr>
            <w:tcW w:type="dxa" w:w="1701"/>
          </w:tcPr>
          <w:p>
            <w:pPr>
              <w:jc w:val="left"/>
            </w:pPr>
            <w:r>
              <w:rPr>
                <w:rFonts w:ascii="Times New Roman" w:hAnsi="Times New Roman"/>
                <w:b w:val="0"/>
                <w:sz w:val="24"/>
              </w:rPr>
              <w:t>Battery depletion mid-mission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Premature mission end</w:t>
            </w:r>
          </w:p>
        </w:tc>
        <w:tc>
          <w:tcPr>
            <w:tcW w:type="dxa" w:w="1701"/>
          </w:tcPr>
          <w:p>
            <w:pPr>
              <w:jc w:val="center"/>
            </w:pPr>
            <w:r>
              <w:rPr>
                <w:rFonts w:ascii="Times New Roman" w:hAnsi="Times New Roman"/>
                <w:b w:val="0"/>
                <w:sz w:val="24"/>
              </w:rPr>
              <w:t>Camera duty-cycled (1 image/hr, not continuous); Arduino in deep sleep between readings; total estimated</w:t>
              <w:br/>
              <w:t xml:space="preserve">          power draw 1.95 W for 48 hr = 93.6 Wh — within LiPo capacity of 14.8 V × 2.6 Ah = 38.5 Wh (solar panel</w:t>
              <w:br/>
              <w:t xml:space="preserve">          supplement required for full mission)</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Geiger-Muller tube saturation during SAA peak</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valve trigger timing</w:t>
            </w:r>
          </w:p>
        </w:tc>
        <w:tc>
          <w:tcPr>
            <w:tcW w:type="dxa" w:w="1701"/>
          </w:tcPr>
          <w:p>
            <w:pPr>
              <w:jc w:val="center"/>
            </w:pPr>
            <w:r>
              <w:rPr>
                <w:rFonts w:ascii="Times New Roman" w:hAnsi="Times New Roman"/>
                <w:b w:val="0"/>
                <w:sz w:val="24"/>
              </w:rPr>
              <w:t>Dual GM tubes provide redundant readings; software averages both; saturation events (&gt;700 μGy/hr) are</w:t>
              <w:br/>
              <w:t xml:space="preserve">          clamped and flagged in the log</w:t>
            </w:r>
          </w:p>
        </w:tc>
      </w:tr>
      <w:tr>
        <w:tc>
          <w:tcPr>
            <w:tcW w:type="dxa" w:w="1701"/>
          </w:tcPr>
          <w:p>
            <w:pPr>
              <w:jc w:val="left"/>
            </w:pPr>
            <w:r>
              <w:rPr>
                <w:rFonts w:ascii="Times New Roman" w:hAnsi="Times New Roman"/>
                <w:b w:val="0"/>
                <w:sz w:val="24"/>
              </w:rPr>
              <w:t>Sensing</w:t>
            </w:r>
          </w:p>
        </w:tc>
        <w:tc>
          <w:tcPr>
            <w:tcW w:type="dxa" w:w="1701"/>
          </w:tcPr>
          <w:p>
            <w:pPr>
              <w:jc w:val="left"/>
            </w:pPr>
            <w:r>
              <w:rPr>
                <w:rFonts w:ascii="Times New Roman" w:hAnsi="Times New Roman"/>
                <w:b w:val="0"/>
                <w:sz w:val="24"/>
              </w:rPr>
              <w:t>DHT22 sensor failure (false T/H readings)</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Incorrect environmental logging</w:t>
            </w:r>
          </w:p>
        </w:tc>
        <w:tc>
          <w:tcPr>
            <w:tcW w:type="dxa" w:w="1701"/>
          </w:tcPr>
          <w:p>
            <w:pPr>
              <w:jc w:val="center"/>
            </w:pPr>
            <w:r>
              <w:rPr>
                <w:rFonts w:ascii="Times New Roman" w:hAnsi="Times New Roman"/>
                <w:b w:val="0"/>
                <w:sz w:val="24"/>
              </w:rPr>
              <w:t>Two DHT22 sensors mounted at different locations; readings cross-validated in firmware; outlier rejection</w:t>
              <w:br/>
              <w:t xml:space="preserve">          algorithm flags discrepancy &gt;5°C or &gt;10% RH</w:t>
            </w:r>
          </w:p>
        </w:tc>
      </w:tr>
      <w:tr>
        <w:tc>
          <w:tcPr>
            <w:tcW w:type="dxa" w:w="1701"/>
          </w:tcPr>
          <w:p>
            <w:pPr>
              <w:jc w:val="left"/>
            </w:pPr>
            <w:r>
              <w:rPr>
                <w:rFonts w:ascii="Times New Roman" w:hAnsi="Times New Roman"/>
                <w:b w:val="0"/>
                <w:sz w:val="24"/>
              </w:rPr>
              <w:t>Thermal</w:t>
            </w:r>
          </w:p>
        </w:tc>
        <w:tc>
          <w:tcPr>
            <w:tcW w:type="dxa" w:w="1701"/>
          </w:tcPr>
          <w:p>
            <w:pPr>
              <w:jc w:val="left"/>
            </w:pPr>
            <w:r>
              <w:rPr>
                <w:rFonts w:ascii="Times New Roman" w:hAnsi="Times New Roman"/>
                <w:b w:val="0"/>
                <w:sz w:val="24"/>
              </w:rPr>
              <w:t>Temperature exceeds 35°C (fungal death)</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Biological experiment failure</w:t>
            </w:r>
          </w:p>
        </w:tc>
        <w:tc>
          <w:tcPr>
            <w:tcW w:type="dxa" w:w="1701"/>
          </w:tcPr>
          <w:p>
            <w:pPr>
              <w:jc w:val="center"/>
            </w:pPr>
            <w:r>
              <w:rPr>
                <w:rFonts w:ascii="Times New Roman" w:hAnsi="Times New Roman"/>
                <w:b w:val="0"/>
                <w:sz w:val="24"/>
              </w:rPr>
              <w:t>CubeSat thermal model predicts 22–28°C interior at 400 km; passive aluminium shell conducts excess heat; LED</w:t>
              <w:br/>
              <w:t xml:space="preserve">          lighting duty-cycled to reduce heat generation</w:t>
            </w:r>
          </w:p>
        </w:tc>
      </w:tr>
      <w:tr>
        <w:tc>
          <w:tcPr>
            <w:tcW w:type="dxa" w:w="1701"/>
          </w:tcPr>
          <w:p>
            <w:pPr>
              <w:jc w:val="left"/>
            </w:pPr>
            <w:r>
              <w:rPr>
                <w:rFonts w:ascii="Times New Roman" w:hAnsi="Times New Roman"/>
                <w:b w:val="0"/>
                <w:sz w:val="24"/>
              </w:rPr>
              <w:t>Silent Failure</w:t>
            </w:r>
          </w:p>
        </w:tc>
        <w:tc>
          <w:tcPr>
            <w:tcW w:type="dxa" w:w="1701"/>
          </w:tcPr>
          <w:p>
            <w:pPr>
              <w:jc w:val="left"/>
            </w:pPr>
            <w:r>
              <w:rPr>
                <w:rFonts w:ascii="Times New Roman" w:hAnsi="Times New Roman"/>
                <w:b w:val="0"/>
                <w:sz w:val="24"/>
              </w:rPr>
              <w:t>Camera lens fogged by condensation</w:t>
            </w:r>
          </w:p>
        </w:tc>
        <w:tc>
          <w:tcPr>
            <w:tcW w:type="dxa" w:w="1701"/>
          </w:tcPr>
          <w:p>
            <w:pPr>
              <w:jc w:val="center"/>
            </w:pPr>
            <w:r>
              <w:rPr>
                <w:rFonts w:ascii="Times New Roman" w:hAnsi="Times New Roman"/>
                <w:b w:val="0"/>
                <w:sz w:val="24"/>
              </w:rPr>
              <w:t>Medium</w:t>
            </w:r>
          </w:p>
        </w:tc>
        <w:tc>
          <w:tcPr>
            <w:tcW w:type="dxa" w:w="1701"/>
          </w:tcPr>
          <w:p>
            <w:pPr>
              <w:jc w:val="center"/>
            </w:pPr>
            <w:r>
              <w:rPr>
                <w:rFonts w:ascii="Times New Roman" w:hAnsi="Times New Roman"/>
                <w:b w:val="0"/>
                <w:sz w:val="24"/>
              </w:rPr>
              <w:t>OD600 readings invalid</w:t>
            </w:r>
          </w:p>
        </w:tc>
        <w:tc>
          <w:tcPr>
            <w:tcW w:type="dxa" w:w="1701"/>
          </w:tcPr>
          <w:p>
            <w:pPr>
              <w:jc w:val="center"/>
            </w:pPr>
            <w:r>
              <w:rPr>
                <w:rFonts w:ascii="Times New Roman" w:hAnsi="Times New Roman"/>
                <w:b w:val="0"/>
                <w:sz w:val="24"/>
              </w:rPr>
              <w:t>Silica gel desiccant pack inside enclosure; LED illumination warms the lens slightly; OD600 anomaly</w:t>
              <w:br/>
              <w:t xml:space="preserve">          detection flags sudden optical density drops</w:t>
            </w:r>
          </w:p>
        </w:tc>
      </w:tr>
      <w:tr>
        <w:tc>
          <w:tcPr>
            <w:tcW w:type="dxa" w:w="1701"/>
          </w:tcPr>
          <w:p>
            <w:pPr>
              <w:jc w:val="left"/>
            </w:pPr>
            <w:r>
              <w:rPr>
                <w:rFonts w:ascii="Times New Roman" w:hAnsi="Times New Roman"/>
                <w:b w:val="0"/>
                <w:sz w:val="24"/>
              </w:rPr>
              <w:t>Contamination</w:t>
            </w:r>
          </w:p>
        </w:tc>
        <w:tc>
          <w:tcPr>
            <w:tcW w:type="dxa" w:w="1701"/>
          </w:tcPr>
          <w:p>
            <w:pPr>
              <w:jc w:val="left"/>
            </w:pPr>
            <w:r>
              <w:rPr>
                <w:rFonts w:ascii="Times New Roman" w:hAnsi="Times New Roman"/>
                <w:b w:val="0"/>
                <w:sz w:val="24"/>
              </w:rPr>
              <w:t>Pre-launch microbial contamination of CH-1</w:t>
            </w:r>
          </w:p>
        </w:tc>
        <w:tc>
          <w:tcPr>
            <w:tcW w:type="dxa" w:w="1701"/>
          </w:tcPr>
          <w:p>
            <w:pPr>
              <w:jc w:val="center"/>
            </w:pPr>
            <w:r>
              <w:rPr>
                <w:rFonts w:ascii="Times New Roman" w:hAnsi="Times New Roman"/>
                <w:b w:val="0"/>
                <w:sz w:val="24"/>
              </w:rPr>
              <w:t>Low</w:t>
            </w:r>
          </w:p>
        </w:tc>
        <w:tc>
          <w:tcPr>
            <w:tcW w:type="dxa" w:w="1701"/>
          </w:tcPr>
          <w:p>
            <w:pPr>
              <w:jc w:val="center"/>
            </w:pPr>
            <w:r>
              <w:rPr>
                <w:rFonts w:ascii="Times New Roman" w:hAnsi="Times New Roman"/>
                <w:b w:val="0"/>
                <w:sz w:val="24"/>
              </w:rPr>
              <w:t>Corrupts control baseline</w:t>
            </w:r>
          </w:p>
        </w:tc>
        <w:tc>
          <w:tcPr>
            <w:tcW w:type="dxa" w:w="1701"/>
          </w:tcPr>
          <w:p>
            <w:pPr>
              <w:jc w:val="center"/>
            </w:pPr>
            <w:r>
              <w:rPr>
                <w:rFonts w:ascii="Times New Roman" w:hAnsi="Times New Roman"/>
                <w:b w:val="0"/>
                <w:sz w:val="24"/>
              </w:rPr>
              <w:t>CH-1 autoclaved at 121°C / 15 psi for 20 min; sealed under clean-room (Class 10,000) conditions; any growth</w:t>
              <w:br/>
              <w:t xml:space="preserve">          in CH-1 detected optically and flags experiment as contaminated</w:t>
            </w:r>
          </w:p>
        </w:tc>
      </w:tr>
    </w:tbl>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