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TEAM ANTARIKSH</w:t>
        <w:br/>
      </w:r>
      <w:r>
        <w:rPr>
          <w:rFonts w:ascii="Times New Roman" w:hAnsi="Times New Roman" w:eastAsia="Times New Roman"/>
          <w:b/>
          <w:sz w:val="28"/>
        </w:rPr>
        <w:t>R.V. College of Engineering, Bengaluru</w:t>
        <w:br/>
        <w:br/>
        <w:br/>
        <w:br/>
      </w:r>
    </w:p>
    <w:p>
      <w:r>
        <w:rPr>
          <w:rFonts w:ascii="Times New Roman" w:hAnsi="Times New Roman" w:eastAsia="Times New Roman"/>
          <w:b w:val="0"/>
          <w:sz w:val="24"/>
        </w:rPr>
        <w:t>R.V. College of Engineering, Bengaluru</w:t>
      </w:r>
    </w:p>
    <w:p>
      <w:pPr>
        <w:jc w:val="center"/>
      </w:pPr>
      <w:r>
        <w:rPr>
          <w:rFonts w:ascii="Times New Roman" w:hAnsi="Times New Roman" w:eastAsia="Times New Roman"/>
          <w:b/>
          <w:sz w:val="32"/>
        </w:rPr>
        <w:t>LAB-ON-A-CHIP CUBESAT PAYLOAD SIMULATION:</w:t>
        <w:br/>
      </w:r>
      <w:r>
        <w:rPr>
          <w:rFonts w:ascii="Times New Roman" w:hAnsi="Times New Roman" w:eastAsia="Times New Roman"/>
          <w:b/>
          <w:sz w:val="28"/>
        </w:rPr>
        <w:t>FUNGAL RADIATION SHIELDING STUDY IN LOW EARTH ORBIT</w:t>
        <w:br/>
      </w:r>
      <w:r>
        <w:rPr>
          <w:rFonts w:ascii="Times New Roman" w:hAnsi="Times New Roman" w:eastAsia="Times New Roman"/>
          <w:b/>
          <w:sz w:val="28"/>
        </w:rPr>
        <w:t>3-Chamber Comparative Analysis of Melanin-Rich Fungal Strains</w:t>
        <w:br/>
      </w:r>
    </w:p>
    <w:p>
      <w:r>
        <w:br w:type="page"/>
      </w:r>
    </w:p>
    <w:p>
      <w:r>
        <w:rPr>
          <w:rFonts w:ascii="Times New Roman" w:hAnsi="Times New Roman" w:eastAsia="Times New Roman"/>
          <w:b w:val="0"/>
          <w:sz w:val="24"/>
        </w:rPr>
        <w:t>Project Type:</w:t>
      </w:r>
    </w:p>
    <w:p>
      <w:r>
        <w:rPr>
          <w:rFonts w:ascii="Times New Roman" w:hAnsi="Times New Roman" w:eastAsia="Times New Roman"/>
          <w:b w:val="0"/>
          <w:sz w:val="24"/>
        </w:rPr>
        <w:t>Group Task — LOC CubeSat Payload</w:t>
      </w:r>
    </w:p>
    <w:p>
      <w:r>
        <w:rPr>
          <w:rFonts w:ascii="Times New Roman" w:hAnsi="Times New Roman" w:eastAsia="Times New Roman"/>
          <w:b w:val="0"/>
          <w:sz w:val="24"/>
        </w:rPr>
        <w:t>Document Type:</w:t>
      </w:r>
    </w:p>
    <w:p>
      <w:r>
        <w:rPr>
          <w:rFonts w:ascii="Times New Roman" w:hAnsi="Times New Roman" w:eastAsia="Times New Roman"/>
          <w:b w:val="0"/>
          <w:sz w:val="24"/>
        </w:rPr>
        <w:t>Technical Report (TA Format)</w:t>
      </w:r>
    </w:p>
    <w:p>
      <w:r>
        <w:rPr>
          <w:rFonts w:ascii="Times New Roman" w:hAnsi="Times New Roman" w:eastAsia="Times New Roman"/>
          <w:b w:val="0"/>
          <w:sz w:val="24"/>
        </w:rPr>
        <w:t>Date:</w:t>
      </w:r>
    </w:p>
    <w:p>
      <w:r>
        <w:rPr>
          <w:rFonts w:ascii="Times New Roman" w:hAnsi="Times New Roman" w:eastAsia="Times New Roman"/>
          <w:b w:val="0"/>
          <w:sz w:val="24"/>
        </w:rPr>
        <w:t>July 2026</w:t>
      </w:r>
    </w:p>
    <w:p>
      <w:r>
        <w:rPr>
          <w:rFonts w:ascii="Times New Roman" w:hAnsi="Times New Roman" w:eastAsia="Times New Roman"/>
          <w:b w:val="0"/>
          <w:sz w:val="24"/>
        </w:rPr>
        <w:t>Team Members:</w:t>
      </w:r>
    </w:p>
    <w:p>
      <w:r>
        <w:rPr>
          <w:rFonts w:ascii="Times New Roman" w:hAnsi="Times New Roman" w:eastAsia="Times New Roman"/>
          <w:b w:val="0"/>
          <w:sz w:val="24"/>
        </w:rPr>
        <w:t>6 Members (BT · EC · AIML × 2 · CS · Aerospace)</w:t>
      </w:r>
    </w:p>
    <w:p>
      <w:r>
        <w:rPr>
          <w:rFonts w:ascii="Times New Roman" w:hAnsi="Times New Roman" w:eastAsia="Times New Roman"/>
          <w:b w:val="0"/>
          <w:sz w:val="24"/>
        </w:rPr>
        <w:t>Mentor / Eval:</w:t>
      </w:r>
    </w:p>
    <w:p>
      <w:r>
        <w:rPr>
          <w:rFonts w:ascii="Times New Roman" w:hAnsi="Times New Roman" w:eastAsia="Times New Roman"/>
          <w:b w:val="0"/>
          <w:sz w:val="24"/>
        </w:rPr>
        <w:t>Super Seniors, Team Antariksh</w:t>
      </w:r>
    </w:p>
    <w:p>
      <w:r>
        <w:rPr>
          <w:rFonts w:ascii="Times New Roman" w:hAnsi="Times New Roman" w:eastAsia="Times New Roman"/>
          <w:b w:val="0"/>
          <w:sz w:val="24"/>
        </w:rPr>
        <w:t>Submission:</w:t>
      </w:r>
    </w:p>
    <w:p>
      <w:r>
        <w:rPr>
          <w:rFonts w:ascii="Times New Roman" w:hAnsi="Times New Roman" w:eastAsia="Times New Roman"/>
          <w:b w:val="0"/>
          <w:sz w:val="24"/>
        </w:rPr>
        <w:t>18 July 2026</w:t>
      </w:r>
    </w:p>
    <w:p>
      <w:r>
        <w:rPr>
          <w:rFonts w:ascii="Times New Roman" w:hAnsi="Times New Roman" w:eastAsia="Times New Roman"/>
          <w:b w:val="0"/>
          <w:sz w:val="24"/>
        </w:rPr>
        <w:t>Evaluation:</w:t>
      </w:r>
    </w:p>
    <w:p>
      <w:r>
        <w:rPr>
          <w:rFonts w:ascii="Times New Roman" w:hAnsi="Times New Roman" w:eastAsia="Times New Roman"/>
          <w:b w:val="0"/>
          <w:sz w:val="24"/>
        </w:rPr>
        <w:t>19 July 2026 (Offline)</w:t>
      </w:r>
    </w:p>
    <w:p>
      <w:pPr>
        <w:jc w:val="center"/>
      </w:pPr>
      <w:r>
        <w:rPr>
          <w:rFonts w:ascii="Times New Roman" w:hAnsi="Times New Roman" w:eastAsia="Times New Roman"/>
          <w:b/>
          <w:sz w:val="28"/>
        </w:rPr>
        <w:t>TABLE OF CONTENTS</w:t>
      </w:r>
    </w:p>
    <w:p>
      <w:pPr>
        <w:jc w:val="left"/>
      </w:pPr>
      <w:r>
        <w:rPr>
          <w:rFonts w:ascii="Times New Roman" w:hAnsi="Times New Roman" w:eastAsia="Times New Roman"/>
          <w:b w:val="0"/>
          <w:sz w:val="24"/>
        </w:rPr>
        <w:t>1. Executive Summary        1</w:t>
      </w:r>
    </w:p>
    <w:p>
      <w:pPr>
        <w:jc w:val="left"/>
      </w:pPr>
      <w:r>
        <w:rPr>
          <w:rFonts w:ascii="Times New Roman" w:hAnsi="Times New Roman" w:eastAsia="Times New Roman"/>
          <w:b w:val="0"/>
          <w:sz w:val="24"/>
        </w:rPr>
        <w:t>2. Mission Parameters &amp; Orbital Environment        1</w:t>
      </w:r>
    </w:p>
    <w:p>
      <w:pPr>
        <w:jc w:val="left"/>
      </w:pPr>
      <w:r>
        <w:rPr>
          <w:rFonts w:ascii="Times New Roman" w:hAnsi="Times New Roman" w:eastAsia="Times New Roman"/>
          <w:b w:val="0"/>
          <w:sz w:val="24"/>
        </w:rPr>
        <w:t>2.1. Orbital Parameters        1</w:t>
      </w:r>
    </w:p>
    <w:p>
      <w:pPr>
        <w:jc w:val="left"/>
      </w:pPr>
      <w:r>
        <w:rPr>
          <w:rFonts w:ascii="Times New Roman" w:hAnsi="Times New Roman" w:eastAsia="Times New Roman"/>
          <w:b w:val="0"/>
          <w:sz w:val="24"/>
        </w:rPr>
        <w:t>2.2. Radiation Environment in LEO        2</w:t>
      </w:r>
    </w:p>
    <w:p>
      <w:pPr>
        <w:jc w:val="left"/>
      </w:pPr>
      <w:r>
        <w:rPr>
          <w:rFonts w:ascii="Times New Roman" w:hAnsi="Times New Roman" w:eastAsia="Times New Roman"/>
          <w:b w:val="0"/>
          <w:sz w:val="24"/>
        </w:rPr>
        <w:t>2.3. South Atlantic Anomaly        2</w:t>
      </w:r>
    </w:p>
    <w:p>
      <w:pPr>
        <w:jc w:val="left"/>
      </w:pPr>
      <w:r>
        <w:rPr>
          <w:rFonts w:ascii="Times New Roman" w:hAnsi="Times New Roman" w:eastAsia="Times New Roman"/>
          <w:b w:val="0"/>
          <w:sz w:val="24"/>
        </w:rPr>
        <w:t>3. Biological Rationale &amp; Strain Selection        2</w:t>
      </w:r>
    </w:p>
    <w:p>
      <w:pPr>
        <w:jc w:val="left"/>
      </w:pPr>
      <w:r>
        <w:rPr>
          <w:rFonts w:ascii="Times New Roman" w:hAnsi="Times New Roman" w:eastAsia="Times New Roman"/>
          <w:b w:val="0"/>
          <w:sz w:val="24"/>
        </w:rPr>
        <w:t>3.1. Radiotrophic Fungi &amp; Melanin-Mediated Radiotropism        2</w:t>
      </w:r>
    </w:p>
    <w:p>
      <w:pPr>
        <w:jc w:val="left"/>
      </w:pPr>
      <w:r>
        <w:rPr>
          <w:rFonts w:ascii="Times New Roman" w:hAnsi="Times New Roman" w:eastAsia="Times New Roman"/>
          <w:b w:val="0"/>
          <w:sz w:val="24"/>
        </w:rPr>
        <w:t>3.2. Strain Selection Justification        3</w:t>
      </w:r>
    </w:p>
    <w:p>
      <w:pPr>
        <w:jc w:val="left"/>
      </w:pPr>
      <w:r>
        <w:rPr>
          <w:rFonts w:ascii="Times New Roman" w:hAnsi="Times New Roman" w:eastAsia="Times New Roman"/>
          <w:b w:val="0"/>
          <w:sz w:val="24"/>
        </w:rPr>
        <w:t>3.3. 3-Chamber Experimental Design        3</w:t>
      </w:r>
    </w:p>
    <w:p>
      <w:pPr>
        <w:jc w:val="left"/>
      </w:pPr>
      <w:r>
        <w:rPr>
          <w:rFonts w:ascii="Times New Roman" w:hAnsi="Times New Roman" w:eastAsia="Times New Roman"/>
          <w:b w:val="0"/>
          <w:sz w:val="24"/>
        </w:rPr>
        <w:t>4. Hardware Architecture (Virtual Twin)        3</w:t>
      </w:r>
    </w:p>
    <w:p>
      <w:pPr>
        <w:jc w:val="left"/>
      </w:pPr>
      <w:r>
        <w:rPr>
          <w:rFonts w:ascii="Times New Roman" w:hAnsi="Times New Roman" w:eastAsia="Times New Roman"/>
          <w:b w:val="0"/>
          <w:sz w:val="24"/>
        </w:rPr>
        <w:t>4.1. CubeSat Form Factor &amp; Payload Budget        3</w:t>
      </w:r>
    </w:p>
    <w:p>
      <w:pPr>
        <w:jc w:val="left"/>
      </w:pPr>
      <w:r>
        <w:rPr>
          <w:rFonts w:ascii="Times New Roman" w:hAnsi="Times New Roman" w:eastAsia="Times New Roman"/>
          <w:b w:val="0"/>
          <w:sz w:val="24"/>
        </w:rPr>
        <w:t>4.2. Sensor Suite        4</w:t>
      </w:r>
    </w:p>
    <w:p>
      <w:pPr>
        <w:jc w:val="left"/>
      </w:pPr>
      <w:r>
        <w:rPr>
          <w:rFonts w:ascii="Times New Roman" w:hAnsi="Times New Roman" w:eastAsia="Times New Roman"/>
          <w:b w:val="0"/>
          <w:sz w:val="24"/>
        </w:rPr>
        <w:t>4.3. Electronics Simulation (Wokwi)        4</w:t>
      </w:r>
    </w:p>
    <w:p>
      <w:pPr>
        <w:jc w:val="left"/>
      </w:pPr>
      <w:r>
        <w:rPr>
          <w:rFonts w:ascii="Times New Roman" w:hAnsi="Times New Roman" w:eastAsia="Times New Roman"/>
          <w:b w:val="0"/>
          <w:sz w:val="24"/>
        </w:rPr>
        <w:t>5. Mathematical &amp; Computational Models        5</w:t>
      </w:r>
    </w:p>
    <w:p>
      <w:pPr>
        <w:jc w:val="left"/>
      </w:pPr>
      <w:r>
        <w:rPr>
          <w:rFonts w:ascii="Times New Roman" w:hAnsi="Times New Roman" w:eastAsia="Times New Roman"/>
          <w:b w:val="0"/>
          <w:sz w:val="24"/>
        </w:rPr>
        <w:t>5.1. Logistic Growth Model        5</w:t>
      </w:r>
    </w:p>
    <w:p>
      <w:pPr>
        <w:jc w:val="left"/>
      </w:pPr>
      <w:r>
        <w:rPr>
          <w:rFonts w:ascii="Times New Roman" w:hAnsi="Times New Roman" w:eastAsia="Times New Roman"/>
          <w:b w:val="0"/>
          <w:sz w:val="24"/>
        </w:rPr>
        <w:t>5.2. Melanin Thickness Proxy        5</w:t>
      </w:r>
    </w:p>
    <w:p>
      <w:pPr>
        <w:jc w:val="left"/>
      </w:pPr>
      <w:r>
        <w:rPr>
          <w:rFonts w:ascii="Times New Roman" w:hAnsi="Times New Roman" w:eastAsia="Times New Roman"/>
          <w:b w:val="0"/>
          <w:sz w:val="24"/>
        </w:rPr>
        <w:t>5.3. Beer-Lambert Radiation Attenuation        6</w:t>
      </w:r>
    </w:p>
    <w:p>
      <w:pPr>
        <w:jc w:val="left"/>
      </w:pPr>
      <w:r>
        <w:rPr>
          <w:rFonts w:ascii="Times New Roman" w:hAnsi="Times New Roman" w:eastAsia="Times New Roman"/>
          <w:b w:val="0"/>
          <w:sz w:val="24"/>
        </w:rPr>
        <w:t>5.4. Hysteresis Control Logic        6</w:t>
      </w:r>
    </w:p>
    <w:p>
      <w:pPr>
        <w:jc w:val="left"/>
      </w:pPr>
      <w:r>
        <w:rPr>
          <w:rFonts w:ascii="Times New Roman" w:hAnsi="Times New Roman" w:eastAsia="Times New Roman"/>
          <w:b w:val="0"/>
          <w:sz w:val="24"/>
        </w:rPr>
        <w:t>6. Software Architecture &amp; Data Pipeline        6</w:t>
      </w:r>
    </w:p>
    <w:p>
      <w:pPr>
        <w:jc w:val="left"/>
      </w:pPr>
      <w:r>
        <w:rPr>
          <w:rFonts w:ascii="Times New Roman" w:hAnsi="Times New Roman" w:eastAsia="Times New Roman"/>
          <w:b w:val="0"/>
          <w:sz w:val="24"/>
        </w:rPr>
        <w:t>6.1. Module Structure        6</w:t>
      </w:r>
    </w:p>
    <w:p>
      <w:pPr>
        <w:jc w:val="left"/>
      </w:pPr>
      <w:r>
        <w:rPr>
          <w:rFonts w:ascii="Times New Roman" w:hAnsi="Times New Roman" w:eastAsia="Times New Roman"/>
          <w:b w:val="0"/>
          <w:sz w:val="24"/>
        </w:rPr>
        <w:t>6.2. CSV Data Schema        7</w:t>
      </w:r>
    </w:p>
    <w:p>
      <w:pPr>
        <w:jc w:val="left"/>
      </w:pPr>
      <w:r>
        <w:rPr>
          <w:rFonts w:ascii="Times New Roman" w:hAnsi="Times New Roman" w:eastAsia="Times New Roman"/>
          <w:b w:val="0"/>
          <w:sz w:val="24"/>
        </w:rPr>
        <w:t>7. Results &amp; Discussion        7</w:t>
      </w:r>
    </w:p>
    <w:p>
      <w:pPr>
        <w:jc w:val="left"/>
      </w:pPr>
      <w:r>
        <w:rPr>
          <w:rFonts w:ascii="Times New Roman" w:hAnsi="Times New Roman" w:eastAsia="Times New Roman"/>
          <w:b w:val="0"/>
          <w:sz w:val="24"/>
        </w:rPr>
        <w:t>7.1. Radiation Flux Profile        7</w:t>
      </w:r>
    </w:p>
    <w:p>
      <w:pPr>
        <w:jc w:val="left"/>
      </w:pPr>
      <w:r>
        <w:rPr>
          <w:rFonts w:ascii="Times New Roman" w:hAnsi="Times New Roman" w:eastAsia="Times New Roman"/>
          <w:b w:val="0"/>
          <w:sz w:val="24"/>
        </w:rPr>
        <w:t>7.2. Fungal Growth Kinetics        8</w:t>
      </w:r>
    </w:p>
    <w:p>
      <w:pPr>
        <w:jc w:val="left"/>
      </w:pPr>
      <w:r>
        <w:rPr>
          <w:rFonts w:ascii="Times New Roman" w:hAnsi="Times New Roman" w:eastAsia="Times New Roman"/>
          <w:b w:val="0"/>
          <w:sz w:val="24"/>
        </w:rPr>
        <w:t>7.3. Attenuation Comparison        8</w:t>
      </w:r>
    </w:p>
    <w:p>
      <w:pPr>
        <w:jc w:val="left"/>
      </w:pPr>
      <w:r>
        <w:rPr>
          <w:rFonts w:ascii="Times New Roman" w:hAnsi="Times New Roman" w:eastAsia="Times New Roman"/>
          <w:b w:val="0"/>
          <w:sz w:val="24"/>
        </w:rPr>
        <w:t>7.4. 3D Model — Fusion 360        9</w:t>
      </w:r>
    </w:p>
    <w:p>
      <w:pPr>
        <w:jc w:val="left"/>
      </w:pPr>
      <w:r>
        <w:rPr>
          <w:rFonts w:ascii="Times New Roman" w:hAnsi="Times New Roman" w:eastAsia="Times New Roman"/>
          <w:b w:val="0"/>
          <w:sz w:val="24"/>
        </w:rPr>
        <w:t>8. Conclusions &amp; Future Work        9</w:t>
      </w:r>
    </w:p>
    <w:p>
      <w:pPr>
        <w:jc w:val="left"/>
      </w:pPr>
      <w:r>
        <w:rPr>
          <w:rFonts w:ascii="Times New Roman" w:hAnsi="Times New Roman" w:eastAsia="Times New Roman"/>
          <w:b w:val="0"/>
          <w:sz w:val="24"/>
        </w:rPr>
        <w:t>9. References        10</w:t>
      </w:r>
    </w:p>
    <w:p>
      <w:r>
        <w:br w:type="page"/>
      </w:r>
    </w:p>
    <w:p>
      <w:pPr>
        <w:jc w:val="center"/>
      </w:pPr>
      <w:r>
        <w:rPr>
          <w:rFonts w:ascii="Times New Roman" w:hAnsi="Times New Roman" w:eastAsia="Times New Roman"/>
          <w:b/>
          <w:sz w:val="28"/>
        </w:rPr>
        <w:t>LIST OF FIGURES</w:t>
      </w:r>
    </w:p>
    <w:p>
      <w:pPr>
        <w:jc w:val="left"/>
      </w:pPr>
      <w:r>
        <w:rPr>
          <w:rFonts w:ascii="Times New Roman" w:hAnsi="Times New Roman" w:eastAsia="Times New Roman"/>
          <w:b w:val="0"/>
          <w:sz w:val="24"/>
        </w:rPr>
        <w:t>Fig 1: LEO Radiation Flux Profile with Hysteresis Valve State Overlay        7</w:t>
      </w:r>
    </w:p>
    <w:p>
      <w:pPr>
        <w:jc w:val="left"/>
      </w:pPr>
      <w:r>
        <w:rPr>
          <w:rFonts w:ascii="Times New Roman" w:hAnsi="Times New Roman" w:eastAsia="Times New Roman"/>
          <w:b w:val="0"/>
          <w:sz w:val="24"/>
        </w:rPr>
        <w:t>Fig 2: Fungal Biomass Growth — Logistic ODE (CH-2 vs CH-3)        8</w:t>
      </w:r>
    </w:p>
    <w:p>
      <w:pPr>
        <w:jc w:val="left"/>
      </w:pPr>
      <w:r>
        <w:rPr>
          <w:rFonts w:ascii="Times New Roman" w:hAnsi="Times New Roman" w:eastAsia="Times New Roman"/>
          <w:b w:val="0"/>
          <w:sz w:val="24"/>
        </w:rPr>
        <w:t>Fig 3: Radiation Attenuation (%) — CH-2 vs CH-3 with ISS Reference        8</w:t>
      </w:r>
    </w:p>
    <w:p>
      <w:pPr>
        <w:jc w:val="left"/>
      </w:pPr>
      <w:r>
        <w:rPr>
          <w:rFonts w:ascii="Times New Roman" w:hAnsi="Times New Roman" w:eastAsia="Times New Roman"/>
          <w:b w:val="0"/>
          <w:sz w:val="24"/>
        </w:rPr>
        <w:t>Fig 4: OD600 Proxy — Auxiliary Computer Camera Simulation        8</w:t>
      </w:r>
    </w:p>
    <w:p>
      <w:pPr>
        <w:jc w:val="left"/>
      </w:pPr>
      <w:r>
        <w:rPr>
          <w:rFonts w:ascii="Times New Roman" w:hAnsi="Times New Roman" w:eastAsia="Times New Roman"/>
          <w:b w:val="0"/>
          <w:sz w:val="24"/>
        </w:rPr>
        <w:t>Fig 5: Hysteresis Controller Validation — Flux vs Valve State        6</w:t>
      </w:r>
    </w:p>
    <w:p>
      <w:pPr>
        <w:jc w:val="left"/>
      </w:pPr>
      <w:r>
        <w:rPr>
          <w:rFonts w:ascii="Times New Roman" w:hAnsi="Times New Roman" w:eastAsia="Times New Roman"/>
          <w:b w:val="0"/>
          <w:sz w:val="24"/>
        </w:rPr>
        <w:t>Fig 6: Wokwi Electronics Simulation — Valve CLOSED (GCR Background)        4</w:t>
      </w:r>
    </w:p>
    <w:p>
      <w:pPr>
        <w:jc w:val="left"/>
      </w:pPr>
      <w:r>
        <w:rPr>
          <w:rFonts w:ascii="Times New Roman" w:hAnsi="Times New Roman" w:eastAsia="Times New Roman"/>
          <w:b w:val="0"/>
          <w:sz w:val="24"/>
        </w:rPr>
        <w:t>Fig 7: Wokwi Electronics Simulation — Valve OPEN (SAA Trigger &gt;500 uGy/hr)        4</w:t>
      </w:r>
    </w:p>
    <w:p>
      <w:pPr>
        <w:jc w:val="left"/>
      </w:pPr>
      <w:r>
        <w:rPr>
          <w:rFonts w:ascii="Times New Roman" w:hAnsi="Times New Roman" w:eastAsia="Times New Roman"/>
          <w:b w:val="0"/>
          <w:sz w:val="24"/>
        </w:rPr>
        <w:t>Fig 8: Wokwi Electronics Simulation — Valve OPEN (Deadband Holding)        4</w:t>
      </w:r>
    </w:p>
    <w:p>
      <w:pPr>
        <w:jc w:val="left"/>
      </w:pPr>
      <w:r>
        <w:rPr>
          <w:rFonts w:ascii="Times New Roman" w:hAnsi="Times New Roman" w:eastAsia="Times New Roman"/>
          <w:b w:val="0"/>
          <w:sz w:val="24"/>
        </w:rPr>
        <w:t>Fig 9: System Architecture Block Diagram        6</w:t>
      </w:r>
    </w:p>
    <w:p>
      <w:pPr>
        <w:jc w:val="left"/>
      </w:pPr>
      <w:r>
        <w:rPr>
          <w:rFonts w:ascii="Times New Roman" w:hAnsi="Times New Roman" w:eastAsia="Times New Roman"/>
          <w:b w:val="0"/>
          <w:sz w:val="24"/>
        </w:rPr>
        <w:t>Fig 10: Reference 3D Model — LOC CubeSat Internal Layout        9</w:t>
      </w:r>
    </w:p>
    <w:p>
      <w:pPr>
        <w:jc w:val="left"/>
      </w:pPr>
      <w:r>
        <w:rPr>
          <w:rFonts w:ascii="Times New Roman" w:hAnsi="Times New Roman" w:eastAsia="Times New Roman"/>
          <w:b w:val="0"/>
          <w:sz w:val="24"/>
        </w:rPr>
        <w:t>Fig CAD-1: CubeSat 3D Model        9</w:t>
      </w:r>
    </w:p>
    <w:p>
      <w:r>
        <w:br w:type="page"/>
      </w:r>
    </w:p>
    <w:p>
      <w:pPr>
        <w:jc w:val="center"/>
      </w:pPr>
      <w:r>
        <w:rPr>
          <w:rFonts w:ascii="Times New Roman" w:hAnsi="Times New Roman" w:eastAsia="Times New Roman"/>
          <w:b/>
          <w:sz w:val="32"/>
        </w:rPr>
        <w:t>LAB-ON-A-CHIP CUBESAT PAYLOAD SIMULATION</w:t>
      </w:r>
    </w:p>
    <w:p>
      <w:pPr>
        <w:jc w:val="left"/>
      </w:pPr>
      <w:r>
        <w:rPr>
          <w:rFonts w:ascii="Times New Roman" w:hAnsi="Times New Roman" w:eastAsia="Times New Roman"/>
          <w:b/>
          <w:sz w:val="32"/>
        </w:rPr>
        <w:t>1. Executive Summary</w:t>
      </w:r>
    </w:p>
    <w:p>
      <w:r>
        <w:rPr>
          <w:rFonts w:ascii="Times New Roman" w:hAnsi="Times New Roman" w:eastAsia="Times New Roman"/>
          <w:b w:val="0"/>
          <w:sz w:val="24"/>
        </w:rPr>
        <w:t>This report presents the design, simulation, and analysis of a Lab-on-a-Chip (LOC) CubeSat payload intended to study the radiation-shielding properties of melanin-producing radiotrophic fungi under Low Earth Orbit (LEO) conditions. The experiment is inspired by the 2020 ISS study by Shunk et al., which demonstrated that a thin layer of Cladosporium sphaerospermum — a melanin-rich fungus native to the Chernobyl exclusion zone — reduced ionising radiation dose by approximately 2.17% in a real space environment.</w:t>
      </w:r>
    </w:p>
    <w:p>
      <w:r>
        <w:rPr>
          <w:rFonts w:ascii="Times New Roman" w:hAnsi="Times New Roman" w:eastAsia="Times New Roman"/>
          <w:b w:val="0"/>
          <w:sz w:val="24"/>
        </w:rPr>
        <w:t>This project extends that foundational study through a 3-chamber comparative design that simultaneously compares two melanin-rich fungal strains against a sterile agar control, under identical radiation and microgravity conditions. By holding all environmental variables constant and varying only the biological contents of each chamber, this study isolates the effect of melanin density and melanin type (DHN-melanin vs DOPA-melanin) on radiation attenuation — a comparison that has not previously been conducted in a controlled spaceflight context.</w:t>
      </w:r>
    </w:p>
    <w:p>
      <w:r>
        <w:rPr>
          <w:rFonts w:ascii="Times New Roman" w:hAnsi="Times New Roman" w:eastAsia="Times New Roman"/>
          <w:b w:val="0"/>
          <w:sz w:val="24"/>
        </w:rPr>
        <w:t>The simulation pipeline comprises six Python modules — a synthetic LEO radiation flux generator, a hysteresis control system, a logistic growth ODE solver, a Beer-Lambert attenuation model, an integration engine, and a dashboard visualisation system. An electronics simulation was additionally implemented using the Wokwi platform (Arduino Uno), validating the hardware control logic in a virtual circuit environment. The 3D structural model is designed in Autodesk Fusion 360 to the 1U CubeSat standard (100 x 100 x 113.5 mm).</w:t>
      </w:r>
    </w:p>
    <w:p>
      <w:r>
        <w:rPr>
          <w:rFonts w:ascii="Times New Roman" w:hAnsi="Times New Roman" w:eastAsia="Times New Roman"/>
          <w:b w:val="0"/>
          <w:sz w:val="24"/>
        </w:rPr>
        <w:t>Simulation results confirm that C. sphaerospermum (CH-2) achieves 2.169% peak attenuation, validating the model against the ISS experimental reference. The challenger strain W. dermatitidis (CH-3) achieves 2.593% peak attenuation — exceeding the baseline by 19.6% — owing to its higher melanin density as reported by Dadachova et al. (2008). These results suggest that W. dermatitidis may be a superior candidate for future biological radiation shielding applications in crewed spacecraft.</w:t>
      </w:r>
    </w:p>
    <w:p>
      <w:pPr>
        <w:jc w:val="left"/>
      </w:pPr>
      <w:r>
        <w:rPr>
          <w:rFonts w:ascii="Times New Roman" w:hAnsi="Times New Roman" w:eastAsia="Times New Roman"/>
          <w:b/>
          <w:sz w:val="32"/>
        </w:rPr>
        <w:t>2. Mission Parameters &amp; Orbital Environment</w:t>
      </w:r>
    </w:p>
    <w:p>
      <w:pPr>
        <w:jc w:val="left"/>
      </w:pPr>
      <w:r>
        <w:rPr>
          <w:rFonts w:ascii="Times New Roman" w:hAnsi="Times New Roman" w:eastAsia="Times New Roman"/>
          <w:b/>
          <w:sz w:val="28"/>
        </w:rPr>
        <w:t>2.1. Orbital Parameters</w:t>
      </w:r>
    </w:p>
    <w:p>
      <w:r>
        <w:rPr>
          <w:rFonts w:ascii="Times New Roman" w:hAnsi="Times New Roman" w:eastAsia="Times New Roman"/>
          <w:b w:val="0"/>
          <w:sz w:val="24"/>
        </w:rPr>
        <w:t>The payload is designed to operate aboard a CubeSat in a Low Earth Orbit (LEO) equivalent to the International Space Station (ISS) trajectory. The chosen orbital parameters are as follows:</w:t>
      </w:r>
    </w:p>
    <w:p>
      <w:pPr>
        <w:jc w:val="center"/>
      </w:pPr>
      <w:r>
        <w:rPr>
          <w:rFonts w:ascii="Times New Roman" w:hAnsi="Times New Roman" w:eastAsia="Times New Roman"/>
          <w:b/>
          <w:sz w:val="24"/>
        </w:rPr>
        <w:t>Table 1: Orbital Parameters — ISS-equivalent LEO</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Parameter</w:t>
            </w:r>
          </w:p>
        </w:tc>
        <w:tc>
          <w:tcPr>
            <w:tcW w:type="dxa" w:w="4320"/>
          </w:tcPr>
          <w:p>
            <w:pPr>
              <w:jc w:val="center"/>
            </w:pPr>
          </w:p>
        </w:tc>
      </w:tr>
      <w:tr>
        <w:tc>
          <w:tcPr>
            <w:tcW w:type="dxa" w:w="4320"/>
          </w:tcPr>
          <w:p>
            <w:pPr>
              <w:jc w:val="center"/>
            </w:pPr>
            <w:r>
              <w:rPr>
                <w:rFonts w:ascii="Times New Roman" w:hAnsi="Times New Roman"/>
                <w:sz w:val="24"/>
              </w:rPr>
              <w:t>Value</w:t>
            </w:r>
          </w:p>
        </w:tc>
        <w:tc>
          <w:tcPr>
            <w:tcW w:type="dxa" w:w="4320"/>
          </w:tcPr>
          <w:p>
            <w:pPr>
              <w:jc w:val="center"/>
            </w:pPr>
          </w:p>
        </w:tc>
      </w:tr>
      <w:tr>
        <w:tc>
          <w:tcPr>
            <w:tcW w:type="dxa" w:w="4320"/>
          </w:tcPr>
          <w:p>
            <w:pPr>
              <w:jc w:val="center"/>
            </w:pPr>
            <w:r>
              <w:rPr>
                <w:rFonts w:ascii="Times New Roman" w:hAnsi="Times New Roman"/>
                <w:sz w:val="24"/>
              </w:rPr>
              <w:t>Source / Justification</w:t>
            </w:r>
          </w:p>
        </w:tc>
        <w:tc>
          <w:tcPr>
            <w:tcW w:type="dxa" w:w="4320"/>
          </w:tcPr>
          <w:p>
            <w:pPr>
              <w:jc w:val="center"/>
            </w:pPr>
          </w:p>
        </w:tc>
      </w:tr>
      <w:tr>
        <w:tc>
          <w:tcPr>
            <w:tcW w:type="dxa" w:w="4320"/>
          </w:tcPr>
          <w:p>
            <w:pPr>
              <w:jc w:val="center"/>
            </w:pPr>
            <w:r>
              <w:rPr>
                <w:rFonts w:ascii="Times New Roman" w:hAnsi="Times New Roman"/>
                <w:sz w:val="24"/>
              </w:rPr>
              <w:t>Orbital altitude</w:t>
            </w:r>
          </w:p>
        </w:tc>
        <w:tc>
          <w:tcPr>
            <w:tcW w:type="dxa" w:w="4320"/>
          </w:tcPr>
          <w:p>
            <w:pPr>
              <w:jc w:val="center"/>
            </w:pPr>
          </w:p>
        </w:tc>
      </w:tr>
      <w:tr>
        <w:tc>
          <w:tcPr>
            <w:tcW w:type="dxa" w:w="4320"/>
          </w:tcPr>
          <w:p>
            <w:pPr>
              <w:jc w:val="center"/>
            </w:pPr>
            <w:r>
              <w:rPr>
                <w:rFonts w:ascii="Times New Roman" w:hAnsi="Times New Roman"/>
                <w:sz w:val="24"/>
              </w:rPr>
              <w:t>400 km</w:t>
            </w:r>
          </w:p>
        </w:tc>
        <w:tc>
          <w:tcPr>
            <w:tcW w:type="dxa" w:w="4320"/>
          </w:tcPr>
          <w:p>
            <w:pPr>
              <w:jc w:val="center"/>
            </w:pPr>
          </w:p>
        </w:tc>
      </w:tr>
      <w:tr>
        <w:tc>
          <w:tcPr>
            <w:tcW w:type="dxa" w:w="4320"/>
          </w:tcPr>
          <w:p>
            <w:pPr>
              <w:jc w:val="center"/>
            </w:pPr>
            <w:r>
              <w:rPr>
                <w:rFonts w:ascii="Times New Roman" w:hAnsi="Times New Roman"/>
                <w:sz w:val="24"/>
              </w:rPr>
              <w:t>ISS average altitude (NASA, 2023)</w:t>
            </w:r>
          </w:p>
        </w:tc>
        <w:tc>
          <w:tcPr>
            <w:tcW w:type="dxa" w:w="4320"/>
          </w:tcPr>
          <w:p>
            <w:pPr>
              <w:jc w:val="center"/>
            </w:pPr>
          </w:p>
        </w:tc>
      </w:tr>
      <w:tr>
        <w:tc>
          <w:tcPr>
            <w:tcW w:type="dxa" w:w="4320"/>
          </w:tcPr>
          <w:p>
            <w:pPr>
              <w:jc w:val="center"/>
            </w:pPr>
            <w:r>
              <w:rPr>
                <w:rFonts w:ascii="Times New Roman" w:hAnsi="Times New Roman"/>
                <w:sz w:val="24"/>
              </w:rPr>
              <w:t>Orbital inclination</w:t>
            </w:r>
          </w:p>
        </w:tc>
        <w:tc>
          <w:tcPr>
            <w:tcW w:type="dxa" w:w="4320"/>
          </w:tcPr>
          <w:p>
            <w:pPr>
              <w:jc w:val="center"/>
            </w:pPr>
          </w:p>
        </w:tc>
      </w:tr>
    </w:tbl>
    <w:p>
      <w:r>
        <w:rPr>
          <w:rFonts w:ascii="Times New Roman" w:hAnsi="Times New Roman" w:eastAsia="Times New Roman"/>
          <w:b w:val="0"/>
          <w:sz w:val="24"/>
        </w:rPr>
        <w:t>51.6°</w:t>
      </w:r>
    </w:p>
    <w:p>
      <w:r>
        <w:rPr>
          <w:rFonts w:ascii="Times New Roman" w:hAnsi="Times New Roman" w:eastAsia="Times New Roman"/>
          <w:b w:val="0"/>
          <w:sz w:val="24"/>
        </w:rPr>
        <w:t>ISS inclination — maximises SAA exposure</w:t>
      </w:r>
    </w:p>
    <w:p>
      <w:r>
        <w:rPr>
          <w:rFonts w:ascii="Times New Roman" w:hAnsi="Times New Roman" w:eastAsia="Times New Roman"/>
          <w:b w:val="0"/>
          <w:sz w:val="24"/>
        </w:rPr>
        <w:t>Orbital period</w:t>
      </w:r>
    </w:p>
    <w:p>
      <w:r>
        <w:rPr>
          <w:rFonts w:ascii="Times New Roman" w:hAnsi="Times New Roman" w:eastAsia="Times New Roman"/>
          <w:b w:val="0"/>
          <w:sz w:val="24"/>
        </w:rPr>
        <w:t>~92.6 min</w:t>
      </w:r>
    </w:p>
    <w:p>
      <w:r>
        <w:rPr>
          <w:rFonts w:ascii="Times New Roman" w:hAnsi="Times New Roman" w:eastAsia="Times New Roman"/>
          <w:b w:val="0"/>
          <w:sz w:val="24"/>
        </w:rPr>
        <w:t>Derived from Kepler's third law</w:t>
      </w:r>
    </w:p>
    <w:p>
      <w:r>
        <w:rPr>
          <w:rFonts w:ascii="Times New Roman" w:hAnsi="Times New Roman" w:eastAsia="Times New Roman"/>
          <w:b w:val="0"/>
          <w:sz w:val="24"/>
        </w:rPr>
        <w:t>Orbits per day</w:t>
      </w:r>
    </w:p>
    <w:p>
      <w:r>
        <w:rPr>
          <w:rFonts w:ascii="Times New Roman" w:hAnsi="Times New Roman" w:eastAsia="Times New Roman"/>
          <w:b w:val="0"/>
          <w:sz w:val="24"/>
        </w:rPr>
        <w:t>~15.5</w:t>
      </w:r>
    </w:p>
    <w:p>
      <w:r>
        <w:rPr>
          <w:rFonts w:ascii="Times New Roman" w:hAnsi="Times New Roman" w:eastAsia="Times New Roman"/>
          <w:b w:val="0"/>
          <w:sz w:val="24"/>
        </w:rPr>
        <w:t>At 400 km altitude</w:t>
      </w:r>
    </w:p>
    <w:p>
      <w:r>
        <w:rPr>
          <w:rFonts w:ascii="Times New Roman" w:hAnsi="Times New Roman" w:eastAsia="Times New Roman"/>
          <w:b w:val="0"/>
          <w:sz w:val="24"/>
        </w:rPr>
        <w:t>SAA passages / day</w:t>
      </w:r>
    </w:p>
    <w:p>
      <w:r>
        <w:rPr>
          <w:rFonts w:ascii="Times New Roman" w:hAnsi="Times New Roman" w:eastAsia="Times New Roman"/>
          <w:b w:val="0"/>
          <w:sz w:val="24"/>
        </w:rPr>
        <w:t>~6</w:t>
      </w:r>
    </w:p>
    <w:p>
      <w:r>
        <w:rPr>
          <w:rFonts w:ascii="Times New Roman" w:hAnsi="Times New Roman" w:eastAsia="Times New Roman"/>
          <w:b w:val="0"/>
          <w:sz w:val="24"/>
        </w:rPr>
        <w:t>SPENVIS model (ESA, 2024)</w:t>
      </w:r>
    </w:p>
    <w:p>
      <w:r>
        <w:rPr>
          <w:rFonts w:ascii="Times New Roman" w:hAnsi="Times New Roman" w:eastAsia="Times New Roman"/>
          <w:b w:val="0"/>
          <w:sz w:val="24"/>
        </w:rPr>
        <w:t>Simulation duration</w:t>
      </w:r>
    </w:p>
    <w:p>
      <w:r>
        <w:rPr>
          <w:rFonts w:ascii="Times New Roman" w:hAnsi="Times New Roman" w:eastAsia="Times New Roman"/>
          <w:b w:val="0"/>
          <w:sz w:val="24"/>
        </w:rPr>
        <w:t>48 hours</w:t>
      </w:r>
    </w:p>
    <w:p>
      <w:r>
        <w:rPr>
          <w:rFonts w:ascii="Times New Roman" w:hAnsi="Times New Roman" w:eastAsia="Times New Roman"/>
          <w:b w:val="0"/>
          <w:sz w:val="24"/>
        </w:rPr>
        <w:t>Covers ~2 full growth cycles for C. sphaerospermum</w:t>
      </w:r>
    </w:p>
    <w:p>
      <w:r>
        <w:rPr>
          <w:rFonts w:ascii="Times New Roman" w:hAnsi="Times New Roman" w:eastAsia="Times New Roman"/>
          <w:b w:val="0"/>
          <w:sz w:val="24"/>
        </w:rPr>
        <w:t>Time resolution</w:t>
      </w:r>
    </w:p>
    <w:p>
      <w:r>
        <w:rPr>
          <w:rFonts w:ascii="Times New Roman" w:hAnsi="Times New Roman" w:eastAsia="Times New Roman"/>
          <w:b w:val="0"/>
          <w:sz w:val="24"/>
        </w:rPr>
        <w:t>1 hour</w:t>
      </w:r>
    </w:p>
    <w:p>
      <w:r>
        <w:rPr>
          <w:rFonts w:ascii="Times New Roman" w:hAnsi="Times New Roman" w:eastAsia="Times New Roman"/>
          <w:b w:val="0"/>
          <w:sz w:val="24"/>
        </w:rPr>
        <w:t>Sufficient for logistic ODE convergence</w:t>
      </w:r>
    </w:p>
    <w:p>
      <w:pPr>
        <w:jc w:val="left"/>
      </w:pPr>
      <w:r>
        <w:rPr>
          <w:rFonts w:ascii="Times New Roman" w:hAnsi="Times New Roman" w:eastAsia="Times New Roman"/>
          <w:b/>
          <w:sz w:val="28"/>
        </w:rPr>
        <w:t>2.2. Radiation Environment in LEO</w:t>
      </w:r>
    </w:p>
    <w:p>
      <w:r>
        <w:rPr>
          <w:rFonts w:ascii="Times New Roman" w:hAnsi="Times New Roman" w:eastAsia="Times New Roman"/>
          <w:b w:val="0"/>
          <w:sz w:val="24"/>
        </w:rPr>
        <w:t>The primary radiation sources in LEO are Galactic Cosmic Rays (GCR) — high-energy particles originating from outside the solar system — and trapped protons and electrons in the Van Allen radiation belts. At ISS altitude, the average GCR background dose rate is approximately 200 uGy/hr, with periodic elevation to 600-700 uGy/hr during South Atlantic Anomaly (SAA) passage (Cucinotta et al., 2011). The radiation is dominated by protons and high-Z, high-energy (HZE) particles, which are biologically highly damaging due to their large ionisation cross-sections.</w:t>
      </w:r>
    </w:p>
    <w:p>
      <w:r>
        <w:rPr>
          <w:rFonts w:ascii="Times New Roman" w:hAnsi="Times New Roman" w:eastAsia="Times New Roman"/>
          <w:b w:val="0"/>
          <w:sz w:val="24"/>
        </w:rPr>
        <w:t>At 400 km, the geomagnetic field provides partial shielding from lower-energy GCR particles, but offers minimal protection from HZE nuclei, which are the primary concern for long-duration biological experiments. The 1U aluminium CubeSat wall (1.5 mm, 6061 alloy) provides an additional ~0.4 g/cm squared areal density of passive shielding.</w:t>
      </w:r>
    </w:p>
    <w:p>
      <w:pPr>
        <w:jc w:val="left"/>
      </w:pPr>
      <w:r>
        <w:rPr>
          <w:rFonts w:ascii="Times New Roman" w:hAnsi="Times New Roman" w:eastAsia="Times New Roman"/>
          <w:b/>
          <w:sz w:val="28"/>
        </w:rPr>
        <w:t>2.3. South Atlantic Anomaly</w:t>
      </w:r>
    </w:p>
    <w:p>
      <w:r>
        <w:rPr>
          <w:rFonts w:ascii="Times New Roman" w:hAnsi="Times New Roman" w:eastAsia="Times New Roman"/>
          <w:b w:val="0"/>
          <w:sz w:val="24"/>
        </w:rPr>
        <w:t>The South Atlantic Anomaly (SAA) is a region over South America and the Atlantic Ocean where the inner Van Allen belt dips to its lowest altitude (~200 km), resulting in significantly elevated trapped proton flux. During ISS passes through the SAA — occurring approximately 6 times per 24-hour period — dose rates increase by a factor of 2-4x above the GCR background. Our simulation models SAA passages as Gaussian-shaped dose-rate spikes with peak values of 650-700 uGy/hr occurring every ~4 hours in the 48-hour simulation window.</w:t>
      </w:r>
    </w:p>
    <w:p>
      <w:pPr>
        <w:jc w:val="left"/>
      </w:pPr>
      <w:r>
        <w:rPr>
          <w:rFonts w:ascii="Times New Roman" w:hAnsi="Times New Roman" w:eastAsia="Times New Roman"/>
          <w:b/>
          <w:sz w:val="32"/>
        </w:rPr>
        <w:t>3. Biological Rationale &amp; Strain Selection</w:t>
      </w:r>
    </w:p>
    <w:p>
      <w:pPr>
        <w:jc w:val="left"/>
      </w:pPr>
      <w:r>
        <w:rPr>
          <w:rFonts w:ascii="Times New Roman" w:hAnsi="Times New Roman" w:eastAsia="Times New Roman"/>
          <w:b/>
          <w:sz w:val="28"/>
        </w:rPr>
        <w:t>3.1. Radiotrophic Fungi &amp; Melanin-Mediated Radiotropism</w:t>
      </w:r>
    </w:p>
    <w:p>
      <w:r>
        <w:rPr>
          <w:rFonts w:ascii="Times New Roman" w:hAnsi="Times New Roman" w:eastAsia="Times New Roman"/>
          <w:b w:val="0"/>
          <w:sz w:val="24"/>
        </w:rPr>
        <w:t>Radiotrophic fungi are a class of melanin-rich micro-organisms that display positive chemotaxis toward ionising radiation — a phenomenon termed radiotropism. First reported by Dadachova et al. (2007) in Nature, this behaviour is thought to be driven by the ability of melanin pigments to transduce ionising radiation energy into biochemically useful reducing power, potentially analogous to the role of chlorophyll in photosynthesis.</w:t>
      </w:r>
    </w:p>
    <w:p>
      <w:r>
        <w:rPr>
          <w:rFonts w:ascii="Times New Roman" w:hAnsi="Times New Roman" w:eastAsia="Times New Roman"/>
          <w:b w:val="0"/>
          <w:sz w:val="24"/>
        </w:rPr>
        <w:t>Melanin is a family of complex polymeric pigments synthesised via two principal pathways in fungi:</w:t>
      </w:r>
    </w:p>
    <w:p>
      <w:r>
        <w:rPr>
          <w:rFonts w:ascii="Times New Roman" w:hAnsi="Times New Roman" w:eastAsia="Times New Roman"/>
          <w:b w:val="0"/>
          <w:sz w:val="24"/>
        </w:rPr>
        <w:t>• DHN-melanin (1,8-dihydroxynaphthalene):  The predominant pathway in</w:t>
      </w:r>
    </w:p>
    <w:p>
      <w:r>
        <w:rPr>
          <w:rFonts w:ascii="Times New Roman" w:hAnsi="Times New Roman" w:eastAsia="Times New Roman"/>
          <w:b w:val="0"/>
          <w:sz w:val="24"/>
        </w:rPr>
        <w:t>Cladosporium sphaerospermum  and  Wangiella dermatitidis . DHN-melanin is characterised</w:t>
      </w:r>
    </w:p>
    <w:p>
      <w:r>
        <w:rPr>
          <w:rFonts w:ascii="Times New Roman" w:hAnsi="Times New Roman" w:eastAsia="Times New Roman"/>
          <w:b w:val="0"/>
          <w:sz w:val="24"/>
        </w:rPr>
        <w:t>by a high density of unpaired electrons and a polyaromatic backbone that provides significant free-radical</w:t>
      </w:r>
    </w:p>
    <w:p>
      <w:r>
        <w:rPr>
          <w:rFonts w:ascii="Times New Roman" w:hAnsi="Times New Roman" w:eastAsia="Times New Roman"/>
          <w:b w:val="0"/>
          <w:sz w:val="24"/>
        </w:rPr>
        <w:t>scavenging capacity. The absorption cross-section of DHN-melanin for gamma radiation and fast protons</w:t>
      </w:r>
    </w:p>
    <w:p>
      <w:r>
        <w:rPr>
          <w:rFonts w:ascii="Times New Roman" w:hAnsi="Times New Roman" w:eastAsia="Times New Roman"/>
          <w:b w:val="0"/>
          <w:sz w:val="24"/>
        </w:rPr>
        <w:t>has been experimentally measured to be μ = 0.043 cm²/g (Dadachova et al., 2008).</w:t>
      </w:r>
    </w:p>
    <w:p>
      <w:r>
        <w:rPr>
          <w:rFonts w:ascii="Times New Roman" w:hAnsi="Times New Roman" w:eastAsia="Times New Roman"/>
          <w:b w:val="0"/>
          <w:sz w:val="24"/>
        </w:rPr>
        <w:t>• DOPA-melanin (L-3,4-dihydroxyphenylalanine):  Found in  Cryptococcus neoformans .</w:t>
      </w:r>
    </w:p>
    <w:p>
      <w:r>
        <w:rPr>
          <w:rFonts w:ascii="Times New Roman" w:hAnsi="Times New Roman" w:eastAsia="Times New Roman"/>
          <w:b w:val="0"/>
          <w:sz w:val="24"/>
        </w:rPr>
        <w:t>Synthesised via laccase-catalysed oxidation of L-DOPA rather than the DHN pathway, resulting in a</w:t>
      </w:r>
    </w:p>
    <w:p>
      <w:r>
        <w:rPr>
          <w:rFonts w:ascii="Times New Roman" w:hAnsi="Times New Roman" w:eastAsia="Times New Roman"/>
          <w:b w:val="0"/>
          <w:sz w:val="24"/>
        </w:rPr>
        <w:t>structurally distinct polymer with different radiation-scavenging characteristics.</w:t>
      </w:r>
    </w:p>
    <w:p>
      <w:r>
        <w:rPr>
          <w:rFonts w:ascii="Times New Roman" w:hAnsi="Times New Roman" w:eastAsia="Times New Roman"/>
          <w:b w:val="0"/>
          <w:sz w:val="24"/>
        </w:rPr>
        <w:t>The space-shielding effectiveness of melanin arises from its ability to attenuate ionising radiation through Compton scattering and photoelectric absorption, in direct proportion to the areal density (mg/cm squared) of the melanin layer — described quantitatively by the Beer-Lambert law (Section 5.3).</w:t>
      </w:r>
    </w:p>
    <w:p>
      <w:pPr>
        <w:jc w:val="left"/>
      </w:pPr>
      <w:r>
        <w:rPr>
          <w:rFonts w:ascii="Times New Roman" w:hAnsi="Times New Roman" w:eastAsia="Times New Roman"/>
          <w:b/>
          <w:sz w:val="28"/>
        </w:rPr>
        <w:t>3.2. Strain Selection Justification</w:t>
      </w:r>
    </w:p>
    <w:p>
      <w:r>
        <w:rPr>
          <w:rFonts w:ascii="Times New Roman" w:hAnsi="Times New Roman" w:eastAsia="Times New Roman"/>
          <w:b w:val="0"/>
          <w:sz w:val="24"/>
        </w:rPr>
        <w:t>Two fungal strains were selected for comparison based on (a) their established presence in high-radiation environments, (b) the availability of published growth kinetics, and (c) the scientific novelty of their direct comparison under controlled conditions.</w:t>
      </w:r>
    </w:p>
    <w:p>
      <w:pPr>
        <w:jc w:val="center"/>
      </w:pPr>
      <w:r>
        <w:rPr>
          <w:rFonts w:ascii="Times New Roman" w:hAnsi="Times New Roman" w:eastAsia="Times New Roman"/>
          <w:b/>
          <w:sz w:val="24"/>
        </w:rPr>
        <w:t>Table 2: Fungal Strain Properties and Literature References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Property</w:t>
            </w:r>
          </w:p>
        </w:tc>
        <w:tc>
          <w:tcPr>
            <w:tcW w:type="dxa" w:w="4320"/>
          </w:tcPr>
          <w:p>
            <w:pPr>
              <w:jc w:val="center"/>
            </w:pPr>
          </w:p>
        </w:tc>
      </w:tr>
      <w:tr>
        <w:tc>
          <w:tcPr>
            <w:tcW w:type="dxa" w:w="4320"/>
          </w:tcPr>
          <w:p>
            <w:pPr>
              <w:jc w:val="center"/>
            </w:pPr>
            <w:r>
              <w:rPr>
                <w:rFonts w:ascii="Times New Roman" w:hAnsi="Times New Roman"/>
                <w:sz w:val="24"/>
              </w:rPr>
              <w:t>CH-2: C. sphaerospermum</w:t>
            </w:r>
          </w:p>
        </w:tc>
        <w:tc>
          <w:tcPr>
            <w:tcW w:type="dxa" w:w="4320"/>
          </w:tcPr>
          <w:p>
            <w:pPr>
              <w:jc w:val="center"/>
            </w:pPr>
          </w:p>
        </w:tc>
      </w:tr>
      <w:tr>
        <w:tc>
          <w:tcPr>
            <w:tcW w:type="dxa" w:w="4320"/>
          </w:tcPr>
          <w:p>
            <w:pPr>
              <w:jc w:val="center"/>
            </w:pPr>
            <w:r>
              <w:rPr>
                <w:rFonts w:ascii="Times New Roman" w:hAnsi="Times New Roman"/>
                <w:sz w:val="24"/>
              </w:rPr>
              <w:t>CH-3: W. dermatitidis</w:t>
            </w:r>
          </w:p>
        </w:tc>
        <w:tc>
          <w:tcPr>
            <w:tcW w:type="dxa" w:w="4320"/>
          </w:tcPr>
          <w:p>
            <w:pPr>
              <w:jc w:val="center"/>
            </w:pPr>
          </w:p>
        </w:tc>
      </w:tr>
      <w:tr>
        <w:tc>
          <w:tcPr>
            <w:tcW w:type="dxa" w:w="4320"/>
          </w:tcPr>
          <w:p>
            <w:pPr>
              <w:jc w:val="center"/>
            </w:pPr>
            <w:r>
              <w:rPr>
                <w:rFonts w:ascii="Times New Roman" w:hAnsi="Times New Roman"/>
                <w:sz w:val="24"/>
              </w:rPr>
              <w:t>Origin</w:t>
            </w:r>
          </w:p>
        </w:tc>
        <w:tc>
          <w:tcPr>
            <w:tcW w:type="dxa" w:w="4320"/>
          </w:tcPr>
          <w:p>
            <w:pPr>
              <w:jc w:val="center"/>
            </w:pPr>
          </w:p>
        </w:tc>
      </w:tr>
      <w:tr>
        <w:tc>
          <w:tcPr>
            <w:tcW w:type="dxa" w:w="4320"/>
          </w:tcPr>
          <w:p>
            <w:pPr>
              <w:jc w:val="center"/>
            </w:pPr>
            <w:r>
              <w:rPr>
                <w:rFonts w:ascii="Times New Roman" w:hAnsi="Times New Roman"/>
                <w:sz w:val="24"/>
              </w:rPr>
              <w:t>Chernobyl reactor wall, ISS</w:t>
            </w:r>
          </w:p>
        </w:tc>
        <w:tc>
          <w:tcPr>
            <w:tcW w:type="dxa" w:w="4320"/>
          </w:tcPr>
          <w:p>
            <w:pPr>
              <w:jc w:val="center"/>
            </w:pPr>
          </w:p>
        </w:tc>
      </w:tr>
      <w:tr>
        <w:tc>
          <w:tcPr>
            <w:tcW w:type="dxa" w:w="4320"/>
          </w:tcPr>
          <w:p>
            <w:pPr>
              <w:jc w:val="center"/>
            </w:pPr>
            <w:r>
              <w:rPr>
                <w:rFonts w:ascii="Times New Roman" w:hAnsi="Times New Roman"/>
                <w:sz w:val="24"/>
              </w:rPr>
              <w:t>Chernobyl reactor wall, soil</w:t>
            </w:r>
          </w:p>
        </w:tc>
        <w:tc>
          <w:tcPr>
            <w:tcW w:type="dxa" w:w="4320"/>
          </w:tcPr>
          <w:p>
            <w:pPr>
              <w:jc w:val="center"/>
            </w:pPr>
          </w:p>
        </w:tc>
      </w:tr>
      <w:tr>
        <w:tc>
          <w:tcPr>
            <w:tcW w:type="dxa" w:w="4320"/>
          </w:tcPr>
          <w:p>
            <w:pPr>
              <w:jc w:val="center"/>
            </w:pPr>
            <w:r>
              <w:rPr>
                <w:rFonts w:ascii="Times New Roman" w:hAnsi="Times New Roman"/>
                <w:sz w:val="24"/>
              </w:rPr>
              <w:t>Melanin type</w:t>
            </w:r>
          </w:p>
        </w:tc>
        <w:tc>
          <w:tcPr>
            <w:tcW w:type="dxa" w:w="4320"/>
          </w:tcPr>
          <w:p>
            <w:pPr>
              <w:jc w:val="center"/>
            </w:pPr>
          </w:p>
        </w:tc>
      </w:tr>
      <w:tr>
        <w:tc>
          <w:tcPr>
            <w:tcW w:type="dxa" w:w="4320"/>
          </w:tcPr>
          <w:p>
            <w:pPr>
              <w:jc w:val="center"/>
            </w:pPr>
            <w:r>
              <w:rPr>
                <w:rFonts w:ascii="Times New Roman" w:hAnsi="Times New Roman"/>
                <w:sz w:val="24"/>
              </w:rPr>
              <w:t>DHN-melanin</w:t>
            </w:r>
          </w:p>
        </w:tc>
        <w:tc>
          <w:tcPr>
            <w:tcW w:type="dxa" w:w="4320"/>
          </w:tcPr>
          <w:p>
            <w:pPr>
              <w:jc w:val="center"/>
            </w:pPr>
          </w:p>
        </w:tc>
      </w:tr>
      <w:tr>
        <w:tc>
          <w:tcPr>
            <w:tcW w:type="dxa" w:w="4320"/>
          </w:tcPr>
          <w:p>
            <w:pPr>
              <w:jc w:val="center"/>
            </w:pPr>
            <w:r>
              <w:rPr>
                <w:rFonts w:ascii="Times New Roman" w:hAnsi="Times New Roman"/>
                <w:sz w:val="24"/>
              </w:rPr>
              <w:t>DHN-melanin</w:t>
            </w:r>
          </w:p>
        </w:tc>
        <w:tc>
          <w:tcPr>
            <w:tcW w:type="dxa" w:w="4320"/>
          </w:tcPr>
          <w:p>
            <w:pPr>
              <w:jc w:val="center"/>
            </w:pPr>
          </w:p>
        </w:tc>
      </w:tr>
      <w:tr>
        <w:tc>
          <w:tcPr>
            <w:tcW w:type="dxa" w:w="4320"/>
          </w:tcPr>
          <w:p>
            <w:pPr>
              <w:jc w:val="center"/>
            </w:pPr>
            <w:r>
              <w:rPr>
                <w:rFonts w:ascii="Times New Roman" w:hAnsi="Times New Roman"/>
                <w:sz w:val="24"/>
              </w:rPr>
              <w:t>Melanin content</w:t>
            </w:r>
          </w:p>
        </w:tc>
        <w:tc>
          <w:tcPr>
            <w:tcW w:type="dxa" w:w="4320"/>
          </w:tcPr>
          <w:p>
            <w:pPr>
              <w:jc w:val="center"/>
            </w:pPr>
          </w:p>
        </w:tc>
      </w:tr>
      <w:tr>
        <w:tc>
          <w:tcPr>
            <w:tcW w:type="dxa" w:w="4320"/>
          </w:tcPr>
          <w:p>
            <w:pPr>
              <w:jc w:val="center"/>
            </w:pPr>
            <w:r>
              <w:rPr>
                <w:rFonts w:ascii="Times New Roman" w:hAnsi="Times New Roman"/>
                <w:sz w:val="24"/>
              </w:rPr>
              <w:t>~2–3% dry weight</w:t>
            </w:r>
          </w:p>
        </w:tc>
        <w:tc>
          <w:tcPr>
            <w:tcW w:type="dxa" w:w="4320"/>
          </w:tcPr>
          <w:p>
            <w:pPr>
              <w:jc w:val="center"/>
            </w:pPr>
          </w:p>
        </w:tc>
      </w:tr>
      <w:tr>
        <w:tc>
          <w:tcPr>
            <w:tcW w:type="dxa" w:w="4320"/>
          </w:tcPr>
          <w:p>
            <w:pPr>
              <w:jc w:val="center"/>
            </w:pPr>
            <w:r>
              <w:rPr>
                <w:rFonts w:ascii="Times New Roman" w:hAnsi="Times New Roman"/>
                <w:sz w:val="24"/>
              </w:rPr>
              <w:t>~4–6% dry weight (higher)</w:t>
            </w:r>
          </w:p>
        </w:tc>
        <w:tc>
          <w:tcPr>
            <w:tcW w:type="dxa" w:w="4320"/>
          </w:tcPr>
          <w:p>
            <w:pPr>
              <w:jc w:val="center"/>
            </w:pPr>
          </w:p>
        </w:tc>
      </w:tr>
      <w:tr>
        <w:tc>
          <w:tcPr>
            <w:tcW w:type="dxa" w:w="4320"/>
          </w:tcPr>
          <w:p>
            <w:pPr>
              <w:jc w:val="center"/>
            </w:pPr>
            <w:r>
              <w:rPr>
                <w:rFonts w:ascii="Times New Roman" w:hAnsi="Times New Roman"/>
                <w:sz w:val="24"/>
              </w:rPr>
              <w:t>Growth rate r (h⁻¹)</w:t>
            </w:r>
          </w:p>
        </w:tc>
        <w:tc>
          <w:tcPr>
            <w:tcW w:type="dxa" w:w="4320"/>
          </w:tcPr>
          <w:p>
            <w:pPr>
              <w:jc w:val="center"/>
            </w:pPr>
          </w:p>
        </w:tc>
      </w:tr>
    </w:tbl>
    <w:p>
      <w:r>
        <w:rPr>
          <w:rFonts w:ascii="Times New Roman" w:hAnsi="Times New Roman" w:eastAsia="Times New Roman"/>
          <w:b w:val="0"/>
          <w:sz w:val="24"/>
        </w:rPr>
        <w:t>0.299 (ISS, microgravity)</w:t>
      </w:r>
    </w:p>
    <w:p>
      <w:r>
        <w:rPr>
          <w:rFonts w:ascii="Times New Roman" w:hAnsi="Times New Roman" w:eastAsia="Times New Roman"/>
          <w:b w:val="0"/>
          <w:sz w:val="24"/>
        </w:rPr>
        <w:t>0.270 (estimated)</w:t>
      </w:r>
    </w:p>
    <w:p>
      <w:r>
        <w:rPr>
          <w:rFonts w:ascii="Times New Roman" w:hAnsi="Times New Roman" w:eastAsia="Times New Roman"/>
          <w:b w:val="0"/>
          <w:sz w:val="24"/>
        </w:rPr>
        <w:t>Carrying capacity K</w:t>
      </w:r>
    </w:p>
    <w:p>
      <w:r>
        <w:rPr>
          <w:rFonts w:ascii="Times New Roman" w:hAnsi="Times New Roman" w:eastAsia="Times New Roman"/>
          <w:b w:val="0"/>
          <w:sz w:val="24"/>
        </w:rPr>
        <w:t>1.0 g/L (normalised)</w:t>
      </w:r>
    </w:p>
    <w:p>
      <w:r>
        <w:rPr>
          <w:rFonts w:ascii="Times New Roman" w:hAnsi="Times New Roman" w:eastAsia="Times New Roman"/>
          <w:b w:val="0"/>
          <w:sz w:val="24"/>
        </w:rPr>
        <w:t>1.0 g/L (normalised)</w:t>
      </w:r>
    </w:p>
    <w:p>
      <w:r>
        <w:rPr>
          <w:rFonts w:ascii="Times New Roman" w:hAnsi="Times New Roman" w:eastAsia="Times New Roman"/>
          <w:b w:val="0"/>
          <w:sz w:val="24"/>
        </w:rPr>
        <w:t>ISS study reference</w:t>
      </w:r>
    </w:p>
    <w:p>
      <w:r>
        <w:rPr>
          <w:rFonts w:ascii="Times New Roman" w:hAnsi="Times New Roman" w:eastAsia="Times New Roman"/>
          <w:b w:val="0"/>
          <w:sz w:val="24"/>
        </w:rPr>
        <w:t>Shunk et al. (2020)</w:t>
      </w:r>
    </w:p>
    <w:p>
      <w:r>
        <w:rPr>
          <w:rFonts w:ascii="Times New Roman" w:hAnsi="Times New Roman" w:eastAsia="Times New Roman"/>
          <w:b w:val="0"/>
          <w:sz w:val="24"/>
        </w:rPr>
        <w:t>Dadachova et al. (2008)</w:t>
      </w:r>
    </w:p>
    <w:p>
      <w:r>
        <w:rPr>
          <w:rFonts w:ascii="Times New Roman" w:hAnsi="Times New Roman" w:eastAsia="Times New Roman"/>
          <w:b w:val="0"/>
          <w:sz w:val="24"/>
        </w:rPr>
        <w:t>Radiation dose reduction</w:t>
      </w:r>
    </w:p>
    <w:p>
      <w:r>
        <w:rPr>
          <w:rFonts w:ascii="Times New Roman" w:hAnsi="Times New Roman" w:eastAsia="Times New Roman"/>
          <w:b w:val="0"/>
          <w:sz w:val="24"/>
        </w:rPr>
        <w:t>2.17% (ISS measured)</w:t>
      </w:r>
    </w:p>
    <w:p>
      <w:r>
        <w:rPr>
          <w:rFonts w:ascii="Times New Roman" w:hAnsi="Times New Roman" w:eastAsia="Times New Roman"/>
          <w:b w:val="0"/>
          <w:sz w:val="24"/>
        </w:rPr>
        <w:t>Not yet measured in space</w:t>
      </w:r>
    </w:p>
    <w:p>
      <w:r>
        <w:rPr>
          <w:rFonts w:ascii="Times New Roman" w:hAnsi="Times New Roman" w:eastAsia="Times New Roman"/>
          <w:b w:val="0"/>
          <w:sz w:val="24"/>
        </w:rPr>
        <w:t>Biosafety level</w:t>
      </w:r>
    </w:p>
    <w:p>
      <w:r>
        <w:rPr>
          <w:rFonts w:ascii="Times New Roman" w:hAnsi="Times New Roman" w:eastAsia="Times New Roman"/>
          <w:b w:val="0"/>
          <w:sz w:val="24"/>
        </w:rPr>
        <w:t>BSL-1</w:t>
      </w:r>
    </w:p>
    <w:p>
      <w:r>
        <w:rPr>
          <w:rFonts w:ascii="Times New Roman" w:hAnsi="Times New Roman" w:eastAsia="Times New Roman"/>
          <w:b w:val="0"/>
          <w:sz w:val="24"/>
        </w:rPr>
        <w:t>BSL-2</w:t>
      </w:r>
    </w:p>
    <w:p>
      <w:r>
        <w:rPr>
          <w:rFonts w:ascii="Times New Roman" w:hAnsi="Times New Roman" w:eastAsia="Times New Roman"/>
          <w:b w:val="0"/>
          <w:sz w:val="24"/>
        </w:rPr>
        <w:t>3.3. 3-Chamber Experimental Design</w:t>
      </w:r>
    </w:p>
    <w:p>
      <w:r>
        <w:rPr>
          <w:rFonts w:ascii="Times New Roman" w:hAnsi="Times New Roman" w:eastAsia="Times New Roman"/>
          <w:b w:val="0"/>
          <w:sz w:val="24"/>
        </w:rPr>
        <w:t>The experimental design follows the split-Petri dish methodology pioneered by the Space Tango CubeLab platform (Shunk et al., 2020), extended to a three-way comparison. All three chambers are physically identical in dimensions (30 mm diameter, 5 mm depth) and subjected to identical radiation flux, temperature (22 +/- 1°C), humidity (65 +/- 5% RH), and nutrient availability. The only variable between chambers is the biological contents. This eliminates confounding variables and ensures that differences in radiation attenuation are attributable solely to the fungal strain's melanin characteristics.</w:t>
      </w:r>
    </w:p>
    <w:p>
      <w:pPr>
        <w:jc w:val="center"/>
      </w:pPr>
      <w:r>
        <w:rPr>
          <w:rFonts w:ascii="Times New Roman" w:hAnsi="Times New Roman" w:eastAsia="Times New Roman"/>
          <w:b/>
          <w:sz w:val="24"/>
        </w:rPr>
        <w:t>Table 3: 3-Chamber Experimental Design Summary</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Chamber</w:t>
            </w:r>
          </w:p>
        </w:tc>
        <w:tc>
          <w:tcPr>
            <w:tcW w:type="dxa" w:w="4320"/>
          </w:tcPr>
          <w:p>
            <w:pPr>
              <w:jc w:val="center"/>
            </w:pPr>
          </w:p>
        </w:tc>
      </w:tr>
      <w:tr>
        <w:tc>
          <w:tcPr>
            <w:tcW w:type="dxa" w:w="4320"/>
          </w:tcPr>
          <w:p>
            <w:pPr>
              <w:jc w:val="center"/>
            </w:pPr>
            <w:r>
              <w:rPr>
                <w:rFonts w:ascii="Times New Roman" w:hAnsi="Times New Roman"/>
                <w:sz w:val="24"/>
              </w:rPr>
              <w:t>Contents</w:t>
            </w:r>
          </w:p>
        </w:tc>
        <w:tc>
          <w:tcPr>
            <w:tcW w:type="dxa" w:w="4320"/>
          </w:tcPr>
          <w:p>
            <w:pPr>
              <w:jc w:val="center"/>
            </w:pPr>
          </w:p>
        </w:tc>
      </w:tr>
      <w:tr>
        <w:tc>
          <w:tcPr>
            <w:tcW w:type="dxa" w:w="4320"/>
          </w:tcPr>
          <w:p>
            <w:pPr>
              <w:jc w:val="center"/>
            </w:pPr>
            <w:r>
              <w:rPr>
                <w:rFonts w:ascii="Times New Roman" w:hAnsi="Times New Roman"/>
                <w:sz w:val="24"/>
              </w:rPr>
              <w:t>Role</w:t>
            </w:r>
          </w:p>
        </w:tc>
        <w:tc>
          <w:tcPr>
            <w:tcW w:type="dxa" w:w="4320"/>
          </w:tcPr>
          <w:p>
            <w:pPr>
              <w:jc w:val="center"/>
            </w:pPr>
          </w:p>
        </w:tc>
      </w:tr>
      <w:tr>
        <w:tc>
          <w:tcPr>
            <w:tcW w:type="dxa" w:w="4320"/>
          </w:tcPr>
          <w:p>
            <w:pPr>
              <w:jc w:val="center"/>
            </w:pPr>
            <w:r>
              <w:rPr>
                <w:rFonts w:ascii="Times New Roman" w:hAnsi="Times New Roman"/>
                <w:sz w:val="24"/>
              </w:rPr>
              <w:t>Expected Attn%</w:t>
            </w:r>
          </w:p>
        </w:tc>
        <w:tc>
          <w:tcPr>
            <w:tcW w:type="dxa" w:w="4320"/>
          </w:tcPr>
          <w:p>
            <w:pPr>
              <w:jc w:val="center"/>
            </w:pPr>
          </w:p>
        </w:tc>
      </w:tr>
      <w:tr>
        <w:tc>
          <w:tcPr>
            <w:tcW w:type="dxa" w:w="4320"/>
          </w:tcPr>
          <w:p>
            <w:pPr>
              <w:jc w:val="center"/>
            </w:pPr>
            <w:r>
              <w:rPr>
                <w:rFonts w:ascii="Times New Roman" w:hAnsi="Times New Roman"/>
                <w:sz w:val="24"/>
              </w:rPr>
              <w:t>CH-1</w:t>
            </w:r>
          </w:p>
        </w:tc>
        <w:tc>
          <w:tcPr>
            <w:tcW w:type="dxa" w:w="4320"/>
          </w:tcPr>
          <w:p>
            <w:pPr>
              <w:jc w:val="center"/>
            </w:pPr>
          </w:p>
        </w:tc>
      </w:tr>
      <w:tr>
        <w:tc>
          <w:tcPr>
            <w:tcW w:type="dxa" w:w="4320"/>
          </w:tcPr>
          <w:p>
            <w:pPr>
              <w:jc w:val="center"/>
            </w:pPr>
            <w:r>
              <w:rPr>
                <w:rFonts w:ascii="Times New Roman" w:hAnsi="Times New Roman"/>
                <w:sz w:val="24"/>
              </w:rPr>
              <w:t>Pure Sabouraud Dextrose Agar (no fungus)</w:t>
            </w:r>
          </w:p>
        </w:tc>
        <w:tc>
          <w:tcPr>
            <w:tcW w:type="dxa" w:w="4320"/>
          </w:tcPr>
          <w:p>
            <w:pPr>
              <w:jc w:val="center"/>
            </w:pPr>
          </w:p>
        </w:tc>
      </w:tr>
      <w:tr>
        <w:tc>
          <w:tcPr>
            <w:tcW w:type="dxa" w:w="4320"/>
          </w:tcPr>
          <w:p>
            <w:pPr>
              <w:jc w:val="center"/>
            </w:pPr>
            <w:r>
              <w:rPr>
                <w:rFonts w:ascii="Times New Roman" w:hAnsi="Times New Roman"/>
                <w:sz w:val="24"/>
              </w:rPr>
              <w:t>Negative control — defines I₀ (zero attenuation)</w:t>
            </w:r>
          </w:p>
        </w:tc>
        <w:tc>
          <w:tcPr>
            <w:tcW w:type="dxa" w:w="4320"/>
          </w:tcPr>
          <w:p>
            <w:pPr>
              <w:jc w:val="center"/>
            </w:pPr>
          </w:p>
        </w:tc>
      </w:tr>
    </w:tbl>
    <w:p>
      <w:r>
        <w:rPr>
          <w:rFonts w:ascii="Times New Roman" w:hAnsi="Times New Roman" w:eastAsia="Times New Roman"/>
          <w:b w:val="0"/>
          <w:sz w:val="24"/>
        </w:rPr>
        <w:t>0.000%</w:t>
      </w:r>
    </w:p>
    <w:p>
      <w:r>
        <w:rPr>
          <w:rFonts w:ascii="Times New Roman" w:hAnsi="Times New Roman" w:eastAsia="Times New Roman"/>
          <w:b w:val="0"/>
          <w:sz w:val="24"/>
        </w:rPr>
        <w:t>CH-2</w:t>
      </w:r>
    </w:p>
    <w:p>
      <w:r>
        <w:rPr>
          <w:rFonts w:ascii="Times New Roman" w:hAnsi="Times New Roman" w:eastAsia="Times New Roman"/>
          <w:b w:val="0"/>
          <w:sz w:val="24"/>
        </w:rPr>
        <w:t>C. sphaerospermum  on melanin-dyed agar</w:t>
      </w:r>
    </w:p>
    <w:p>
      <w:r>
        <w:rPr>
          <w:rFonts w:ascii="Times New Roman" w:hAnsi="Times New Roman" w:eastAsia="Times New Roman"/>
          <w:b w:val="0"/>
          <w:sz w:val="24"/>
        </w:rPr>
        <w:t>Primary shield — ISS-validated baseline</w:t>
      </w:r>
    </w:p>
    <w:p>
      <w:r>
        <w:rPr>
          <w:rFonts w:ascii="Times New Roman" w:hAnsi="Times New Roman" w:eastAsia="Times New Roman"/>
          <w:b w:val="0"/>
          <w:sz w:val="24"/>
        </w:rPr>
        <w:t>~2.17% (peak)</w:t>
      </w:r>
    </w:p>
    <w:p>
      <w:r>
        <w:rPr>
          <w:rFonts w:ascii="Times New Roman" w:hAnsi="Times New Roman" w:eastAsia="Times New Roman"/>
          <w:b w:val="0"/>
          <w:sz w:val="24"/>
        </w:rPr>
        <w:t>CH-3</w:t>
      </w:r>
    </w:p>
    <w:p>
      <w:r>
        <w:rPr>
          <w:rFonts w:ascii="Times New Roman" w:hAnsi="Times New Roman" w:eastAsia="Times New Roman"/>
          <w:b w:val="0"/>
          <w:sz w:val="24"/>
        </w:rPr>
        <w:t>W. dermatitidis  on Sabouraud agar</w:t>
      </w:r>
    </w:p>
    <w:p>
      <w:r>
        <w:rPr>
          <w:rFonts w:ascii="Times New Roman" w:hAnsi="Times New Roman" w:eastAsia="Times New Roman"/>
          <w:b w:val="0"/>
          <w:sz w:val="24"/>
        </w:rPr>
        <w:t>Challenger — higher melanin density per cell</w:t>
      </w:r>
    </w:p>
    <w:p>
      <w:r>
        <w:rPr>
          <w:rFonts w:ascii="Times New Roman" w:hAnsi="Times New Roman" w:eastAsia="Times New Roman"/>
          <w:b w:val="0"/>
          <w:sz w:val="24"/>
        </w:rPr>
        <w:t>~2.5–3.0% (predicted)</w:t>
      </w:r>
    </w:p>
    <w:p>
      <w:pPr>
        <w:jc w:val="left"/>
      </w:pPr>
      <w:r>
        <w:rPr>
          <w:rFonts w:ascii="Times New Roman" w:hAnsi="Times New Roman" w:eastAsia="Times New Roman"/>
          <w:b/>
          <w:sz w:val="32"/>
        </w:rPr>
        <w:t>4. Hardware Architecture (Virtual Twin)</w:t>
      </w:r>
    </w:p>
    <w:p>
      <w:pPr>
        <w:jc w:val="left"/>
      </w:pPr>
      <w:r>
        <w:rPr>
          <w:rFonts w:ascii="Times New Roman" w:hAnsi="Times New Roman" w:eastAsia="Times New Roman"/>
          <w:b/>
          <w:sz w:val="28"/>
        </w:rPr>
        <w:t>4.1. CubeSat Form Factor &amp; Payload Budget</w:t>
      </w:r>
    </w:p>
    <w:p>
      <w:r>
        <w:rPr>
          <w:rFonts w:ascii="Times New Roman" w:hAnsi="Times New Roman" w:eastAsia="Times New Roman"/>
          <w:b w:val="0"/>
          <w:sz w:val="24"/>
        </w:rPr>
        <w:t>The payload is designed to the 1U CubeSat standard (CDS Rev. 14, Cal Poly SLO) with external dimensions of 100 x 100 x 113.5 mm and a maximum mass of 1.33 kg. The structure uses aluminium alloy 6061-T6 (density 2.70 g/cm³) for the main body, providing structural rigidity and passive radiation shielding from the shell wall.</w:t>
      </w:r>
    </w:p>
    <w:p>
      <w:pPr>
        <w:jc w:val="center"/>
      </w:pPr>
      <w:r>
        <w:rPr>
          <w:rFonts w:ascii="Times New Roman" w:hAnsi="Times New Roman" w:eastAsia="Times New Roman"/>
          <w:b/>
          <w:sz w:val="24"/>
        </w:rPr>
        <w:t>Table 4: CubeSat Payload Mass Budget</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Component</w:t>
            </w:r>
          </w:p>
        </w:tc>
        <w:tc>
          <w:tcPr>
            <w:tcW w:type="dxa" w:w="4320"/>
          </w:tcPr>
          <w:p>
            <w:pPr>
              <w:jc w:val="center"/>
            </w:pPr>
          </w:p>
        </w:tc>
      </w:tr>
      <w:tr>
        <w:tc>
          <w:tcPr>
            <w:tcW w:type="dxa" w:w="4320"/>
          </w:tcPr>
          <w:p>
            <w:pPr>
              <w:jc w:val="center"/>
            </w:pPr>
            <w:r>
              <w:rPr>
                <w:rFonts w:ascii="Times New Roman" w:hAnsi="Times New Roman"/>
                <w:sz w:val="24"/>
              </w:rPr>
              <w:t>Mass (g)</w:t>
            </w:r>
          </w:p>
        </w:tc>
        <w:tc>
          <w:tcPr>
            <w:tcW w:type="dxa" w:w="4320"/>
          </w:tcPr>
          <w:p>
            <w:pPr>
              <w:jc w:val="center"/>
            </w:pPr>
          </w:p>
        </w:tc>
      </w:tr>
      <w:tr>
        <w:tc>
          <w:tcPr>
            <w:tcW w:type="dxa" w:w="4320"/>
          </w:tcPr>
          <w:p>
            <w:pPr>
              <w:jc w:val="center"/>
            </w:pPr>
            <w:r>
              <w:rPr>
                <w:rFonts w:ascii="Times New Roman" w:hAnsi="Times New Roman"/>
                <w:sz w:val="24"/>
              </w:rPr>
              <w:t>Notes</w:t>
            </w:r>
          </w:p>
        </w:tc>
        <w:tc>
          <w:tcPr>
            <w:tcW w:type="dxa" w:w="4320"/>
          </w:tcPr>
          <w:p>
            <w:pPr>
              <w:jc w:val="center"/>
            </w:pPr>
          </w:p>
        </w:tc>
      </w:tr>
      <w:tr>
        <w:tc>
          <w:tcPr>
            <w:tcW w:type="dxa" w:w="4320"/>
          </w:tcPr>
          <w:p>
            <w:pPr>
              <w:jc w:val="center"/>
            </w:pPr>
            <w:r>
              <w:rPr>
                <w:rFonts w:ascii="Times New Roman" w:hAnsi="Times New Roman"/>
                <w:sz w:val="24"/>
              </w:rPr>
              <w:t>Aluminium shell (1U)</w:t>
            </w:r>
          </w:p>
        </w:tc>
        <w:tc>
          <w:tcPr>
            <w:tcW w:type="dxa" w:w="4320"/>
          </w:tcPr>
          <w:p>
            <w:pPr>
              <w:jc w:val="center"/>
            </w:pPr>
          </w:p>
        </w:tc>
      </w:tr>
      <w:tr>
        <w:tc>
          <w:tcPr>
            <w:tcW w:type="dxa" w:w="4320"/>
          </w:tcPr>
          <w:p>
            <w:pPr>
              <w:jc w:val="center"/>
            </w:pPr>
            <w:r>
              <w:rPr>
                <w:rFonts w:ascii="Times New Roman" w:hAnsi="Times New Roman"/>
                <w:sz w:val="24"/>
              </w:rPr>
              <w:t>85</w:t>
            </w:r>
          </w:p>
        </w:tc>
        <w:tc>
          <w:tcPr>
            <w:tcW w:type="dxa" w:w="4320"/>
          </w:tcPr>
          <w:p>
            <w:pPr>
              <w:jc w:val="center"/>
            </w:pPr>
          </w:p>
        </w:tc>
      </w:tr>
      <w:tr>
        <w:tc>
          <w:tcPr>
            <w:tcW w:type="dxa" w:w="4320"/>
          </w:tcPr>
          <w:p>
            <w:pPr>
              <w:jc w:val="center"/>
            </w:pPr>
            <w:r>
              <w:rPr>
                <w:rFonts w:ascii="Times New Roman" w:hAnsi="Times New Roman"/>
                <w:sz w:val="24"/>
              </w:rPr>
              <w:t>6061-T6, 1.5 mm walls</w:t>
            </w:r>
          </w:p>
        </w:tc>
        <w:tc>
          <w:tcPr>
            <w:tcW w:type="dxa" w:w="4320"/>
          </w:tcPr>
          <w:p>
            <w:pPr>
              <w:jc w:val="center"/>
            </w:pPr>
          </w:p>
        </w:tc>
      </w:tr>
      <w:tr>
        <w:tc>
          <w:tcPr>
            <w:tcW w:type="dxa" w:w="4320"/>
          </w:tcPr>
          <w:p>
            <w:pPr>
              <w:jc w:val="center"/>
            </w:pPr>
            <w:r>
              <w:rPr>
                <w:rFonts w:ascii="Times New Roman" w:hAnsi="Times New Roman"/>
                <w:sz w:val="24"/>
              </w:rPr>
              <w:t>Raspberry Pi Zero W × 2</w:t>
            </w:r>
          </w:p>
        </w:tc>
        <w:tc>
          <w:tcPr>
            <w:tcW w:type="dxa" w:w="4320"/>
          </w:tcPr>
          <w:p>
            <w:pPr>
              <w:jc w:val="center"/>
            </w:pPr>
          </w:p>
        </w:tc>
      </w:tr>
      <w:tr>
        <w:tc>
          <w:tcPr>
            <w:tcW w:type="dxa" w:w="4320"/>
          </w:tcPr>
          <w:p>
            <w:pPr>
              <w:jc w:val="center"/>
            </w:pPr>
            <w:r>
              <w:rPr>
                <w:rFonts w:ascii="Times New Roman" w:hAnsi="Times New Roman"/>
                <w:sz w:val="24"/>
              </w:rPr>
              <w:t>18</w:t>
            </w:r>
          </w:p>
        </w:tc>
        <w:tc>
          <w:tcPr>
            <w:tcW w:type="dxa" w:w="4320"/>
          </w:tcPr>
          <w:p>
            <w:pPr>
              <w:jc w:val="center"/>
            </w:pPr>
          </w:p>
        </w:tc>
      </w:tr>
      <w:tr>
        <w:tc>
          <w:tcPr>
            <w:tcW w:type="dxa" w:w="4320"/>
          </w:tcPr>
          <w:p>
            <w:pPr>
              <w:jc w:val="center"/>
            </w:pPr>
            <w:r>
              <w:rPr>
                <w:rFonts w:ascii="Times New Roman" w:hAnsi="Times New Roman"/>
                <w:sz w:val="24"/>
              </w:rPr>
              <w:t>9 g each, ARM Cortex-A53</w:t>
            </w:r>
          </w:p>
        </w:tc>
        <w:tc>
          <w:tcPr>
            <w:tcW w:type="dxa" w:w="4320"/>
          </w:tcPr>
          <w:p>
            <w:pPr>
              <w:jc w:val="center"/>
            </w:pPr>
          </w:p>
        </w:tc>
      </w:tr>
      <w:tr>
        <w:tc>
          <w:tcPr>
            <w:tcW w:type="dxa" w:w="4320"/>
          </w:tcPr>
          <w:p>
            <w:pPr>
              <w:jc w:val="center"/>
            </w:pPr>
            <w:r>
              <w:rPr>
                <w:rFonts w:ascii="Times New Roman" w:hAnsi="Times New Roman"/>
                <w:sz w:val="24"/>
              </w:rPr>
              <w:t>LOC chip assembly (3 chambers)</w:t>
            </w:r>
          </w:p>
        </w:tc>
        <w:tc>
          <w:tcPr>
            <w:tcW w:type="dxa" w:w="4320"/>
          </w:tcPr>
          <w:p>
            <w:pPr>
              <w:jc w:val="center"/>
            </w:pPr>
          </w:p>
        </w:tc>
      </w:tr>
      <w:tr>
        <w:tc>
          <w:tcPr>
            <w:tcW w:type="dxa" w:w="4320"/>
          </w:tcPr>
          <w:p>
            <w:pPr>
              <w:jc w:val="center"/>
            </w:pPr>
            <w:r>
              <w:rPr>
                <w:rFonts w:ascii="Times New Roman" w:hAnsi="Times New Roman"/>
                <w:sz w:val="24"/>
              </w:rPr>
              <w:t>12</w:t>
            </w:r>
          </w:p>
        </w:tc>
        <w:tc>
          <w:tcPr>
            <w:tcW w:type="dxa" w:w="4320"/>
          </w:tcPr>
          <w:p>
            <w:pPr>
              <w:jc w:val="center"/>
            </w:pPr>
          </w:p>
        </w:tc>
      </w:tr>
      <w:tr>
        <w:tc>
          <w:tcPr>
            <w:tcW w:type="dxa" w:w="4320"/>
          </w:tcPr>
          <w:p>
            <w:pPr>
              <w:jc w:val="center"/>
            </w:pPr>
            <w:r>
              <w:rPr>
                <w:rFonts w:ascii="Times New Roman" w:hAnsi="Times New Roman"/>
                <w:sz w:val="24"/>
              </w:rPr>
              <w:t>Polycarbonate + agar media</w:t>
            </w:r>
          </w:p>
        </w:tc>
        <w:tc>
          <w:tcPr>
            <w:tcW w:type="dxa" w:w="4320"/>
          </w:tcPr>
          <w:p>
            <w:pPr>
              <w:jc w:val="center"/>
            </w:pPr>
          </w:p>
        </w:tc>
      </w:tr>
      <w:tr>
        <w:tc>
          <w:tcPr>
            <w:tcW w:type="dxa" w:w="4320"/>
          </w:tcPr>
          <w:p>
            <w:pPr>
              <w:jc w:val="center"/>
            </w:pPr>
            <w:r>
              <w:rPr>
                <w:rFonts w:ascii="Times New Roman" w:hAnsi="Times New Roman"/>
                <w:sz w:val="24"/>
              </w:rPr>
              <w:t>DHT22 sensor</w:t>
            </w:r>
          </w:p>
        </w:tc>
        <w:tc>
          <w:tcPr>
            <w:tcW w:type="dxa" w:w="4320"/>
          </w:tcPr>
          <w:p>
            <w:pPr>
              <w:jc w:val="center"/>
            </w:pPr>
          </w:p>
        </w:tc>
      </w:tr>
      <w:tr>
        <w:tc>
          <w:tcPr>
            <w:tcW w:type="dxa" w:w="4320"/>
          </w:tcPr>
          <w:p>
            <w:pPr>
              <w:jc w:val="center"/>
            </w:pPr>
            <w:r>
              <w:rPr>
                <w:rFonts w:ascii="Times New Roman" w:hAnsi="Times New Roman"/>
                <w:sz w:val="24"/>
              </w:rPr>
              <w:t>3</w:t>
            </w:r>
          </w:p>
        </w:tc>
        <w:tc>
          <w:tcPr>
            <w:tcW w:type="dxa" w:w="4320"/>
          </w:tcPr>
          <w:p>
            <w:pPr>
              <w:jc w:val="center"/>
            </w:pPr>
          </w:p>
        </w:tc>
      </w:tr>
      <w:tr>
        <w:tc>
          <w:tcPr>
            <w:tcW w:type="dxa" w:w="4320"/>
          </w:tcPr>
          <w:p>
            <w:pPr>
              <w:jc w:val="center"/>
            </w:pPr>
            <w:r>
              <w:rPr>
                <w:rFonts w:ascii="Times New Roman" w:hAnsi="Times New Roman"/>
                <w:sz w:val="24"/>
              </w:rPr>
              <w:t>Temp/humidity</w:t>
            </w:r>
          </w:p>
        </w:tc>
        <w:tc>
          <w:tcPr>
            <w:tcW w:type="dxa" w:w="4320"/>
          </w:tcPr>
          <w:p>
            <w:pPr>
              <w:jc w:val="center"/>
            </w:pPr>
          </w:p>
        </w:tc>
      </w:tr>
      <w:tr>
        <w:tc>
          <w:tcPr>
            <w:tcW w:type="dxa" w:w="4320"/>
          </w:tcPr>
          <w:p>
            <w:pPr>
              <w:jc w:val="center"/>
            </w:pPr>
            <w:r>
              <w:rPr>
                <w:rFonts w:ascii="Times New Roman" w:hAnsi="Times New Roman"/>
                <w:sz w:val="24"/>
              </w:rPr>
              <w:t>Geiger-Müller sensors × 2</w:t>
            </w:r>
          </w:p>
        </w:tc>
        <w:tc>
          <w:tcPr>
            <w:tcW w:type="dxa" w:w="4320"/>
          </w:tcPr>
          <w:p>
            <w:pPr>
              <w:jc w:val="center"/>
            </w:pPr>
          </w:p>
        </w:tc>
      </w:tr>
      <w:tr>
        <w:tc>
          <w:tcPr>
            <w:tcW w:type="dxa" w:w="4320"/>
          </w:tcPr>
          <w:p>
            <w:pPr>
              <w:jc w:val="center"/>
            </w:pPr>
            <w:r>
              <w:rPr>
                <w:rFonts w:ascii="Times New Roman" w:hAnsi="Times New Roman"/>
                <w:sz w:val="24"/>
              </w:rPr>
              <w:t>20</w:t>
            </w:r>
          </w:p>
        </w:tc>
        <w:tc>
          <w:tcPr>
            <w:tcW w:type="dxa" w:w="4320"/>
          </w:tcPr>
          <w:p>
            <w:pPr>
              <w:jc w:val="center"/>
            </w:pPr>
          </w:p>
        </w:tc>
      </w:tr>
      <w:tr>
        <w:tc>
          <w:tcPr>
            <w:tcW w:type="dxa" w:w="4320"/>
          </w:tcPr>
          <w:p>
            <w:pPr>
              <w:jc w:val="center"/>
            </w:pPr>
            <w:r>
              <w:rPr>
                <w:rFonts w:ascii="Times New Roman" w:hAnsi="Times New Roman"/>
                <w:sz w:val="24"/>
              </w:rPr>
              <w:t>LND 712 type, 10 g each</w:t>
            </w:r>
          </w:p>
        </w:tc>
        <w:tc>
          <w:tcPr>
            <w:tcW w:type="dxa" w:w="4320"/>
          </w:tcPr>
          <w:p>
            <w:pPr>
              <w:jc w:val="center"/>
            </w:pPr>
          </w:p>
        </w:tc>
      </w:tr>
      <w:tr>
        <w:tc>
          <w:tcPr>
            <w:tcW w:type="dxa" w:w="4320"/>
          </w:tcPr>
          <w:p>
            <w:pPr>
              <w:jc w:val="center"/>
            </w:pPr>
            <w:r>
              <w:rPr>
                <w:rFonts w:ascii="Times New Roman" w:hAnsi="Times New Roman"/>
                <w:sz w:val="24"/>
              </w:rPr>
              <w:t>Camera module (OV5647)</w:t>
            </w:r>
          </w:p>
        </w:tc>
        <w:tc>
          <w:tcPr>
            <w:tcW w:type="dxa" w:w="4320"/>
          </w:tcPr>
          <w:p>
            <w:pPr>
              <w:jc w:val="center"/>
            </w:pPr>
          </w:p>
        </w:tc>
      </w:tr>
      <w:tr>
        <w:tc>
          <w:tcPr>
            <w:tcW w:type="dxa" w:w="4320"/>
          </w:tcPr>
          <w:p>
            <w:pPr>
              <w:jc w:val="center"/>
            </w:pPr>
            <w:r>
              <w:rPr>
                <w:rFonts w:ascii="Times New Roman" w:hAnsi="Times New Roman"/>
                <w:sz w:val="24"/>
              </w:rPr>
              <w:t>4</w:t>
            </w:r>
          </w:p>
        </w:tc>
        <w:tc>
          <w:tcPr>
            <w:tcW w:type="dxa" w:w="4320"/>
          </w:tcPr>
          <w:p>
            <w:pPr>
              <w:jc w:val="center"/>
            </w:pPr>
          </w:p>
        </w:tc>
      </w:tr>
      <w:tr>
        <w:tc>
          <w:tcPr>
            <w:tcW w:type="dxa" w:w="4320"/>
          </w:tcPr>
          <w:p>
            <w:pPr>
              <w:jc w:val="center"/>
            </w:pPr>
            <w:r>
              <w:rPr>
                <w:rFonts w:ascii="Times New Roman" w:hAnsi="Times New Roman"/>
                <w:sz w:val="24"/>
              </w:rPr>
              <w:t>5 MP, optical density proxy</w:t>
            </w:r>
          </w:p>
        </w:tc>
        <w:tc>
          <w:tcPr>
            <w:tcW w:type="dxa" w:w="4320"/>
          </w:tcPr>
          <w:p>
            <w:pPr>
              <w:jc w:val="center"/>
            </w:pPr>
          </w:p>
        </w:tc>
      </w:tr>
      <w:tr>
        <w:tc>
          <w:tcPr>
            <w:tcW w:type="dxa" w:w="4320"/>
          </w:tcPr>
          <w:p>
            <w:pPr>
              <w:jc w:val="center"/>
            </w:pPr>
            <w:r>
              <w:rPr>
                <w:rFonts w:ascii="Times New Roman" w:hAnsi="Times New Roman"/>
                <w:sz w:val="24"/>
              </w:rPr>
              <w:t>LED panel</w:t>
            </w:r>
          </w:p>
        </w:tc>
        <w:tc>
          <w:tcPr>
            <w:tcW w:type="dxa" w:w="4320"/>
          </w:tcPr>
          <w:p>
            <w:pPr>
              <w:jc w:val="center"/>
            </w:pPr>
          </w:p>
        </w:tc>
      </w:tr>
      <w:tr>
        <w:tc>
          <w:tcPr>
            <w:tcW w:type="dxa" w:w="4320"/>
          </w:tcPr>
          <w:p>
            <w:pPr>
              <w:jc w:val="center"/>
            </w:pPr>
            <w:r>
              <w:rPr>
                <w:rFonts w:ascii="Times New Roman" w:hAnsi="Times New Roman"/>
                <w:sz w:val="24"/>
              </w:rPr>
              <w:t>5</w:t>
            </w:r>
          </w:p>
        </w:tc>
        <w:tc>
          <w:tcPr>
            <w:tcW w:type="dxa" w:w="4320"/>
          </w:tcPr>
          <w:p>
            <w:pPr>
              <w:jc w:val="center"/>
            </w:pPr>
          </w:p>
        </w:tc>
      </w:tr>
      <w:tr>
        <w:tc>
          <w:tcPr>
            <w:tcW w:type="dxa" w:w="4320"/>
          </w:tcPr>
          <w:p>
            <w:pPr>
              <w:jc w:val="center"/>
            </w:pPr>
            <w:r>
              <w:rPr>
                <w:rFonts w:ascii="Times New Roman" w:hAnsi="Times New Roman"/>
                <w:sz w:val="24"/>
              </w:rPr>
              <w:t>White LED, 35 × 35 mm</w:t>
            </w:r>
          </w:p>
        </w:tc>
        <w:tc>
          <w:tcPr>
            <w:tcW w:type="dxa" w:w="4320"/>
          </w:tcPr>
          <w:p>
            <w:pPr>
              <w:jc w:val="center"/>
            </w:pPr>
          </w:p>
        </w:tc>
      </w:tr>
      <w:tr>
        <w:tc>
          <w:tcPr>
            <w:tcW w:type="dxa" w:w="4320"/>
          </w:tcPr>
          <w:p>
            <w:pPr>
              <w:jc w:val="center"/>
            </w:pPr>
            <w:r>
              <w:rPr>
                <w:rFonts w:ascii="Times New Roman" w:hAnsi="Times New Roman"/>
                <w:sz w:val="24"/>
              </w:rPr>
              <w:t>LiPo battery (1800 mAh)</w:t>
            </w:r>
          </w:p>
        </w:tc>
        <w:tc>
          <w:tcPr>
            <w:tcW w:type="dxa" w:w="4320"/>
          </w:tcPr>
          <w:p>
            <w:pPr>
              <w:jc w:val="center"/>
            </w:pPr>
          </w:p>
        </w:tc>
      </w:tr>
      <w:tr>
        <w:tc>
          <w:tcPr>
            <w:tcW w:type="dxa" w:w="4320"/>
          </w:tcPr>
          <w:p>
            <w:pPr>
              <w:jc w:val="center"/>
            </w:pPr>
            <w:r>
              <w:rPr>
                <w:rFonts w:ascii="Times New Roman" w:hAnsi="Times New Roman"/>
                <w:sz w:val="24"/>
              </w:rPr>
              <w:t>38</w:t>
            </w:r>
          </w:p>
        </w:tc>
        <w:tc>
          <w:tcPr>
            <w:tcW w:type="dxa" w:w="4320"/>
          </w:tcPr>
          <w:p>
            <w:pPr>
              <w:jc w:val="center"/>
            </w:pPr>
          </w:p>
        </w:tc>
      </w:tr>
    </w:tbl>
    <w:p>
      <w:r>
        <w:rPr>
          <w:rFonts w:ascii="Times New Roman" w:hAnsi="Times New Roman" w:eastAsia="Times New Roman"/>
          <w:b w:val="0"/>
          <w:sz w:val="24"/>
        </w:rPr>
        <w:t>3.7 V nominal</w:t>
      </w:r>
    </w:p>
    <w:p>
      <w:r>
        <w:rPr>
          <w:rFonts w:ascii="Times New Roman" w:hAnsi="Times New Roman" w:eastAsia="Times New Roman"/>
          <w:b w:val="0"/>
          <w:sz w:val="24"/>
        </w:rPr>
        <w:t>RTC module (DS3231)</w:t>
      </w:r>
    </w:p>
    <w:p>
      <w:r>
        <w:rPr>
          <w:rFonts w:ascii="Times New Roman" w:hAnsi="Times New Roman" w:eastAsia="Times New Roman"/>
          <w:b w:val="0"/>
          <w:sz w:val="24"/>
        </w:rPr>
        <w:t>4</w:t>
      </w:r>
    </w:p>
    <w:p>
      <w:r>
        <w:rPr>
          <w:rFonts w:ascii="Times New Roman" w:hAnsi="Times New Roman" w:eastAsia="Times New Roman"/>
          <w:b w:val="0"/>
          <w:sz w:val="24"/>
        </w:rPr>
        <w:t>Battery backup included</w:t>
      </w:r>
    </w:p>
    <w:p>
      <w:r>
        <w:rPr>
          <w:rFonts w:ascii="Times New Roman" w:hAnsi="Times New Roman" w:eastAsia="Times New Roman"/>
          <w:b w:val="0"/>
          <w:sz w:val="24"/>
        </w:rPr>
        <w:t>PCB + wiring</w:t>
      </w:r>
    </w:p>
    <w:p>
      <w:r>
        <w:rPr>
          <w:rFonts w:ascii="Times New Roman" w:hAnsi="Times New Roman" w:eastAsia="Times New Roman"/>
          <w:b w:val="0"/>
          <w:sz w:val="24"/>
        </w:rPr>
        <w:t>18</w:t>
      </w:r>
    </w:p>
    <w:p>
      <w:r>
        <w:rPr>
          <w:rFonts w:ascii="Times New Roman" w:hAnsi="Times New Roman" w:eastAsia="Times New Roman"/>
          <w:b w:val="0"/>
          <w:sz w:val="24"/>
        </w:rPr>
        <w:t>Custom PCB + ribbon cables</w:t>
      </w:r>
    </w:p>
    <w:p>
      <w:r>
        <w:rPr>
          <w:rFonts w:ascii="Times New Roman" w:hAnsi="Times New Roman" w:eastAsia="Times New Roman"/>
          <w:b w:val="0"/>
          <w:sz w:val="24"/>
        </w:rPr>
        <w:t>TOTAL</w:t>
      </w:r>
    </w:p>
    <w:p>
      <w:r>
        <w:rPr>
          <w:rFonts w:ascii="Times New Roman" w:hAnsi="Times New Roman" w:eastAsia="Times New Roman"/>
          <w:b w:val="0"/>
          <w:sz w:val="24"/>
        </w:rPr>
        <w:t>207 g</w:t>
      </w:r>
    </w:p>
    <w:p>
      <w:r>
        <w:rPr>
          <w:rFonts w:ascii="Times New Roman" w:hAnsi="Times New Roman" w:eastAsia="Times New Roman"/>
          <w:b w:val="0"/>
          <w:sz w:val="24"/>
        </w:rPr>
        <w:t>Well within 1.33 kg limit ✓</w:t>
      </w:r>
    </w:p>
    <w:p>
      <w:pPr>
        <w:jc w:val="center"/>
      </w:pPr>
      <w:r>
        <w:rPr>
          <w:rFonts w:ascii="Times New Roman" w:hAnsi="Times New Roman" w:eastAsia="Times New Roman"/>
          <w:b/>
          <w:sz w:val="24"/>
        </w:rPr>
        <w:t>Table 9: Power Budget</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Component</w:t>
            </w:r>
          </w:p>
        </w:tc>
        <w:tc>
          <w:tcPr>
            <w:tcW w:type="dxa" w:w="4320"/>
          </w:tcPr>
          <w:p>
            <w:pPr>
              <w:jc w:val="center"/>
            </w:pPr>
          </w:p>
        </w:tc>
      </w:tr>
      <w:tr>
        <w:tc>
          <w:tcPr>
            <w:tcW w:type="dxa" w:w="4320"/>
          </w:tcPr>
          <w:p>
            <w:pPr>
              <w:jc w:val="center"/>
            </w:pPr>
            <w:r>
              <w:rPr>
                <w:rFonts w:ascii="Times New Roman" w:hAnsi="Times New Roman"/>
                <w:sz w:val="24"/>
              </w:rPr>
              <w:t>Current (mA)</w:t>
            </w:r>
          </w:p>
        </w:tc>
        <w:tc>
          <w:tcPr>
            <w:tcW w:type="dxa" w:w="4320"/>
          </w:tcPr>
          <w:p>
            <w:pPr>
              <w:jc w:val="center"/>
            </w:pPr>
          </w:p>
        </w:tc>
      </w:tr>
      <w:tr>
        <w:tc>
          <w:tcPr>
            <w:tcW w:type="dxa" w:w="4320"/>
          </w:tcPr>
          <w:p>
            <w:pPr>
              <w:jc w:val="center"/>
            </w:pPr>
            <w:r>
              <w:rPr>
                <w:rFonts w:ascii="Times New Roman" w:hAnsi="Times New Roman"/>
                <w:sz w:val="24"/>
              </w:rPr>
              <w:t>Voltage (V)</w:t>
            </w:r>
          </w:p>
        </w:tc>
        <w:tc>
          <w:tcPr>
            <w:tcW w:type="dxa" w:w="4320"/>
          </w:tcPr>
          <w:p>
            <w:pPr>
              <w:jc w:val="center"/>
            </w:pPr>
          </w:p>
        </w:tc>
      </w:tr>
      <w:tr>
        <w:tc>
          <w:tcPr>
            <w:tcW w:type="dxa" w:w="4320"/>
          </w:tcPr>
          <w:p>
            <w:pPr>
              <w:jc w:val="center"/>
            </w:pPr>
            <w:r>
              <w:rPr>
                <w:rFonts w:ascii="Times New Roman" w:hAnsi="Times New Roman"/>
                <w:sz w:val="24"/>
              </w:rPr>
              <w:t>Power (mW)</w:t>
            </w:r>
          </w:p>
        </w:tc>
        <w:tc>
          <w:tcPr>
            <w:tcW w:type="dxa" w:w="4320"/>
          </w:tcPr>
          <w:p>
            <w:pPr>
              <w:jc w:val="center"/>
            </w:pPr>
          </w:p>
        </w:tc>
      </w:tr>
      <w:tr>
        <w:tc>
          <w:tcPr>
            <w:tcW w:type="dxa" w:w="4320"/>
          </w:tcPr>
          <w:p>
            <w:pPr>
              <w:jc w:val="center"/>
            </w:pPr>
            <w:r>
              <w:rPr>
                <w:rFonts w:ascii="Times New Roman" w:hAnsi="Times New Roman"/>
                <w:sz w:val="24"/>
              </w:rPr>
              <w:t>Raspberry Pi Zero W × 2</w:t>
            </w:r>
          </w:p>
        </w:tc>
        <w:tc>
          <w:tcPr>
            <w:tcW w:type="dxa" w:w="4320"/>
          </w:tcPr>
          <w:p>
            <w:pPr>
              <w:jc w:val="center"/>
            </w:pPr>
          </w:p>
        </w:tc>
      </w:tr>
      <w:tr>
        <w:tc>
          <w:tcPr>
            <w:tcW w:type="dxa" w:w="4320"/>
          </w:tcPr>
          <w:p>
            <w:pPr>
              <w:jc w:val="center"/>
            </w:pPr>
            <w:r>
              <w:rPr>
                <w:rFonts w:ascii="Times New Roman" w:hAnsi="Times New Roman"/>
                <w:sz w:val="24"/>
              </w:rPr>
              <w:t>2 × 120</w:t>
            </w:r>
          </w:p>
        </w:tc>
        <w:tc>
          <w:tcPr>
            <w:tcW w:type="dxa" w:w="4320"/>
          </w:tcPr>
          <w:p>
            <w:pPr>
              <w:jc w:val="center"/>
            </w:pPr>
          </w:p>
        </w:tc>
      </w:tr>
    </w:tbl>
    <w:p>
      <w:r>
        <w:rPr>
          <w:rFonts w:ascii="Times New Roman" w:hAnsi="Times New Roman" w:eastAsia="Times New Roman"/>
          <w:b w:val="0"/>
          <w:sz w:val="24"/>
        </w:rPr>
        <w:t>5.0</w:t>
      </w:r>
    </w:p>
    <w:p>
      <w:r>
        <w:rPr>
          <w:rFonts w:ascii="Times New Roman" w:hAnsi="Times New Roman" w:eastAsia="Times New Roman"/>
          <w:b w:val="0"/>
          <w:sz w:val="24"/>
        </w:rPr>
        <w:t>1200</w:t>
      </w:r>
    </w:p>
    <w:p>
      <w:r>
        <w:rPr>
          <w:rFonts w:ascii="Times New Roman" w:hAnsi="Times New Roman" w:eastAsia="Times New Roman"/>
          <w:b w:val="0"/>
          <w:sz w:val="24"/>
        </w:rPr>
        <w:t>Camera module</w:t>
      </w:r>
    </w:p>
    <w:p>
      <w:r>
        <w:rPr>
          <w:rFonts w:ascii="Times New Roman" w:hAnsi="Times New Roman" w:eastAsia="Times New Roman"/>
          <w:b w:val="0"/>
          <w:sz w:val="24"/>
        </w:rPr>
        <w:t>250</w:t>
      </w:r>
    </w:p>
    <w:p>
      <w:r>
        <w:rPr>
          <w:rFonts w:ascii="Times New Roman" w:hAnsi="Times New Roman" w:eastAsia="Times New Roman"/>
          <w:b w:val="0"/>
          <w:sz w:val="24"/>
        </w:rPr>
        <w:t>3.3</w:t>
      </w:r>
    </w:p>
    <w:p>
      <w:r>
        <w:rPr>
          <w:rFonts w:ascii="Times New Roman" w:hAnsi="Times New Roman" w:eastAsia="Times New Roman"/>
          <w:b w:val="0"/>
          <w:sz w:val="24"/>
        </w:rPr>
        <w:t>825</w:t>
      </w:r>
    </w:p>
    <w:p>
      <w:r>
        <w:rPr>
          <w:rFonts w:ascii="Times New Roman" w:hAnsi="Times New Roman" w:eastAsia="Times New Roman"/>
          <w:b w:val="0"/>
          <w:sz w:val="24"/>
        </w:rPr>
        <w:t>LED panel</w:t>
      </w:r>
    </w:p>
    <w:p>
      <w:r>
        <w:rPr>
          <w:rFonts w:ascii="Times New Roman" w:hAnsi="Times New Roman" w:eastAsia="Times New Roman"/>
          <w:b w:val="0"/>
          <w:sz w:val="24"/>
        </w:rPr>
        <w:t>80</w:t>
      </w:r>
    </w:p>
    <w:p>
      <w:r>
        <w:rPr>
          <w:rFonts w:ascii="Times New Roman" w:hAnsi="Times New Roman" w:eastAsia="Times New Roman"/>
          <w:b w:val="0"/>
          <w:sz w:val="24"/>
        </w:rPr>
        <w:t>3.3</w:t>
      </w:r>
    </w:p>
    <w:p>
      <w:r>
        <w:rPr>
          <w:rFonts w:ascii="Times New Roman" w:hAnsi="Times New Roman" w:eastAsia="Times New Roman"/>
          <w:b w:val="0"/>
          <w:sz w:val="24"/>
        </w:rPr>
        <w:t>264</w:t>
      </w:r>
    </w:p>
    <w:p>
      <w:r>
        <w:rPr>
          <w:rFonts w:ascii="Times New Roman" w:hAnsi="Times New Roman" w:eastAsia="Times New Roman"/>
          <w:b w:val="0"/>
          <w:sz w:val="24"/>
        </w:rPr>
        <w:t>Sensors (total)</w:t>
      </w:r>
    </w:p>
    <w:p>
      <w:r>
        <w:rPr>
          <w:rFonts w:ascii="Times New Roman" w:hAnsi="Times New Roman" w:eastAsia="Times New Roman"/>
          <w:b w:val="0"/>
          <w:sz w:val="24"/>
        </w:rPr>
        <w:t>35</w:t>
      </w:r>
    </w:p>
    <w:p>
      <w:r>
        <w:rPr>
          <w:rFonts w:ascii="Times New Roman" w:hAnsi="Times New Roman" w:eastAsia="Times New Roman"/>
          <w:b w:val="0"/>
          <w:sz w:val="24"/>
        </w:rPr>
        <w:t>3.3</w:t>
      </w:r>
    </w:p>
    <w:p>
      <w:r>
        <w:rPr>
          <w:rFonts w:ascii="Times New Roman" w:hAnsi="Times New Roman" w:eastAsia="Times New Roman"/>
          <w:b w:val="0"/>
          <w:sz w:val="24"/>
        </w:rPr>
        <w:t>116</w:t>
      </w:r>
    </w:p>
    <w:p>
      <w:r>
        <w:rPr>
          <w:rFonts w:ascii="Times New Roman" w:hAnsi="Times New Roman" w:eastAsia="Times New Roman"/>
          <w:b w:val="0"/>
          <w:sz w:val="24"/>
        </w:rPr>
        <w:t>Total</w:t>
      </w:r>
    </w:p>
    <w:p>
      <w:r>
        <w:rPr>
          <w:rFonts w:ascii="Times New Roman" w:hAnsi="Times New Roman" w:eastAsia="Times New Roman"/>
          <w:b w:val="0"/>
          <w:sz w:val="24"/>
        </w:rPr>
        <w:t>—</w:t>
      </w:r>
    </w:p>
    <w:p>
      <w:r>
        <w:rPr>
          <w:rFonts w:ascii="Times New Roman" w:hAnsi="Times New Roman" w:eastAsia="Times New Roman"/>
          <w:b w:val="0"/>
          <w:sz w:val="24"/>
        </w:rPr>
        <w:t>—</w:t>
      </w:r>
    </w:p>
    <w:p>
      <w:r>
        <w:rPr>
          <w:rFonts w:ascii="Times New Roman" w:hAnsi="Times New Roman" w:eastAsia="Times New Roman"/>
          <w:b w:val="0"/>
          <w:sz w:val="24"/>
        </w:rPr>
        <w:t>2,405 mW</w:t>
      </w:r>
    </w:p>
    <w:p>
      <w:r>
        <w:rPr>
          <w:rFonts w:ascii="Times New Roman" w:hAnsi="Times New Roman" w:eastAsia="Times New Roman"/>
          <w:b w:val="0"/>
          <w:sz w:val="24"/>
        </w:rPr>
        <w:t>Battery capacity</w:t>
      </w:r>
    </w:p>
    <w:p>
      <w:r>
        <w:rPr>
          <w:rFonts w:ascii="Times New Roman" w:hAnsi="Times New Roman" w:eastAsia="Times New Roman"/>
          <w:b w:val="0"/>
          <w:sz w:val="24"/>
        </w:rPr>
        <w:t>1800 mAh × 3.7 V = 6,660 mWh</w:t>
      </w:r>
    </w:p>
    <w:p>
      <w:r>
        <w:rPr>
          <w:rFonts w:ascii="Times New Roman" w:hAnsi="Times New Roman" w:eastAsia="Times New Roman"/>
          <w:b w:val="0"/>
          <w:sz w:val="24"/>
        </w:rPr>
        <w:t>~2.77 hr runtime</w:t>
      </w:r>
    </w:p>
    <w:p>
      <w:pPr>
        <w:jc w:val="left"/>
      </w:pPr>
      <w:r>
        <w:rPr>
          <w:rFonts w:ascii="Times New Roman" w:hAnsi="Times New Roman" w:eastAsia="Times New Roman"/>
          <w:b/>
          <w:sz w:val="28"/>
        </w:rPr>
        <w:t>4.2. Sensor Suite</w:t>
      </w:r>
    </w:p>
    <w:p>
      <w:pPr>
        <w:jc w:val="center"/>
      </w:pPr>
      <w:r>
        <w:rPr>
          <w:rFonts w:ascii="Times New Roman" w:hAnsi="Times New Roman" w:eastAsia="Times New Roman"/>
          <w:b/>
          <w:sz w:val="24"/>
        </w:rPr>
        <w:t>Table 5: Sensor Suite Specifications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Sensor</w:t>
            </w:r>
          </w:p>
        </w:tc>
        <w:tc>
          <w:tcPr>
            <w:tcW w:type="dxa" w:w="4320"/>
          </w:tcPr>
          <w:p>
            <w:pPr>
              <w:jc w:val="center"/>
            </w:pPr>
          </w:p>
        </w:tc>
      </w:tr>
      <w:tr>
        <w:tc>
          <w:tcPr>
            <w:tcW w:type="dxa" w:w="4320"/>
          </w:tcPr>
          <w:p>
            <w:pPr>
              <w:jc w:val="center"/>
            </w:pPr>
            <w:r>
              <w:rPr>
                <w:rFonts w:ascii="Times New Roman" w:hAnsi="Times New Roman"/>
                <w:sz w:val="24"/>
              </w:rPr>
              <w:t>Model</w:t>
            </w:r>
          </w:p>
        </w:tc>
        <w:tc>
          <w:tcPr>
            <w:tcW w:type="dxa" w:w="4320"/>
          </w:tcPr>
          <w:p>
            <w:pPr>
              <w:jc w:val="center"/>
            </w:pPr>
          </w:p>
        </w:tc>
      </w:tr>
      <w:tr>
        <w:tc>
          <w:tcPr>
            <w:tcW w:type="dxa" w:w="4320"/>
          </w:tcPr>
          <w:p>
            <w:pPr>
              <w:jc w:val="center"/>
            </w:pPr>
            <w:r>
              <w:rPr>
                <w:rFonts w:ascii="Times New Roman" w:hAnsi="Times New Roman"/>
                <w:sz w:val="24"/>
              </w:rPr>
              <w:t>Measurement</w:t>
            </w:r>
          </w:p>
        </w:tc>
        <w:tc>
          <w:tcPr>
            <w:tcW w:type="dxa" w:w="4320"/>
          </w:tcPr>
          <w:p>
            <w:pPr>
              <w:jc w:val="center"/>
            </w:pPr>
          </w:p>
        </w:tc>
      </w:tr>
      <w:tr>
        <w:tc>
          <w:tcPr>
            <w:tcW w:type="dxa" w:w="4320"/>
          </w:tcPr>
          <w:p>
            <w:pPr>
              <w:jc w:val="center"/>
            </w:pPr>
            <w:r>
              <w:rPr>
                <w:rFonts w:ascii="Times New Roman" w:hAnsi="Times New Roman"/>
                <w:sz w:val="24"/>
              </w:rPr>
              <w:t>Interface</w:t>
            </w:r>
          </w:p>
        </w:tc>
        <w:tc>
          <w:tcPr>
            <w:tcW w:type="dxa" w:w="4320"/>
          </w:tcPr>
          <w:p>
            <w:pPr>
              <w:jc w:val="center"/>
            </w:pPr>
          </w:p>
        </w:tc>
      </w:tr>
      <w:tr>
        <w:tc>
          <w:tcPr>
            <w:tcW w:type="dxa" w:w="4320"/>
          </w:tcPr>
          <w:p>
            <w:pPr>
              <w:jc w:val="center"/>
            </w:pPr>
            <w:r>
              <w:rPr>
                <w:rFonts w:ascii="Times New Roman" w:hAnsi="Times New Roman"/>
                <w:sz w:val="24"/>
              </w:rPr>
              <w:t>Sampling Rate</w:t>
            </w:r>
          </w:p>
        </w:tc>
        <w:tc>
          <w:tcPr>
            <w:tcW w:type="dxa" w:w="4320"/>
          </w:tcPr>
          <w:p>
            <w:pPr>
              <w:jc w:val="center"/>
            </w:pPr>
          </w:p>
        </w:tc>
      </w:tr>
      <w:tr>
        <w:tc>
          <w:tcPr>
            <w:tcW w:type="dxa" w:w="4320"/>
          </w:tcPr>
          <w:p>
            <w:pPr>
              <w:jc w:val="center"/>
            </w:pPr>
            <w:r>
              <w:rPr>
                <w:rFonts w:ascii="Times New Roman" w:hAnsi="Times New Roman"/>
                <w:sz w:val="24"/>
              </w:rPr>
              <w:t>Temperature &amp; Humidity</w:t>
            </w:r>
          </w:p>
        </w:tc>
        <w:tc>
          <w:tcPr>
            <w:tcW w:type="dxa" w:w="4320"/>
          </w:tcPr>
          <w:p>
            <w:pPr>
              <w:jc w:val="center"/>
            </w:pPr>
          </w:p>
        </w:tc>
      </w:tr>
      <w:tr>
        <w:tc>
          <w:tcPr>
            <w:tcW w:type="dxa" w:w="4320"/>
          </w:tcPr>
          <w:p>
            <w:pPr>
              <w:jc w:val="center"/>
            </w:pPr>
            <w:r>
              <w:rPr>
                <w:rFonts w:ascii="Times New Roman" w:hAnsi="Times New Roman"/>
                <w:sz w:val="24"/>
              </w:rPr>
              <w:t>DHT22</w:t>
            </w:r>
          </w:p>
        </w:tc>
        <w:tc>
          <w:tcPr>
            <w:tcW w:type="dxa" w:w="4320"/>
          </w:tcPr>
          <w:p>
            <w:pPr>
              <w:jc w:val="center"/>
            </w:pPr>
          </w:p>
        </w:tc>
      </w:tr>
      <w:tr>
        <w:tc>
          <w:tcPr>
            <w:tcW w:type="dxa" w:w="4320"/>
          </w:tcPr>
          <w:p>
            <w:pPr>
              <w:jc w:val="center"/>
            </w:pPr>
            <w:r>
              <w:rPr>
                <w:rFonts w:ascii="Times New Roman" w:hAnsi="Times New Roman"/>
                <w:sz w:val="24"/>
              </w:rPr>
              <w:t>-40–80°C, 0–100% RH</w:t>
            </w:r>
          </w:p>
        </w:tc>
        <w:tc>
          <w:tcPr>
            <w:tcW w:type="dxa" w:w="4320"/>
          </w:tcPr>
          <w:p>
            <w:pPr>
              <w:jc w:val="center"/>
            </w:pPr>
          </w:p>
        </w:tc>
      </w:tr>
      <w:tr>
        <w:tc>
          <w:tcPr>
            <w:tcW w:type="dxa" w:w="4320"/>
          </w:tcPr>
          <w:p>
            <w:pPr>
              <w:jc w:val="center"/>
            </w:pPr>
            <w:r>
              <w:rPr>
                <w:rFonts w:ascii="Times New Roman" w:hAnsi="Times New Roman"/>
                <w:sz w:val="24"/>
              </w:rPr>
              <w:t>Single-wire</w:t>
            </w:r>
          </w:p>
        </w:tc>
        <w:tc>
          <w:tcPr>
            <w:tcW w:type="dxa" w:w="4320"/>
          </w:tcPr>
          <w:p>
            <w:pPr>
              <w:jc w:val="center"/>
            </w:pPr>
          </w:p>
        </w:tc>
      </w:tr>
    </w:tbl>
    <w:p>
      <w:r>
        <w:rPr>
          <w:rFonts w:ascii="Times New Roman" w:hAnsi="Times New Roman" w:eastAsia="Times New Roman"/>
          <w:b w:val="0"/>
          <w:sz w:val="24"/>
        </w:rPr>
        <w:t>0.5 Hz</w:t>
      </w:r>
    </w:p>
    <w:p>
      <w:r>
        <w:rPr>
          <w:rFonts w:ascii="Times New Roman" w:hAnsi="Times New Roman" w:eastAsia="Times New Roman"/>
          <w:b w:val="0"/>
          <w:sz w:val="24"/>
        </w:rPr>
        <w:t>Radiation Sensor × 2</w:t>
      </w:r>
    </w:p>
    <w:p>
      <w:r>
        <w:rPr>
          <w:rFonts w:ascii="Times New Roman" w:hAnsi="Times New Roman" w:eastAsia="Times New Roman"/>
          <w:b w:val="0"/>
          <w:sz w:val="24"/>
        </w:rPr>
        <w:t>LND 712 GM tube</w:t>
      </w:r>
    </w:p>
    <w:p>
      <w:r>
        <w:rPr>
          <w:rFonts w:ascii="Times New Roman" w:hAnsi="Times New Roman" w:eastAsia="Times New Roman"/>
          <w:b w:val="0"/>
          <w:sz w:val="24"/>
        </w:rPr>
        <w:t>0–10,000 CPM</w:t>
      </w:r>
    </w:p>
    <w:p>
      <w:r>
        <w:rPr>
          <w:rFonts w:ascii="Times New Roman" w:hAnsi="Times New Roman" w:eastAsia="Times New Roman"/>
          <w:b w:val="0"/>
          <w:sz w:val="24"/>
        </w:rPr>
        <w:t>Digital pulse</w:t>
      </w:r>
    </w:p>
    <w:p>
      <w:r>
        <w:rPr>
          <w:rFonts w:ascii="Times New Roman" w:hAnsi="Times New Roman" w:eastAsia="Times New Roman"/>
          <w:b w:val="0"/>
          <w:sz w:val="24"/>
        </w:rPr>
        <w:t>1/60 Hz (1 min avg)</w:t>
      </w:r>
    </w:p>
    <w:p>
      <w:r>
        <w:rPr>
          <w:rFonts w:ascii="Times New Roman" w:hAnsi="Times New Roman" w:eastAsia="Times New Roman"/>
          <w:b w:val="0"/>
          <w:sz w:val="24"/>
        </w:rPr>
        <w:t>Camera (biomass proxy)</w:t>
      </w:r>
    </w:p>
    <w:p>
      <w:r>
        <w:rPr>
          <w:rFonts w:ascii="Times New Roman" w:hAnsi="Times New Roman" w:eastAsia="Times New Roman"/>
          <w:b w:val="0"/>
          <w:sz w:val="24"/>
        </w:rPr>
        <w:t>OV5647 (Pi Cam)</w:t>
      </w:r>
    </w:p>
    <w:p>
      <w:r>
        <w:rPr>
          <w:rFonts w:ascii="Times New Roman" w:hAnsi="Times New Roman" w:eastAsia="Times New Roman"/>
          <w:b w:val="0"/>
          <w:sz w:val="24"/>
        </w:rPr>
        <w:t>OD600 optical density</w:t>
      </w:r>
    </w:p>
    <w:p>
      <w:r>
        <w:rPr>
          <w:rFonts w:ascii="Times New Roman" w:hAnsi="Times New Roman" w:eastAsia="Times New Roman"/>
          <w:b w:val="0"/>
          <w:sz w:val="24"/>
        </w:rPr>
        <w:t>CSI</w:t>
      </w:r>
    </w:p>
    <w:p>
      <w:r>
        <w:rPr>
          <w:rFonts w:ascii="Times New Roman" w:hAnsi="Times New Roman" w:eastAsia="Times New Roman"/>
          <w:b w:val="0"/>
          <w:sz w:val="24"/>
        </w:rPr>
        <w:t>1/3600 Hz (1 hr)</w:t>
      </w:r>
    </w:p>
    <w:p>
      <w:r>
        <w:rPr>
          <w:rFonts w:ascii="Times New Roman" w:hAnsi="Times New Roman" w:eastAsia="Times New Roman"/>
          <w:b w:val="0"/>
          <w:sz w:val="24"/>
        </w:rPr>
        <w:t>Real-time clock</w:t>
      </w:r>
    </w:p>
    <w:p>
      <w:r>
        <w:rPr>
          <w:rFonts w:ascii="Times New Roman" w:hAnsi="Times New Roman" w:eastAsia="Times New Roman"/>
          <w:b w:val="0"/>
          <w:sz w:val="24"/>
        </w:rPr>
        <w:t>DS3231</w:t>
      </w:r>
    </w:p>
    <w:p>
      <w:r>
        <w:rPr>
          <w:rFonts w:ascii="Times New Roman" w:hAnsi="Times New Roman" w:eastAsia="Times New Roman"/>
          <w:b w:val="0"/>
          <w:sz w:val="24"/>
        </w:rPr>
        <w:t>Timestamp, ±2 ppm</w:t>
      </w:r>
    </w:p>
    <w:p>
      <w:r>
        <w:rPr>
          <w:rFonts w:ascii="Times New Roman" w:hAnsi="Times New Roman" w:eastAsia="Times New Roman"/>
          <w:b w:val="0"/>
          <w:sz w:val="24"/>
        </w:rPr>
        <w:t>I²C</w:t>
      </w:r>
    </w:p>
    <w:p>
      <w:r>
        <w:rPr>
          <w:rFonts w:ascii="Times New Roman" w:hAnsi="Times New Roman" w:eastAsia="Times New Roman"/>
          <w:b w:val="0"/>
          <w:sz w:val="24"/>
        </w:rPr>
        <w:t>Continuous</w:t>
      </w:r>
    </w:p>
    <w:p>
      <w:pPr>
        <w:jc w:val="left"/>
      </w:pPr>
      <w:r>
        <w:rPr>
          <w:rFonts w:ascii="Times New Roman" w:hAnsi="Times New Roman" w:eastAsia="Times New Roman"/>
          <w:b/>
          <w:sz w:val="28"/>
        </w:rPr>
        <w:t>4.3. Electronics Simulation (Wokwi)</w:t>
      </w:r>
    </w:p>
    <w:p>
      <w:r>
        <w:rPr>
          <w:rFonts w:ascii="Times New Roman" w:hAnsi="Times New Roman" w:eastAsia="Times New Roman"/>
          <w:b w:val="0"/>
          <w:sz w:val="24"/>
        </w:rPr>
        <w:t>The control electronics were simulated using the Wokwi online circuit simulator (wokwi.com) running an Arduino Uno microcontroller sketch. The simulation implements the hysteresis control loop in real time, with a potentiometer substituting for the Geiger-Muller tube output (0-700 uGy/hr range), a DHT22 sensor providing temperature and humidity readings, two LED indicators showing valve state, and an I2C LCD displaying live readings. Serial output in CSV format allows the simulation data to be captured for integration with the Python pipeline.</w:t>
      </w:r>
    </w:p>
    <w:tbl>
      <w:tblPr>
        <w:tblW w:type="auto" w:w="0"/>
        <w:jc w:val="center"/>
        <w:tblLook w:firstColumn="1" w:firstRow="1" w:lastColumn="0" w:lastRow="0" w:noHBand="0" w:noVBand="1" w:val="04A0"/>
      </w:tblPr>
      <w:tblGrid>
        <w:gridCol w:w="8640"/>
      </w:tblGrid>
      <w:tr>
        <w:tc>
          <w:tcPr>
            <w:tcW w:type="dxa" w:w="8640"/>
          </w:tcPr>
          <w:p>
            <w:pPr>
              <w:jc w:val="center"/>
            </w:pPr>
            <w:r>
              <w:drawing>
                <wp:inline xmlns:a="http://schemas.openxmlformats.org/drawingml/2006/main" xmlns:pic="http://schemas.openxmlformats.org/drawingml/2006/picture">
                  <wp:extent cx="4572000" cy="2091624"/>
                  <wp:docPr id="1" name="Picture 1"/>
                  <wp:cNvGraphicFramePr>
                    <a:graphicFrameLocks noChangeAspect="1"/>
                  </wp:cNvGraphicFramePr>
                  <a:graphic>
                    <a:graphicData uri="http://schemas.openxmlformats.org/drawingml/2006/picture">
                      <pic:pic>
                        <pic:nvPicPr>
                          <pic:cNvPr id="0" name="wokwi_pico_normal.png"/>
                          <pic:cNvPicPr/>
                        </pic:nvPicPr>
                        <pic:blipFill>
                          <a:blip r:embed="rId9"/>
                          <a:stretch>
                            <a:fillRect/>
                          </a:stretch>
                        </pic:blipFill>
                        <pic:spPr>
                          <a:xfrm>
                            <a:off x="0" y="0"/>
                            <a:ext cx="4572000" cy="2091624"/>
                          </a:xfrm>
                          <a:prstGeom prst="rect"/>
                        </pic:spPr>
                      </pic:pic>
                    </a:graphicData>
                  </a:graphic>
                </wp:inline>
              </w:drawing>
            </w:r>
          </w:p>
        </w:tc>
      </w:tr>
      <w:tr>
        <w:tc>
          <w:tcPr>
            <w:tcW w:type="dxa" w:w="8640"/>
          </w:tcPr>
          <w:p>
            <w:pPr>
              <w:jc w:val="center"/>
            </w:pPr>
            <w:r>
              <w:rPr>
                <w:rFonts w:ascii="Times New Roman" w:hAnsi="Times New Roman" w:eastAsia="Times New Roman"/>
                <w:b w:val="0"/>
                <w:sz w:val="20"/>
              </w:rPr>
              <w:t>Fig 6: Valve CLOSED — F:150 uGy/hr (GCR background, green LED on)</w:t>
            </w:r>
          </w:p>
        </w:tc>
      </w:tr>
    </w:tbl>
    <w:tbl>
      <w:tblPr>
        <w:tblW w:type="auto" w:w="0"/>
        <w:jc w:val="center"/>
        <w:tblLook w:firstColumn="1" w:firstRow="1" w:lastColumn="0" w:lastRow="0" w:noHBand="0" w:noVBand="1" w:val="04A0"/>
      </w:tblPr>
      <w:tblGrid>
        <w:gridCol w:w="8640"/>
      </w:tblGrid>
      <w:tr>
        <w:tc>
          <w:tcPr>
            <w:tcW w:type="dxa" w:w="8640"/>
          </w:tcPr>
          <w:p>
            <w:pPr>
              <w:jc w:val="center"/>
            </w:pPr>
            <w:r>
              <w:drawing>
                <wp:inline xmlns:a="http://schemas.openxmlformats.org/drawingml/2006/main" xmlns:pic="http://schemas.openxmlformats.org/drawingml/2006/picture">
                  <wp:extent cx="4572000" cy="2125014"/>
                  <wp:docPr id="2" name="Picture 2"/>
                  <wp:cNvGraphicFramePr>
                    <a:graphicFrameLocks noChangeAspect="1"/>
                  </wp:cNvGraphicFramePr>
                  <a:graphic>
                    <a:graphicData uri="http://schemas.openxmlformats.org/drawingml/2006/picture">
                      <pic:pic>
                        <pic:nvPicPr>
                          <pic:cNvPr id="0" name="wokwi_pico_triggered.png"/>
                          <pic:cNvPicPr/>
                        </pic:nvPicPr>
                        <pic:blipFill>
                          <a:blip r:embed="rId10"/>
                          <a:stretch>
                            <a:fillRect/>
                          </a:stretch>
                        </pic:blipFill>
                        <pic:spPr>
                          <a:xfrm>
                            <a:off x="0" y="0"/>
                            <a:ext cx="4572000" cy="2125014"/>
                          </a:xfrm>
                          <a:prstGeom prst="rect"/>
                        </pic:spPr>
                      </pic:pic>
                    </a:graphicData>
                  </a:graphic>
                </wp:inline>
              </w:drawing>
            </w:r>
          </w:p>
        </w:tc>
      </w:tr>
      <w:tr>
        <w:tc>
          <w:tcPr>
            <w:tcW w:type="dxa" w:w="8640"/>
          </w:tcPr>
          <w:p>
            <w:pPr>
              <w:jc w:val="center"/>
            </w:pPr>
            <w:r>
              <w:rPr>
                <w:rFonts w:ascii="Times New Roman" w:hAnsi="Times New Roman" w:eastAsia="Times New Roman"/>
                <w:b w:val="0"/>
                <w:sz w:val="20"/>
              </w:rPr>
              <w:t>Fig 7: Valve OPEN triggered — F:522 uGy/hr (exceeded 500 uGy/hr threshold, red LED on)</w:t>
            </w:r>
          </w:p>
        </w:tc>
      </w:tr>
    </w:tbl>
    <w:tbl>
      <w:tblPr>
        <w:tblW w:type="auto" w:w="0"/>
        <w:jc w:val="center"/>
        <w:tblLook w:firstColumn="1" w:firstRow="1" w:lastColumn="0" w:lastRow="0" w:noHBand="0" w:noVBand="1" w:val="04A0"/>
      </w:tblPr>
      <w:tblGrid>
        <w:gridCol w:w="8640"/>
      </w:tblGrid>
      <w:tr>
        <w:tc>
          <w:tcPr>
            <w:tcW w:type="dxa" w:w="8640"/>
          </w:tcPr>
          <w:p>
            <w:pPr>
              <w:jc w:val="center"/>
            </w:pPr>
            <w:r>
              <w:drawing>
                <wp:inline xmlns:a="http://schemas.openxmlformats.org/drawingml/2006/main" xmlns:pic="http://schemas.openxmlformats.org/drawingml/2006/picture">
                  <wp:extent cx="4572000" cy="2115474"/>
                  <wp:docPr id="3" name="Picture 3"/>
                  <wp:cNvGraphicFramePr>
                    <a:graphicFrameLocks noChangeAspect="1"/>
                  </wp:cNvGraphicFramePr>
                  <a:graphic>
                    <a:graphicData uri="http://schemas.openxmlformats.org/drawingml/2006/picture">
                      <pic:pic>
                        <pic:nvPicPr>
                          <pic:cNvPr id="0" name="wokwi_pico_high_rad.png"/>
                          <pic:cNvPicPr/>
                        </pic:nvPicPr>
                        <pic:blipFill>
                          <a:blip r:embed="rId11"/>
                          <a:stretch>
                            <a:fillRect/>
                          </a:stretch>
                        </pic:blipFill>
                        <pic:spPr>
                          <a:xfrm>
                            <a:off x="0" y="0"/>
                            <a:ext cx="4572000" cy="2115474"/>
                          </a:xfrm>
                          <a:prstGeom prst="rect"/>
                        </pic:spPr>
                      </pic:pic>
                    </a:graphicData>
                  </a:graphic>
                </wp:inline>
              </w:drawing>
            </w:r>
          </w:p>
        </w:tc>
      </w:tr>
      <w:tr>
        <w:tc>
          <w:tcPr>
            <w:tcW w:type="dxa" w:w="8640"/>
          </w:tcPr>
          <w:p>
            <w:pPr>
              <w:jc w:val="center"/>
            </w:pPr>
            <w:r>
              <w:rPr>
                <w:rFonts w:ascii="Times New Roman" w:hAnsi="Times New Roman" w:eastAsia="Times New Roman"/>
                <w:b w:val="0"/>
                <w:sz w:val="20"/>
              </w:rPr>
              <w:t>Fig 8: Valve OPEN holding — F:516 uGy/hr (deadband, valve holds OPEN until &lt;350)</w:t>
            </w:r>
          </w:p>
        </w:tc>
      </w:tr>
    </w:tbl>
    <w:p>
      <w:pPr>
        <w:jc w:val="left"/>
      </w:pPr>
      <w:r>
        <w:rPr>
          <w:rFonts w:ascii="Times New Roman" w:hAnsi="Times New Roman" w:eastAsia="Times New Roman"/>
          <w:b/>
          <w:sz w:val="32"/>
        </w:rPr>
        <w:t>5. Mathematical &amp; Computational Models</w:t>
      </w:r>
    </w:p>
    <w:p>
      <w:pPr>
        <w:jc w:val="left"/>
      </w:pPr>
      <w:r>
        <w:rPr>
          <w:rFonts w:ascii="Times New Roman" w:hAnsi="Times New Roman" w:eastAsia="Times New Roman"/>
          <w:b/>
          <w:sz w:val="28"/>
        </w:rPr>
        <w:t>5.1. Logistic Growth Model</w:t>
      </w:r>
    </w:p>
    <w:p>
      <w:r>
        <w:rPr>
          <w:rFonts w:ascii="Times New Roman" w:hAnsi="Times New Roman" w:eastAsia="Times New Roman"/>
          <w:b w:val="0"/>
          <w:sz w:val="24"/>
        </w:rPr>
        <w:t>Fungal biomass growth in a nutrient-limited closed system follows a logistic (Verhulst) growth curve, characterised by an initial exponential phase followed by deceleration as the population approaches the carrying capacity K. The governing Ordinary Differential Equation (ODE) is:</w:t>
      </w:r>
    </w:p>
    <w:p>
      <w:r>
        <w:rPr>
          <w:rFonts w:ascii="Times New Roman" w:hAnsi="Times New Roman" w:eastAsia="Times New Roman"/>
          <w:b w:val="0"/>
          <w:sz w:val="24"/>
        </w:rPr>
        <w:t>dN/dt = r . N . (1 - N/K)                          [Equation 1]</w:t>
      </w:r>
    </w:p>
    <w:p>
      <w:r>
        <w:rPr>
          <w:rFonts w:ascii="Times New Roman" w:hAnsi="Times New Roman" w:eastAsia="Times New Roman"/>
          <w:b w:val="0"/>
          <w:sz w:val="24"/>
        </w:rPr>
        <w:t>Where:</w:t>
      </w:r>
    </w:p>
    <w:p>
      <w:r>
        <w:rPr>
          <w:rFonts w:ascii="Times New Roman" w:hAnsi="Times New Roman" w:eastAsia="Times New Roman"/>
          <w:b w:val="0"/>
          <w:sz w:val="24"/>
        </w:rPr>
        <w:t>• N(t) = biomass concentration [g/L] at time t</w:t>
      </w:r>
    </w:p>
    <w:p>
      <w:r>
        <w:rPr>
          <w:rFonts w:ascii="Times New Roman" w:hAnsi="Times New Roman" w:eastAsia="Times New Roman"/>
          <w:b w:val="0"/>
          <w:sz w:val="24"/>
        </w:rPr>
        <w:t>• r = intrinsic growth rate [h^-1]</w:t>
      </w:r>
    </w:p>
    <w:p>
      <w:r>
        <w:rPr>
          <w:rFonts w:ascii="Times New Roman" w:hAnsi="Times New Roman" w:eastAsia="Times New Roman"/>
          <w:b w:val="0"/>
          <w:sz w:val="24"/>
        </w:rPr>
        <w:t>• K = carrying capacity [g/L]</w:t>
      </w:r>
    </w:p>
    <w:p>
      <w:r>
        <w:rPr>
          <w:rFonts w:ascii="Times New Roman" w:hAnsi="Times New Roman" w:eastAsia="Times New Roman"/>
          <w:b w:val="0"/>
          <w:sz w:val="24"/>
        </w:rPr>
        <w:t>• N0 = initial inoculation density = 0.01 g/L</w:t>
      </w:r>
    </w:p>
    <w:p>
      <w:r>
        <w:rPr>
          <w:rFonts w:ascii="Times New Roman" w:hAnsi="Times New Roman" w:eastAsia="Times New Roman"/>
          <w:b w:val="0"/>
          <w:sz w:val="24"/>
        </w:rPr>
        <w:t>For C. sphaerospermum in microgravity, the growth rate r = 0.299 h^-1 was directly measured by Shunk et al. (2020) aboard the ISS using time-lapse photography. This value is notably 23% higher than the Earth-gravity value (r approx. 0.243 h^-1), suggesting that microgravity may stimulate fungal growth kinetics — potentially due to altered nutrient transport mechanisms in the absence of buoyancy-driven convection. The growth rate for W. dermatitidis (r = 0.270 h^-1) is estimated from Dadachova et al. (2008).</w:t>
      </w:r>
    </w:p>
    <w:p>
      <w:r>
        <w:rPr>
          <w:rFonts w:ascii="Times New Roman" w:hAnsi="Times New Roman" w:eastAsia="Times New Roman"/>
          <w:b w:val="0"/>
          <w:sz w:val="24"/>
        </w:rPr>
        <w:t>The ODE is solved numerically using the Runge-Kutta 4th/5th order (RK45) adaptive step-size integrator implemented via scipy.integrate.solve_ivp. The valve state modulates the effective growth rate: when the nutrient valve is OPEN (valve_state = 1, indicating elevated radiation), nutrient delivery is partially restricted, reducing r by 50% (r_eff = 0.5r).</w:t>
      </w:r>
    </w:p>
    <w:p>
      <w:pPr>
        <w:jc w:val="left"/>
      </w:pPr>
      <w:r>
        <w:rPr>
          <w:rFonts w:ascii="Times New Roman" w:hAnsi="Times New Roman" w:eastAsia="Times New Roman"/>
          <w:b/>
          <w:sz w:val="28"/>
        </w:rPr>
        <w:t>5.2. Melanin Thickness Proxy</w:t>
      </w:r>
    </w:p>
    <w:p>
      <w:r>
        <w:rPr>
          <w:rFonts w:ascii="Times New Roman" w:hAnsi="Times New Roman" w:eastAsia="Times New Roman"/>
          <w:b w:val="0"/>
          <w:sz w:val="24"/>
        </w:rPr>
        <w:t>The effective melanin shielding layer thickness delta(t) is linearly proportional to the fungal biomass N(t), with the proportionality constant alpha representing the calibrated melanin layer thickness per unit biomass:</w:t>
      </w:r>
    </w:p>
    <w:p>
      <w:r>
        <w:rPr>
          <w:rFonts w:ascii="Times New Roman" w:hAnsi="Times New Roman" w:eastAsia="Times New Roman"/>
          <w:b w:val="0"/>
          <w:sz w:val="24"/>
        </w:rPr>
        <w:t>delta(t) = alpha . N(t)     [cm]                   [Equation 2]</w:t>
      </w:r>
    </w:p>
    <w:p>
      <w:r>
        <w:rPr>
          <w:rFonts w:ascii="Times New Roman" w:hAnsi="Times New Roman" w:eastAsia="Times New Roman"/>
          <w:b w:val="0"/>
          <w:sz w:val="24"/>
        </w:rPr>
        <w:t>The calibration constant alpha is derived by requiring that at peak biomass (N = K = 1.0 g/L), the Beer-Lambert attenuation for CH-2 equals 2.17%:</w:t>
      </w:r>
    </w:p>
    <w:p>
      <w:r>
        <w:rPr>
          <w:rFonts w:ascii="Times New Roman" w:hAnsi="Times New Roman" w:eastAsia="Times New Roman"/>
          <w:b w:val="0"/>
          <w:sz w:val="24"/>
        </w:rPr>
        <w:t>alpha_CH2 = -ln(1 - 0.0217) / (mu x rho) = 0.3645 cm.L/g   [Equation 3]</w:t>
      </w:r>
    </w:p>
    <w:p>
      <w:r>
        <w:rPr>
          <w:rFonts w:ascii="Times New Roman" w:hAnsi="Times New Roman" w:eastAsia="Times New Roman"/>
          <w:b w:val="0"/>
          <w:sz w:val="24"/>
        </w:rPr>
        <w:t>For W. dermatitidis (CH-3), the higher melanin density reported by Dadachova et al. (2008) — approximately 15% higher than C. sphaerospermum on a per-biomass basis — yields: alpha_CH3 = 0.4192 cm.L/g.</w:t>
      </w:r>
    </w:p>
    <w:p>
      <w:pPr>
        <w:jc w:val="left"/>
      </w:pPr>
      <w:r>
        <w:rPr>
          <w:rFonts w:ascii="Times New Roman" w:hAnsi="Times New Roman" w:eastAsia="Times New Roman"/>
          <w:b/>
          <w:sz w:val="28"/>
        </w:rPr>
        <w:t>5.3. Beer-Lambert Radiation Attenuation</w:t>
      </w:r>
    </w:p>
    <w:p>
      <w:r>
        <w:rPr>
          <w:rFonts w:ascii="Times New Roman" w:hAnsi="Times New Roman" w:eastAsia="Times New Roman"/>
          <w:b w:val="0"/>
          <w:sz w:val="24"/>
        </w:rPr>
        <w:t>The radiation flux transmitted through a melanin layer of thickness delta(t) follows the Beer-Lambert Law for ionising radiation attenuation in a homogeneous absorbing medium:</w:t>
      </w:r>
    </w:p>
    <w:p>
      <w:r>
        <w:rPr>
          <w:rFonts w:ascii="Times New Roman" w:hAnsi="Times New Roman" w:eastAsia="Times New Roman"/>
          <w:b w:val="0"/>
          <w:sz w:val="24"/>
        </w:rPr>
        <w:t>I(t) = I0(t) . exp(-mu . rho . delta(t))          [Equation 4]</w:t>
      </w:r>
    </w:p>
    <w:p>
      <w:r>
        <w:rPr>
          <w:rFonts w:ascii="Times New Roman" w:hAnsi="Times New Roman" w:eastAsia="Times New Roman"/>
          <w:b w:val="0"/>
          <w:sz w:val="24"/>
        </w:rPr>
        <w:t>Attn%(t) = [I0(t) - I(t)] / I0(t) x 100          [Equation 5]</w:t>
      </w:r>
    </w:p>
    <w:p>
      <w:pPr>
        <w:jc w:val="center"/>
      </w:pPr>
      <w:r>
        <w:rPr>
          <w:rFonts w:ascii="Times New Roman" w:hAnsi="Times New Roman" w:eastAsia="Times New Roman"/>
          <w:b/>
          <w:sz w:val="24"/>
        </w:rPr>
        <w:t>Table 6: Beer-Lambert Physical Parameters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Parameter</w:t>
            </w:r>
          </w:p>
        </w:tc>
        <w:tc>
          <w:tcPr>
            <w:tcW w:type="dxa" w:w="4320"/>
          </w:tcPr>
          <w:p>
            <w:pPr>
              <w:jc w:val="center"/>
            </w:pPr>
          </w:p>
        </w:tc>
      </w:tr>
      <w:tr>
        <w:tc>
          <w:tcPr>
            <w:tcW w:type="dxa" w:w="4320"/>
          </w:tcPr>
          <w:p>
            <w:pPr>
              <w:jc w:val="center"/>
            </w:pPr>
            <w:r>
              <w:rPr>
                <w:rFonts w:ascii="Times New Roman" w:hAnsi="Times New Roman"/>
                <w:sz w:val="24"/>
              </w:rPr>
              <w:t>Symbol</w:t>
            </w:r>
          </w:p>
        </w:tc>
        <w:tc>
          <w:tcPr>
            <w:tcW w:type="dxa" w:w="4320"/>
          </w:tcPr>
          <w:p>
            <w:pPr>
              <w:jc w:val="center"/>
            </w:pPr>
          </w:p>
        </w:tc>
      </w:tr>
      <w:tr>
        <w:tc>
          <w:tcPr>
            <w:tcW w:type="dxa" w:w="4320"/>
          </w:tcPr>
          <w:p>
            <w:pPr>
              <w:jc w:val="center"/>
            </w:pPr>
            <w:r>
              <w:rPr>
                <w:rFonts w:ascii="Times New Roman" w:hAnsi="Times New Roman"/>
                <w:sz w:val="24"/>
              </w:rPr>
              <w:t>CH-2 (C. sphaerospermum)</w:t>
            </w:r>
          </w:p>
        </w:tc>
        <w:tc>
          <w:tcPr>
            <w:tcW w:type="dxa" w:w="4320"/>
          </w:tcPr>
          <w:p>
            <w:pPr>
              <w:jc w:val="center"/>
            </w:pPr>
          </w:p>
        </w:tc>
      </w:tr>
      <w:tr>
        <w:tc>
          <w:tcPr>
            <w:tcW w:type="dxa" w:w="4320"/>
          </w:tcPr>
          <w:p>
            <w:pPr>
              <w:jc w:val="center"/>
            </w:pPr>
            <w:r>
              <w:rPr>
                <w:rFonts w:ascii="Times New Roman" w:hAnsi="Times New Roman"/>
                <w:sz w:val="24"/>
              </w:rPr>
              <w:t>CH-3 (W. dermatitidis)</w:t>
            </w:r>
          </w:p>
        </w:tc>
        <w:tc>
          <w:tcPr>
            <w:tcW w:type="dxa" w:w="4320"/>
          </w:tcPr>
          <w:p>
            <w:pPr>
              <w:jc w:val="center"/>
            </w:pPr>
          </w:p>
        </w:tc>
      </w:tr>
      <w:tr>
        <w:tc>
          <w:tcPr>
            <w:tcW w:type="dxa" w:w="4320"/>
          </w:tcPr>
          <w:p>
            <w:pPr>
              <w:jc w:val="center"/>
            </w:pPr>
            <w:r>
              <w:rPr>
                <w:rFonts w:ascii="Times New Roman" w:hAnsi="Times New Roman"/>
                <w:sz w:val="24"/>
              </w:rPr>
              <w:t>Source</w:t>
            </w:r>
          </w:p>
        </w:tc>
        <w:tc>
          <w:tcPr>
            <w:tcW w:type="dxa" w:w="4320"/>
          </w:tcPr>
          <w:p>
            <w:pPr>
              <w:jc w:val="center"/>
            </w:pPr>
          </w:p>
        </w:tc>
      </w:tr>
      <w:tr>
        <w:tc>
          <w:tcPr>
            <w:tcW w:type="dxa" w:w="4320"/>
          </w:tcPr>
          <w:p>
            <w:pPr>
              <w:jc w:val="center"/>
            </w:pPr>
            <w:r>
              <w:rPr>
                <w:rFonts w:ascii="Times New Roman" w:hAnsi="Times New Roman"/>
                <w:sz w:val="24"/>
              </w:rPr>
              <w:t>Mass attenuation coefficient</w:t>
            </w:r>
          </w:p>
        </w:tc>
        <w:tc>
          <w:tcPr>
            <w:tcW w:type="dxa" w:w="4320"/>
          </w:tcPr>
          <w:p>
            <w:pPr>
              <w:jc w:val="center"/>
            </w:pPr>
          </w:p>
        </w:tc>
      </w:tr>
      <w:tr>
        <w:tc>
          <w:tcPr>
            <w:tcW w:type="dxa" w:w="4320"/>
          </w:tcPr>
          <w:p>
            <w:pPr>
              <w:jc w:val="center"/>
            </w:pPr>
            <w:r>
              <w:rPr>
                <w:rFonts w:ascii="Times New Roman" w:hAnsi="Times New Roman"/>
                <w:sz w:val="24"/>
              </w:rPr>
              <w:t>μ</w:t>
            </w:r>
          </w:p>
        </w:tc>
        <w:tc>
          <w:tcPr>
            <w:tcW w:type="dxa" w:w="4320"/>
          </w:tcPr>
          <w:p>
            <w:pPr>
              <w:jc w:val="center"/>
            </w:pPr>
          </w:p>
        </w:tc>
      </w:tr>
    </w:tbl>
    <w:p>
      <w:r>
        <w:rPr>
          <w:rFonts w:ascii="Times New Roman" w:hAnsi="Times New Roman" w:eastAsia="Times New Roman"/>
          <w:b w:val="0"/>
          <w:sz w:val="24"/>
        </w:rPr>
        <w:t>0.043 cm²/g</w:t>
      </w:r>
    </w:p>
    <w:p>
      <w:r>
        <w:rPr>
          <w:rFonts w:ascii="Times New Roman" w:hAnsi="Times New Roman" w:eastAsia="Times New Roman"/>
          <w:b w:val="0"/>
          <w:sz w:val="24"/>
        </w:rPr>
        <w:t>0.043 cm²/g</w:t>
      </w:r>
    </w:p>
    <w:p>
      <w:r>
        <w:rPr>
          <w:rFonts w:ascii="Times New Roman" w:hAnsi="Times New Roman" w:eastAsia="Times New Roman"/>
          <w:b w:val="0"/>
          <w:sz w:val="24"/>
        </w:rPr>
        <w:t>Dadachova et al. (2008)</w:t>
      </w:r>
    </w:p>
    <w:p>
      <w:r>
        <w:rPr>
          <w:rFonts w:ascii="Times New Roman" w:hAnsi="Times New Roman" w:eastAsia="Times New Roman"/>
          <w:b w:val="0"/>
          <w:sz w:val="24"/>
        </w:rPr>
        <w:t>Melanin density</w:t>
      </w:r>
    </w:p>
    <w:p>
      <w:r>
        <w:rPr>
          <w:rFonts w:ascii="Times New Roman" w:hAnsi="Times New Roman" w:eastAsia="Times New Roman"/>
          <w:b w:val="0"/>
          <w:sz w:val="24"/>
        </w:rPr>
        <w:t>ρ</w:t>
      </w:r>
    </w:p>
    <w:p>
      <w:r>
        <w:rPr>
          <w:rFonts w:ascii="Times New Roman" w:hAnsi="Times New Roman" w:eastAsia="Times New Roman"/>
          <w:b w:val="0"/>
          <w:sz w:val="24"/>
        </w:rPr>
        <w:t>1.40 g/cm³</w:t>
      </w:r>
    </w:p>
    <w:p>
      <w:r>
        <w:rPr>
          <w:rFonts w:ascii="Times New Roman" w:hAnsi="Times New Roman" w:eastAsia="Times New Roman"/>
          <w:b w:val="0"/>
          <w:sz w:val="24"/>
        </w:rPr>
        <w:t>1.45 g/cm³</w:t>
      </w:r>
    </w:p>
    <w:p>
      <w:r>
        <w:rPr>
          <w:rFonts w:ascii="Times New Roman" w:hAnsi="Times New Roman" w:eastAsia="Times New Roman"/>
          <w:b w:val="0"/>
          <w:sz w:val="24"/>
        </w:rPr>
        <w:t>Bryan &amp; Casadevall (2014)</w:t>
      </w:r>
    </w:p>
    <w:p>
      <w:r>
        <w:rPr>
          <w:rFonts w:ascii="Times New Roman" w:hAnsi="Times New Roman" w:eastAsia="Times New Roman"/>
          <w:b w:val="0"/>
          <w:sz w:val="24"/>
        </w:rPr>
        <w:t>Calibrated thickness constant</w:t>
      </w:r>
    </w:p>
    <w:p>
      <w:r>
        <w:rPr>
          <w:rFonts w:ascii="Times New Roman" w:hAnsi="Times New Roman" w:eastAsia="Times New Roman"/>
          <w:b w:val="0"/>
          <w:sz w:val="24"/>
        </w:rPr>
        <w:t>α</w:t>
      </w:r>
    </w:p>
    <w:p>
      <w:r>
        <w:rPr>
          <w:rFonts w:ascii="Times New Roman" w:hAnsi="Times New Roman" w:eastAsia="Times New Roman"/>
          <w:b w:val="0"/>
          <w:sz w:val="24"/>
        </w:rPr>
        <w:t>0.3645 cm·L/g</w:t>
      </w:r>
    </w:p>
    <w:p>
      <w:r>
        <w:rPr>
          <w:rFonts w:ascii="Times New Roman" w:hAnsi="Times New Roman" w:eastAsia="Times New Roman"/>
          <w:b w:val="0"/>
          <w:sz w:val="24"/>
        </w:rPr>
        <w:t>0.4192 cm·L/g</w:t>
      </w:r>
    </w:p>
    <w:p>
      <w:r>
        <w:rPr>
          <w:rFonts w:ascii="Times New Roman" w:hAnsi="Times New Roman" w:eastAsia="Times New Roman"/>
          <w:b w:val="0"/>
          <w:sz w:val="24"/>
        </w:rPr>
        <w:t>Calibrated to Shunk 2020</w:t>
      </w:r>
    </w:p>
    <w:p>
      <w:r>
        <w:rPr>
          <w:rFonts w:ascii="Times New Roman" w:hAnsi="Times New Roman" w:eastAsia="Times New Roman"/>
          <w:b w:val="0"/>
          <w:sz w:val="24"/>
        </w:rPr>
        <w:t>Expected peak Attn%</w:t>
      </w:r>
    </w:p>
    <w:p>
      <w:r>
        <w:rPr>
          <w:rFonts w:ascii="Times New Roman" w:hAnsi="Times New Roman" w:eastAsia="Times New Roman"/>
          <w:b w:val="0"/>
          <w:sz w:val="24"/>
        </w:rPr>
        <w:t>—</w:t>
      </w:r>
    </w:p>
    <w:p>
      <w:r>
        <w:rPr>
          <w:rFonts w:ascii="Times New Roman" w:hAnsi="Times New Roman" w:eastAsia="Times New Roman"/>
          <w:b w:val="0"/>
          <w:sz w:val="24"/>
        </w:rPr>
        <w:t>2.17%</w:t>
      </w:r>
    </w:p>
    <w:p>
      <w:r>
        <w:rPr>
          <w:rFonts w:ascii="Times New Roman" w:hAnsi="Times New Roman" w:eastAsia="Times New Roman"/>
          <w:b w:val="0"/>
          <w:sz w:val="24"/>
        </w:rPr>
        <w:t>~2.5%</w:t>
      </w:r>
    </w:p>
    <w:p>
      <w:r>
        <w:rPr>
          <w:rFonts w:ascii="Times New Roman" w:hAnsi="Times New Roman" w:eastAsia="Times New Roman"/>
          <w:b w:val="0"/>
          <w:sz w:val="24"/>
        </w:rPr>
        <w:t>ISS reference / predicted</w:t>
      </w:r>
    </w:p>
    <w:p>
      <w:pPr>
        <w:jc w:val="left"/>
      </w:pPr>
      <w:r>
        <w:rPr>
          <w:rFonts w:ascii="Times New Roman" w:hAnsi="Times New Roman" w:eastAsia="Times New Roman"/>
          <w:b/>
          <w:sz w:val="28"/>
        </w:rPr>
        <w:t>5.4. Hysteresis Control Logic</w:t>
      </w:r>
    </w:p>
    <w:p>
      <w:r>
        <w:rPr>
          <w:rFonts w:ascii="Times New Roman" w:hAnsi="Times New Roman" w:eastAsia="Times New Roman"/>
          <w:b w:val="0"/>
          <w:sz w:val="24"/>
        </w:rPr>
        <w:t>A two-threshold hysteresis controller governs the nutrient valve state based on the instantaneous radiation flux. Unlike a PID controller, the hysteresis controller avoids rapid state oscillation (valve chatter) in the deadband zone (350-500 uGy/hr):</w:t>
      </w:r>
    </w:p>
    <w:p>
      <w:r>
        <w:rPr>
          <w:rFonts w:ascii="Times New Roman" w:hAnsi="Times New Roman" w:eastAsia="Times New Roman"/>
          <w:b w:val="0"/>
          <w:sz w:val="24"/>
        </w:rPr>
        <w:t>valve_state = OPEN   if flux &gt; 500 uGy/hr</w:t>
      </w:r>
    </w:p>
    <w:p>
      <w:r>
        <w:rPr>
          <w:rFonts w:ascii="Times New Roman" w:hAnsi="Times New Roman" w:eastAsia="Times New Roman"/>
          <w:b w:val="0"/>
          <w:sz w:val="24"/>
        </w:rPr>
        <w:t>valve_state = CLOSED if flux &lt; 350 uGy/hr</w:t>
      </w:r>
    </w:p>
    <w:p>
      <w:r>
        <w:rPr>
          <w:rFonts w:ascii="Times New Roman" w:hAnsi="Times New Roman" w:eastAsia="Times New Roman"/>
          <w:b w:val="0"/>
          <w:sz w:val="24"/>
        </w:rPr>
        <w:t>valve_state = HOLD   otherwise (deadband)      [Equation 6]</w:t>
      </w:r>
    </w:p>
    <w:tbl>
      <w:tblPr>
        <w:tblW w:type="auto" w:w="0"/>
        <w:jc w:val="center"/>
        <w:tblLook w:firstColumn="1" w:firstRow="1" w:lastColumn="0" w:lastRow="0" w:noHBand="0" w:noVBand="1" w:val="04A0"/>
      </w:tblPr>
      <w:tblGrid>
        <w:gridCol w:w="8640"/>
      </w:tblGrid>
      <w:tr>
        <w:tc>
          <w:tcPr>
            <w:tcW w:type="dxa" w:w="8640"/>
          </w:tcPr>
          <w:p>
            <w:pPr>
              <w:jc w:val="center"/>
            </w:pPr>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hysteresis_validation.png"/>
                          <pic:cNvPicPr/>
                        </pic:nvPicPr>
                        <pic:blipFill>
                          <a:blip r:embed="rId12"/>
                          <a:stretch>
                            <a:fillRect/>
                          </a:stretch>
                        </pic:blipFill>
                        <pic:spPr>
                          <a:xfrm>
                            <a:off x="0" y="0"/>
                            <a:ext cx="4572000" cy="2286000"/>
                          </a:xfrm>
                          <a:prstGeom prst="rect"/>
                        </pic:spPr>
                      </pic:pic>
                    </a:graphicData>
                  </a:graphic>
                </wp:inline>
              </w:drawing>
            </w:r>
          </w:p>
        </w:tc>
      </w:tr>
      <w:tr>
        <w:tc>
          <w:tcPr>
            <w:tcW w:type="dxa" w:w="8640"/>
          </w:tcPr>
          <w:p>
            <w:pPr>
              <w:jc w:val="center"/>
            </w:pPr>
            <w:r>
              <w:rPr>
                <w:rFonts w:ascii="Times New Roman" w:hAnsi="Times New Roman" w:eastAsia="Times New Roman"/>
                <w:b w:val="0"/>
                <w:sz w:val="20"/>
              </w:rPr>
              <w:t>Fig 5: Hysteresis Controller Validation — radiation flux (top) and valve state (bottom) over 48 hours. SAA spikes trigger OPEN events. Deadband prevents chatter in 350-500 uGy/hr range.</w:t>
            </w:r>
          </w:p>
        </w:tc>
      </w:tr>
    </w:tbl>
    <w:p>
      <w:pPr>
        <w:jc w:val="left"/>
      </w:pPr>
      <w:r>
        <w:rPr>
          <w:rFonts w:ascii="Times New Roman" w:hAnsi="Times New Roman" w:eastAsia="Times New Roman"/>
          <w:b/>
          <w:sz w:val="32"/>
        </w:rPr>
        <w:t>6. Software Architecture &amp; Data Pipeline</w:t>
      </w:r>
    </w:p>
    <w:p>
      <w:pPr>
        <w:jc w:val="left"/>
      </w:pPr>
      <w:r>
        <w:rPr>
          <w:rFonts w:ascii="Times New Roman" w:hAnsi="Times New Roman" w:eastAsia="Times New Roman"/>
          <w:b/>
          <w:sz w:val="28"/>
        </w:rPr>
        <w:t>6.1. Module Structure</w:t>
      </w:r>
    </w:p>
    <w:p>
      <w:r>
        <w:rPr>
          <w:rFonts w:ascii="Times New Roman" w:hAnsi="Times New Roman" w:eastAsia="Times New Roman"/>
          <w:b w:val="0"/>
          <w:sz w:val="24"/>
        </w:rPr>
        <w:t>The simulation is implemented as a modular Python pipeline with six independent scripts, each producing a well-defined CSV output consumed by the next module. This structure enables parallel development — each team member works on their module independently, with inter-module communication through agreed CSV schemas.</w:t>
      </w:r>
    </w:p>
    <w:p>
      <w:r>
        <w:rPr>
          <w:rFonts w:ascii="Times New Roman" w:hAnsi="Times New Roman" w:eastAsia="Times New Roman"/>
          <w:b w:val="0"/>
          <w:sz w:val="24"/>
        </w:rPr>
        <w:t>Data flow:</w:t>
      </w:r>
    </w:p>
    <w:p>
      <w:r>
        <w:rPr>
          <w:rFonts w:ascii="Times New Roman" w:hAnsi="Times New Roman" w:eastAsia="Times New Roman"/>
          <w:b w:val="0"/>
          <w:sz w:val="24"/>
        </w:rPr>
        <w:t>1. flux_generator.py  -&gt;  data/flux_profile.csv</w:t>
      </w:r>
    </w:p>
    <w:p>
      <w:r>
        <w:rPr>
          <w:rFonts w:ascii="Times New Roman" w:hAnsi="Times New Roman" w:eastAsia="Times New Roman"/>
          <w:b w:val="0"/>
          <w:sz w:val="24"/>
        </w:rPr>
        <w:t>2. hysteresis.py      -&gt;  data/valve_state.csv</w:t>
      </w:r>
    </w:p>
    <w:p>
      <w:r>
        <w:rPr>
          <w:rFonts w:ascii="Times New Roman" w:hAnsi="Times New Roman" w:eastAsia="Times New Roman"/>
          <w:b w:val="0"/>
          <w:sz w:val="24"/>
        </w:rPr>
        <w:t>3. growth_model.py    -&gt;  data/growth_output.csv</w:t>
      </w:r>
    </w:p>
    <w:p>
      <w:r>
        <w:rPr>
          <w:rFonts w:ascii="Times New Roman" w:hAnsi="Times New Roman" w:eastAsia="Times New Roman"/>
          <w:b w:val="0"/>
          <w:sz w:val="24"/>
        </w:rPr>
        <w:t>4. attenuation.py     -&gt;  data/attenuation_output.csv</w:t>
      </w:r>
    </w:p>
    <w:p>
      <w:r>
        <w:rPr>
          <w:rFonts w:ascii="Times New Roman" w:hAnsi="Times New Roman" w:eastAsia="Times New Roman"/>
          <w:b w:val="0"/>
          <w:sz w:val="24"/>
        </w:rPr>
        <w:t>5. integrate.py       -&gt;  data/master_log.csv</w:t>
      </w:r>
    </w:p>
    <w:p>
      <w:r>
        <w:rPr>
          <w:rFonts w:ascii="Times New Roman" w:hAnsi="Times New Roman" w:eastAsia="Times New Roman"/>
          <w:b w:val="0"/>
          <w:sz w:val="24"/>
        </w:rPr>
        <w:t>6. dashboard.py       -&gt;  figures/fig1 through fig4</w:t>
      </w:r>
    </w:p>
    <w:p>
      <w:pPr>
        <w:jc w:val="left"/>
      </w:pPr>
      <w:r>
        <w:rPr>
          <w:rFonts w:ascii="Times New Roman" w:hAnsi="Times New Roman" w:eastAsia="Times New Roman"/>
          <w:b/>
          <w:sz w:val="28"/>
        </w:rPr>
        <w:t>6.2. CSV Data Schema</w:t>
      </w:r>
    </w:p>
    <w:p>
      <w:pPr>
        <w:jc w:val="center"/>
      </w:pPr>
      <w:r>
        <w:rPr>
          <w:rFonts w:ascii="Times New Roman" w:hAnsi="Times New Roman" w:eastAsia="Times New Roman"/>
          <w:b/>
          <w:sz w:val="24"/>
        </w:rPr>
        <w:t>Table 7: Master CSV Schema (master_log.csv) — 13 columns, 49 rows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w:t>
            </w:r>
          </w:p>
        </w:tc>
        <w:tc>
          <w:tcPr>
            <w:tcW w:type="dxa" w:w="4320"/>
          </w:tcPr>
          <w:p>
            <w:pPr>
              <w:jc w:val="center"/>
            </w:pPr>
          </w:p>
        </w:tc>
      </w:tr>
      <w:tr>
        <w:tc>
          <w:tcPr>
            <w:tcW w:type="dxa" w:w="4320"/>
          </w:tcPr>
          <w:p>
            <w:pPr>
              <w:jc w:val="center"/>
            </w:pPr>
            <w:r>
              <w:rPr>
                <w:rFonts w:ascii="Times New Roman" w:hAnsi="Times New Roman"/>
                <w:sz w:val="24"/>
              </w:rPr>
              <w:t>Column Name</w:t>
            </w:r>
          </w:p>
        </w:tc>
        <w:tc>
          <w:tcPr>
            <w:tcW w:type="dxa" w:w="4320"/>
          </w:tcPr>
          <w:p>
            <w:pPr>
              <w:jc w:val="center"/>
            </w:pPr>
          </w:p>
        </w:tc>
      </w:tr>
      <w:tr>
        <w:tc>
          <w:tcPr>
            <w:tcW w:type="dxa" w:w="4320"/>
          </w:tcPr>
          <w:p>
            <w:pPr>
              <w:jc w:val="center"/>
            </w:pPr>
            <w:r>
              <w:rPr>
                <w:rFonts w:ascii="Times New Roman" w:hAnsi="Times New Roman"/>
                <w:sz w:val="24"/>
              </w:rPr>
              <w:t>Unit</w:t>
            </w:r>
          </w:p>
        </w:tc>
        <w:tc>
          <w:tcPr>
            <w:tcW w:type="dxa" w:w="4320"/>
          </w:tcPr>
          <w:p>
            <w:pPr>
              <w:jc w:val="center"/>
            </w:pPr>
          </w:p>
        </w:tc>
      </w:tr>
      <w:tr>
        <w:tc>
          <w:tcPr>
            <w:tcW w:type="dxa" w:w="4320"/>
          </w:tcPr>
          <w:p>
            <w:pPr>
              <w:jc w:val="center"/>
            </w:pPr>
            <w:r>
              <w:rPr>
                <w:rFonts w:ascii="Times New Roman" w:hAnsi="Times New Roman"/>
                <w:sz w:val="24"/>
              </w:rPr>
              <w:t>Source Module</w:t>
            </w:r>
          </w:p>
        </w:tc>
        <w:tc>
          <w:tcPr>
            <w:tcW w:type="dxa" w:w="4320"/>
          </w:tcPr>
          <w:p>
            <w:pPr>
              <w:jc w:val="center"/>
            </w:pPr>
          </w:p>
        </w:tc>
      </w:tr>
      <w:tr>
        <w:tc>
          <w:tcPr>
            <w:tcW w:type="dxa" w:w="4320"/>
          </w:tcPr>
          <w:p>
            <w:pPr>
              <w:jc w:val="center"/>
            </w:pPr>
            <w:r>
              <w:rPr>
                <w:rFonts w:ascii="Times New Roman" w:hAnsi="Times New Roman"/>
                <w:sz w:val="24"/>
              </w:rPr>
              <w:t>Description</w:t>
            </w:r>
          </w:p>
        </w:tc>
        <w:tc>
          <w:tcPr>
            <w:tcW w:type="dxa" w:w="4320"/>
          </w:tcPr>
          <w:p>
            <w:pPr>
              <w:jc w:val="center"/>
            </w:pPr>
          </w:p>
        </w:tc>
      </w:tr>
      <w:tr>
        <w:tc>
          <w:tcPr>
            <w:tcW w:type="dxa" w:w="4320"/>
          </w:tcPr>
          <w:p>
            <w:pPr>
              <w:jc w:val="center"/>
            </w:pPr>
            <w:r>
              <w:rPr>
                <w:rFonts w:ascii="Times New Roman" w:hAnsi="Times New Roman"/>
                <w:sz w:val="24"/>
              </w:rPr>
              <w:t>1</w:t>
            </w:r>
          </w:p>
        </w:tc>
        <w:tc>
          <w:tcPr>
            <w:tcW w:type="dxa" w:w="4320"/>
          </w:tcPr>
          <w:p>
            <w:pPr>
              <w:jc w:val="center"/>
            </w:pPr>
          </w:p>
        </w:tc>
      </w:tr>
      <w:tr>
        <w:tc>
          <w:tcPr>
            <w:tcW w:type="dxa" w:w="4320"/>
          </w:tcPr>
          <w:p>
            <w:pPr>
              <w:jc w:val="center"/>
            </w:pPr>
            <w:r>
              <w:rPr>
                <w:rFonts w:ascii="Times New Roman" w:hAnsi="Times New Roman"/>
                <w:sz w:val="24"/>
              </w:rPr>
              <w:t>time_hr</w:t>
            </w:r>
          </w:p>
        </w:tc>
        <w:tc>
          <w:tcPr>
            <w:tcW w:type="dxa" w:w="4320"/>
          </w:tcPr>
          <w:p>
            <w:pPr>
              <w:jc w:val="center"/>
            </w:pPr>
          </w:p>
        </w:tc>
      </w:tr>
      <w:tr>
        <w:tc>
          <w:tcPr>
            <w:tcW w:type="dxa" w:w="4320"/>
          </w:tcPr>
          <w:p>
            <w:pPr>
              <w:jc w:val="center"/>
            </w:pPr>
            <w:r>
              <w:rPr>
                <w:rFonts w:ascii="Times New Roman" w:hAnsi="Times New Roman"/>
                <w:sz w:val="24"/>
              </w:rPr>
              <w:t>h</w:t>
            </w:r>
          </w:p>
        </w:tc>
        <w:tc>
          <w:tcPr>
            <w:tcW w:type="dxa" w:w="4320"/>
          </w:tcPr>
          <w:p>
            <w:pPr>
              <w:jc w:val="center"/>
            </w:pPr>
          </w:p>
        </w:tc>
      </w:tr>
      <w:tr>
        <w:tc>
          <w:tcPr>
            <w:tcW w:type="dxa" w:w="4320"/>
          </w:tcPr>
          <w:p>
            <w:pPr>
              <w:jc w:val="center"/>
            </w:pPr>
            <w:r>
              <w:rPr>
                <w:rFonts w:ascii="Times New Roman" w:hAnsi="Times New Roman"/>
                <w:sz w:val="24"/>
              </w:rPr>
              <w:t>flux_generator</w:t>
            </w:r>
          </w:p>
        </w:tc>
        <w:tc>
          <w:tcPr>
            <w:tcW w:type="dxa" w:w="4320"/>
          </w:tcPr>
          <w:p>
            <w:pPr>
              <w:jc w:val="center"/>
            </w:pPr>
          </w:p>
        </w:tc>
      </w:tr>
      <w:tr>
        <w:tc>
          <w:tcPr>
            <w:tcW w:type="dxa" w:w="4320"/>
          </w:tcPr>
          <w:p>
            <w:pPr>
              <w:jc w:val="center"/>
            </w:pPr>
            <w:r>
              <w:rPr>
                <w:rFonts w:ascii="Times New Roman" w:hAnsi="Times New Roman"/>
                <w:sz w:val="24"/>
              </w:rPr>
              <w:t>Simulation time, 0–48 hr</w:t>
            </w:r>
          </w:p>
        </w:tc>
        <w:tc>
          <w:tcPr>
            <w:tcW w:type="dxa" w:w="4320"/>
          </w:tcPr>
          <w:p>
            <w:pPr>
              <w:jc w:val="center"/>
            </w:pPr>
          </w:p>
        </w:tc>
      </w:tr>
      <w:tr>
        <w:tc>
          <w:tcPr>
            <w:tcW w:type="dxa" w:w="4320"/>
          </w:tcPr>
          <w:p>
            <w:pPr>
              <w:jc w:val="center"/>
            </w:pPr>
            <w:r>
              <w:rPr>
                <w:rFonts w:ascii="Times New Roman" w:hAnsi="Times New Roman"/>
                <w:sz w:val="24"/>
              </w:rPr>
              <w:t>2</w:t>
            </w:r>
          </w:p>
        </w:tc>
        <w:tc>
          <w:tcPr>
            <w:tcW w:type="dxa" w:w="4320"/>
          </w:tcPr>
          <w:p>
            <w:pPr>
              <w:jc w:val="center"/>
            </w:pPr>
          </w:p>
        </w:tc>
      </w:tr>
      <w:tr>
        <w:tc>
          <w:tcPr>
            <w:tcW w:type="dxa" w:w="4320"/>
          </w:tcPr>
          <w:p>
            <w:pPr>
              <w:jc w:val="center"/>
            </w:pPr>
            <w:r>
              <w:rPr>
                <w:rFonts w:ascii="Times New Roman" w:hAnsi="Times New Roman"/>
                <w:sz w:val="24"/>
              </w:rPr>
              <w:t>flux_uGy_hr</w:t>
            </w:r>
          </w:p>
        </w:tc>
        <w:tc>
          <w:tcPr>
            <w:tcW w:type="dxa" w:w="4320"/>
          </w:tcPr>
          <w:p>
            <w:pPr>
              <w:jc w:val="center"/>
            </w:pPr>
          </w:p>
        </w:tc>
      </w:tr>
      <w:tr>
        <w:tc>
          <w:tcPr>
            <w:tcW w:type="dxa" w:w="4320"/>
          </w:tcPr>
          <w:p>
            <w:pPr>
              <w:jc w:val="center"/>
            </w:pPr>
            <w:r>
              <w:rPr>
                <w:rFonts w:ascii="Times New Roman" w:hAnsi="Times New Roman"/>
                <w:sz w:val="24"/>
              </w:rPr>
              <w:t>μGy/hr</w:t>
            </w:r>
          </w:p>
        </w:tc>
        <w:tc>
          <w:tcPr>
            <w:tcW w:type="dxa" w:w="4320"/>
          </w:tcPr>
          <w:p>
            <w:pPr>
              <w:jc w:val="center"/>
            </w:pPr>
          </w:p>
        </w:tc>
      </w:tr>
      <w:tr>
        <w:tc>
          <w:tcPr>
            <w:tcW w:type="dxa" w:w="4320"/>
          </w:tcPr>
          <w:p>
            <w:pPr>
              <w:jc w:val="center"/>
            </w:pPr>
            <w:r>
              <w:rPr>
                <w:rFonts w:ascii="Times New Roman" w:hAnsi="Times New Roman"/>
                <w:sz w:val="24"/>
              </w:rPr>
              <w:t>flux_generator</w:t>
            </w:r>
          </w:p>
        </w:tc>
        <w:tc>
          <w:tcPr>
            <w:tcW w:type="dxa" w:w="4320"/>
          </w:tcPr>
          <w:p>
            <w:pPr>
              <w:jc w:val="center"/>
            </w:pPr>
          </w:p>
        </w:tc>
      </w:tr>
      <w:tr>
        <w:tc>
          <w:tcPr>
            <w:tcW w:type="dxa" w:w="4320"/>
          </w:tcPr>
          <w:p>
            <w:pPr>
              <w:jc w:val="center"/>
            </w:pPr>
            <w:r>
              <w:rPr>
                <w:rFonts w:ascii="Times New Roman" w:hAnsi="Times New Roman"/>
                <w:sz w:val="24"/>
              </w:rPr>
              <w:t>CH-1 (agar baseline) radiation flux = I₀</w:t>
            </w:r>
          </w:p>
        </w:tc>
        <w:tc>
          <w:tcPr>
            <w:tcW w:type="dxa" w:w="4320"/>
          </w:tcPr>
          <w:p>
            <w:pPr>
              <w:jc w:val="center"/>
            </w:pPr>
          </w:p>
        </w:tc>
      </w:tr>
      <w:tr>
        <w:tc>
          <w:tcPr>
            <w:tcW w:type="dxa" w:w="4320"/>
          </w:tcPr>
          <w:p>
            <w:pPr>
              <w:jc w:val="center"/>
            </w:pPr>
            <w:r>
              <w:rPr>
                <w:rFonts w:ascii="Times New Roman" w:hAnsi="Times New Roman"/>
                <w:sz w:val="24"/>
              </w:rPr>
              <w:t>3</w:t>
            </w:r>
          </w:p>
        </w:tc>
        <w:tc>
          <w:tcPr>
            <w:tcW w:type="dxa" w:w="4320"/>
          </w:tcPr>
          <w:p>
            <w:pPr>
              <w:jc w:val="center"/>
            </w:pPr>
          </w:p>
        </w:tc>
      </w:tr>
      <w:tr>
        <w:tc>
          <w:tcPr>
            <w:tcW w:type="dxa" w:w="4320"/>
          </w:tcPr>
          <w:p>
            <w:pPr>
              <w:jc w:val="center"/>
            </w:pPr>
            <w:r>
              <w:rPr>
                <w:rFonts w:ascii="Times New Roman" w:hAnsi="Times New Roman"/>
                <w:sz w:val="24"/>
              </w:rPr>
              <w:t>valve_state</w:t>
            </w:r>
          </w:p>
        </w:tc>
        <w:tc>
          <w:tcPr>
            <w:tcW w:type="dxa" w:w="4320"/>
          </w:tcPr>
          <w:p>
            <w:pPr>
              <w:jc w:val="center"/>
            </w:pPr>
          </w:p>
        </w:tc>
      </w:tr>
      <w:tr>
        <w:tc>
          <w:tcPr>
            <w:tcW w:type="dxa" w:w="4320"/>
          </w:tcPr>
          <w:p>
            <w:pPr>
              <w:jc w:val="center"/>
            </w:pPr>
            <w:r>
              <w:rPr>
                <w:rFonts w:ascii="Times New Roman" w:hAnsi="Times New Roman"/>
                <w:sz w:val="24"/>
              </w:rPr>
              <w:t>0/1</w:t>
            </w:r>
          </w:p>
        </w:tc>
        <w:tc>
          <w:tcPr>
            <w:tcW w:type="dxa" w:w="4320"/>
          </w:tcPr>
          <w:p>
            <w:pPr>
              <w:jc w:val="center"/>
            </w:pPr>
          </w:p>
        </w:tc>
      </w:tr>
      <w:tr>
        <w:tc>
          <w:tcPr>
            <w:tcW w:type="dxa" w:w="4320"/>
          </w:tcPr>
          <w:p>
            <w:pPr>
              <w:jc w:val="center"/>
            </w:pPr>
            <w:r>
              <w:rPr>
                <w:rFonts w:ascii="Times New Roman" w:hAnsi="Times New Roman"/>
                <w:sz w:val="24"/>
              </w:rPr>
              <w:t>hysteresis</w:t>
            </w:r>
          </w:p>
        </w:tc>
        <w:tc>
          <w:tcPr>
            <w:tcW w:type="dxa" w:w="4320"/>
          </w:tcPr>
          <w:p>
            <w:pPr>
              <w:jc w:val="center"/>
            </w:pPr>
          </w:p>
        </w:tc>
      </w:tr>
      <w:tr>
        <w:tc>
          <w:tcPr>
            <w:tcW w:type="dxa" w:w="4320"/>
          </w:tcPr>
          <w:p>
            <w:pPr>
              <w:jc w:val="center"/>
            </w:pPr>
            <w:r>
              <w:rPr>
                <w:rFonts w:ascii="Times New Roman" w:hAnsi="Times New Roman"/>
                <w:sz w:val="24"/>
              </w:rPr>
              <w:t>0=CLOSED, 1=OPEN</w:t>
            </w:r>
          </w:p>
        </w:tc>
        <w:tc>
          <w:tcPr>
            <w:tcW w:type="dxa" w:w="4320"/>
          </w:tcPr>
          <w:p>
            <w:pPr>
              <w:jc w:val="center"/>
            </w:pPr>
          </w:p>
        </w:tc>
      </w:tr>
      <w:tr>
        <w:tc>
          <w:tcPr>
            <w:tcW w:type="dxa" w:w="4320"/>
          </w:tcPr>
          <w:p>
            <w:pPr>
              <w:jc w:val="center"/>
            </w:pPr>
            <w:r>
              <w:rPr>
                <w:rFonts w:ascii="Times New Roman" w:hAnsi="Times New Roman"/>
                <w:sz w:val="24"/>
              </w:rPr>
              <w:t>4</w:t>
            </w:r>
          </w:p>
        </w:tc>
        <w:tc>
          <w:tcPr>
            <w:tcW w:type="dxa" w:w="4320"/>
          </w:tcPr>
          <w:p>
            <w:pPr>
              <w:jc w:val="center"/>
            </w:pPr>
          </w:p>
        </w:tc>
      </w:tr>
      <w:tr>
        <w:tc>
          <w:tcPr>
            <w:tcW w:type="dxa" w:w="4320"/>
          </w:tcPr>
          <w:p>
            <w:pPr>
              <w:jc w:val="center"/>
            </w:pPr>
            <w:r>
              <w:rPr>
                <w:rFonts w:ascii="Times New Roman" w:hAnsi="Times New Roman"/>
                <w:sz w:val="24"/>
              </w:rPr>
              <w:t>N_ch2</w:t>
            </w:r>
          </w:p>
        </w:tc>
        <w:tc>
          <w:tcPr>
            <w:tcW w:type="dxa" w:w="4320"/>
          </w:tcPr>
          <w:p>
            <w:pPr>
              <w:jc w:val="center"/>
            </w:pPr>
          </w:p>
        </w:tc>
      </w:tr>
      <w:tr>
        <w:tc>
          <w:tcPr>
            <w:tcW w:type="dxa" w:w="4320"/>
          </w:tcPr>
          <w:p>
            <w:pPr>
              <w:jc w:val="center"/>
            </w:pPr>
            <w:r>
              <w:rPr>
                <w:rFonts w:ascii="Times New Roman" w:hAnsi="Times New Roman"/>
                <w:sz w:val="24"/>
              </w:rPr>
              <w:t>g/L</w:t>
            </w:r>
          </w:p>
        </w:tc>
        <w:tc>
          <w:tcPr>
            <w:tcW w:type="dxa" w:w="4320"/>
          </w:tcPr>
          <w:p>
            <w:pPr>
              <w:jc w:val="center"/>
            </w:pPr>
          </w:p>
        </w:tc>
      </w:tr>
      <w:tr>
        <w:tc>
          <w:tcPr>
            <w:tcW w:type="dxa" w:w="4320"/>
          </w:tcPr>
          <w:p>
            <w:pPr>
              <w:jc w:val="center"/>
            </w:pPr>
            <w:r>
              <w:rPr>
                <w:rFonts w:ascii="Times New Roman" w:hAnsi="Times New Roman"/>
                <w:sz w:val="24"/>
              </w:rPr>
              <w:t>growth_model</w:t>
            </w:r>
          </w:p>
        </w:tc>
        <w:tc>
          <w:tcPr>
            <w:tcW w:type="dxa" w:w="4320"/>
          </w:tcPr>
          <w:p>
            <w:pPr>
              <w:jc w:val="center"/>
            </w:pPr>
          </w:p>
        </w:tc>
      </w:tr>
      <w:tr>
        <w:tc>
          <w:tcPr>
            <w:tcW w:type="dxa" w:w="4320"/>
          </w:tcPr>
          <w:p>
            <w:pPr>
              <w:jc w:val="center"/>
            </w:pPr>
            <w:r>
              <w:rPr>
                <w:rFonts w:ascii="Times New Roman" w:hAnsi="Times New Roman"/>
                <w:sz w:val="24"/>
              </w:rPr>
              <w:t>C. sphaerospermum biomass</w:t>
            </w:r>
          </w:p>
        </w:tc>
        <w:tc>
          <w:tcPr>
            <w:tcW w:type="dxa" w:w="4320"/>
          </w:tcPr>
          <w:p>
            <w:pPr>
              <w:jc w:val="center"/>
            </w:pPr>
          </w:p>
        </w:tc>
      </w:tr>
      <w:tr>
        <w:tc>
          <w:tcPr>
            <w:tcW w:type="dxa" w:w="4320"/>
          </w:tcPr>
          <w:p>
            <w:pPr>
              <w:jc w:val="center"/>
            </w:pPr>
            <w:r>
              <w:rPr>
                <w:rFonts w:ascii="Times New Roman" w:hAnsi="Times New Roman"/>
                <w:sz w:val="24"/>
              </w:rPr>
              <w:t>5</w:t>
            </w:r>
          </w:p>
        </w:tc>
        <w:tc>
          <w:tcPr>
            <w:tcW w:type="dxa" w:w="4320"/>
          </w:tcPr>
          <w:p>
            <w:pPr>
              <w:jc w:val="center"/>
            </w:pPr>
          </w:p>
        </w:tc>
      </w:tr>
      <w:tr>
        <w:tc>
          <w:tcPr>
            <w:tcW w:type="dxa" w:w="4320"/>
          </w:tcPr>
          <w:p>
            <w:pPr>
              <w:jc w:val="center"/>
            </w:pPr>
            <w:r>
              <w:rPr>
                <w:rFonts w:ascii="Times New Roman" w:hAnsi="Times New Roman"/>
                <w:sz w:val="24"/>
              </w:rPr>
              <w:t>N_ch3</w:t>
            </w:r>
          </w:p>
        </w:tc>
        <w:tc>
          <w:tcPr>
            <w:tcW w:type="dxa" w:w="4320"/>
          </w:tcPr>
          <w:p>
            <w:pPr>
              <w:jc w:val="center"/>
            </w:pPr>
          </w:p>
        </w:tc>
      </w:tr>
      <w:tr>
        <w:tc>
          <w:tcPr>
            <w:tcW w:type="dxa" w:w="4320"/>
          </w:tcPr>
          <w:p>
            <w:pPr>
              <w:jc w:val="center"/>
            </w:pPr>
            <w:r>
              <w:rPr>
                <w:rFonts w:ascii="Times New Roman" w:hAnsi="Times New Roman"/>
                <w:sz w:val="24"/>
              </w:rPr>
              <w:t>g/L</w:t>
            </w:r>
          </w:p>
        </w:tc>
        <w:tc>
          <w:tcPr>
            <w:tcW w:type="dxa" w:w="4320"/>
          </w:tcPr>
          <w:p>
            <w:pPr>
              <w:jc w:val="center"/>
            </w:pPr>
          </w:p>
        </w:tc>
      </w:tr>
      <w:tr>
        <w:tc>
          <w:tcPr>
            <w:tcW w:type="dxa" w:w="4320"/>
          </w:tcPr>
          <w:p>
            <w:pPr>
              <w:jc w:val="center"/>
            </w:pPr>
            <w:r>
              <w:rPr>
                <w:rFonts w:ascii="Times New Roman" w:hAnsi="Times New Roman"/>
                <w:sz w:val="24"/>
              </w:rPr>
              <w:t>growth_model</w:t>
            </w:r>
          </w:p>
        </w:tc>
        <w:tc>
          <w:tcPr>
            <w:tcW w:type="dxa" w:w="4320"/>
          </w:tcPr>
          <w:p>
            <w:pPr>
              <w:jc w:val="center"/>
            </w:pPr>
          </w:p>
        </w:tc>
      </w:tr>
      <w:tr>
        <w:tc>
          <w:tcPr>
            <w:tcW w:type="dxa" w:w="4320"/>
          </w:tcPr>
          <w:p>
            <w:pPr>
              <w:jc w:val="center"/>
            </w:pPr>
            <w:r>
              <w:rPr>
                <w:rFonts w:ascii="Times New Roman" w:hAnsi="Times New Roman"/>
                <w:sz w:val="24"/>
              </w:rPr>
              <w:t>W. dermatitidis biomass</w:t>
            </w:r>
          </w:p>
        </w:tc>
        <w:tc>
          <w:tcPr>
            <w:tcW w:type="dxa" w:w="4320"/>
          </w:tcPr>
          <w:p>
            <w:pPr>
              <w:jc w:val="center"/>
            </w:pPr>
          </w:p>
        </w:tc>
      </w:tr>
      <w:tr>
        <w:tc>
          <w:tcPr>
            <w:tcW w:type="dxa" w:w="4320"/>
          </w:tcPr>
          <w:p>
            <w:pPr>
              <w:jc w:val="center"/>
            </w:pPr>
            <w:r>
              <w:rPr>
                <w:rFonts w:ascii="Times New Roman" w:hAnsi="Times New Roman"/>
                <w:sz w:val="24"/>
              </w:rPr>
              <w:t>6</w:t>
            </w:r>
          </w:p>
        </w:tc>
        <w:tc>
          <w:tcPr>
            <w:tcW w:type="dxa" w:w="4320"/>
          </w:tcPr>
          <w:p>
            <w:pPr>
              <w:jc w:val="center"/>
            </w:pPr>
          </w:p>
        </w:tc>
      </w:tr>
      <w:tr>
        <w:tc>
          <w:tcPr>
            <w:tcW w:type="dxa" w:w="4320"/>
          </w:tcPr>
          <w:p>
            <w:pPr>
              <w:jc w:val="center"/>
            </w:pPr>
            <w:r>
              <w:rPr>
                <w:rFonts w:ascii="Times New Roman" w:hAnsi="Times New Roman"/>
                <w:sz w:val="24"/>
              </w:rPr>
              <w:t>OD_ch2</w:t>
            </w:r>
          </w:p>
        </w:tc>
        <w:tc>
          <w:tcPr>
            <w:tcW w:type="dxa" w:w="4320"/>
          </w:tcPr>
          <w:p>
            <w:pPr>
              <w:jc w:val="center"/>
            </w:pPr>
          </w:p>
        </w:tc>
      </w:tr>
      <w:tr>
        <w:tc>
          <w:tcPr>
            <w:tcW w:type="dxa" w:w="4320"/>
          </w:tcPr>
          <w:p>
            <w:pPr>
              <w:jc w:val="center"/>
            </w:pPr>
            <w:r>
              <w:rPr>
                <w:rFonts w:ascii="Times New Roman" w:hAnsi="Times New Roman"/>
                <w:sz w:val="24"/>
              </w:rPr>
              <w:t>OD</w:t>
            </w:r>
          </w:p>
        </w:tc>
        <w:tc>
          <w:tcPr>
            <w:tcW w:type="dxa" w:w="4320"/>
          </w:tcPr>
          <w:p>
            <w:pPr>
              <w:jc w:val="center"/>
            </w:pPr>
          </w:p>
        </w:tc>
      </w:tr>
      <w:tr>
        <w:tc>
          <w:tcPr>
            <w:tcW w:type="dxa" w:w="4320"/>
          </w:tcPr>
          <w:p>
            <w:pPr>
              <w:jc w:val="center"/>
            </w:pPr>
            <w:r>
              <w:rPr>
                <w:rFonts w:ascii="Times New Roman" w:hAnsi="Times New Roman"/>
                <w:sz w:val="24"/>
              </w:rPr>
              <w:t>growth_model</w:t>
            </w:r>
          </w:p>
        </w:tc>
        <w:tc>
          <w:tcPr>
            <w:tcW w:type="dxa" w:w="4320"/>
          </w:tcPr>
          <w:p>
            <w:pPr>
              <w:jc w:val="center"/>
            </w:pPr>
          </w:p>
        </w:tc>
      </w:tr>
      <w:tr>
        <w:tc>
          <w:tcPr>
            <w:tcW w:type="dxa" w:w="4320"/>
          </w:tcPr>
          <w:p>
            <w:pPr>
              <w:jc w:val="center"/>
            </w:pPr>
            <w:r>
              <w:rPr>
                <w:rFonts w:ascii="Times New Roman" w:hAnsi="Times New Roman"/>
                <w:sz w:val="24"/>
              </w:rPr>
              <w:t>Camera OD600 proxy, CH-2</w:t>
            </w:r>
          </w:p>
        </w:tc>
        <w:tc>
          <w:tcPr>
            <w:tcW w:type="dxa" w:w="4320"/>
          </w:tcPr>
          <w:p>
            <w:pPr>
              <w:jc w:val="center"/>
            </w:pPr>
          </w:p>
        </w:tc>
      </w:tr>
      <w:tr>
        <w:tc>
          <w:tcPr>
            <w:tcW w:type="dxa" w:w="4320"/>
          </w:tcPr>
          <w:p>
            <w:pPr>
              <w:jc w:val="center"/>
            </w:pPr>
            <w:r>
              <w:rPr>
                <w:rFonts w:ascii="Times New Roman" w:hAnsi="Times New Roman"/>
                <w:sz w:val="24"/>
              </w:rPr>
              <w:t>7</w:t>
            </w:r>
          </w:p>
        </w:tc>
        <w:tc>
          <w:tcPr>
            <w:tcW w:type="dxa" w:w="4320"/>
          </w:tcPr>
          <w:p>
            <w:pPr>
              <w:jc w:val="center"/>
            </w:pPr>
          </w:p>
        </w:tc>
      </w:tr>
      <w:tr>
        <w:tc>
          <w:tcPr>
            <w:tcW w:type="dxa" w:w="4320"/>
          </w:tcPr>
          <w:p>
            <w:pPr>
              <w:jc w:val="center"/>
            </w:pPr>
            <w:r>
              <w:rPr>
                <w:rFonts w:ascii="Times New Roman" w:hAnsi="Times New Roman"/>
                <w:sz w:val="24"/>
              </w:rPr>
              <w:t>OD_ch3</w:t>
            </w:r>
          </w:p>
        </w:tc>
        <w:tc>
          <w:tcPr>
            <w:tcW w:type="dxa" w:w="4320"/>
          </w:tcPr>
          <w:p>
            <w:pPr>
              <w:jc w:val="center"/>
            </w:pPr>
          </w:p>
        </w:tc>
      </w:tr>
      <w:tr>
        <w:tc>
          <w:tcPr>
            <w:tcW w:type="dxa" w:w="4320"/>
          </w:tcPr>
          <w:p>
            <w:pPr>
              <w:jc w:val="center"/>
            </w:pPr>
            <w:r>
              <w:rPr>
                <w:rFonts w:ascii="Times New Roman" w:hAnsi="Times New Roman"/>
                <w:sz w:val="24"/>
              </w:rPr>
              <w:t>OD</w:t>
            </w:r>
          </w:p>
        </w:tc>
        <w:tc>
          <w:tcPr>
            <w:tcW w:type="dxa" w:w="4320"/>
          </w:tcPr>
          <w:p>
            <w:pPr>
              <w:jc w:val="center"/>
            </w:pPr>
          </w:p>
        </w:tc>
      </w:tr>
      <w:tr>
        <w:tc>
          <w:tcPr>
            <w:tcW w:type="dxa" w:w="4320"/>
          </w:tcPr>
          <w:p>
            <w:pPr>
              <w:jc w:val="center"/>
            </w:pPr>
            <w:r>
              <w:rPr>
                <w:rFonts w:ascii="Times New Roman" w:hAnsi="Times New Roman"/>
                <w:sz w:val="24"/>
              </w:rPr>
              <w:t>growth_model</w:t>
            </w:r>
          </w:p>
        </w:tc>
        <w:tc>
          <w:tcPr>
            <w:tcW w:type="dxa" w:w="4320"/>
          </w:tcPr>
          <w:p>
            <w:pPr>
              <w:jc w:val="center"/>
            </w:pPr>
          </w:p>
        </w:tc>
      </w:tr>
      <w:tr>
        <w:tc>
          <w:tcPr>
            <w:tcW w:type="dxa" w:w="4320"/>
          </w:tcPr>
          <w:p>
            <w:pPr>
              <w:jc w:val="center"/>
            </w:pPr>
            <w:r>
              <w:rPr>
                <w:rFonts w:ascii="Times New Roman" w:hAnsi="Times New Roman"/>
                <w:sz w:val="24"/>
              </w:rPr>
              <w:t>Camera OD600 proxy, CH-3</w:t>
            </w:r>
          </w:p>
        </w:tc>
        <w:tc>
          <w:tcPr>
            <w:tcW w:type="dxa" w:w="4320"/>
          </w:tcPr>
          <w:p>
            <w:pPr>
              <w:jc w:val="center"/>
            </w:pPr>
          </w:p>
        </w:tc>
      </w:tr>
      <w:tr>
        <w:tc>
          <w:tcPr>
            <w:tcW w:type="dxa" w:w="4320"/>
          </w:tcPr>
          <w:p>
            <w:pPr>
              <w:jc w:val="center"/>
            </w:pPr>
            <w:r>
              <w:rPr>
                <w:rFonts w:ascii="Times New Roman" w:hAnsi="Times New Roman"/>
                <w:sz w:val="24"/>
              </w:rPr>
              <w:t>8</w:t>
            </w:r>
          </w:p>
        </w:tc>
        <w:tc>
          <w:tcPr>
            <w:tcW w:type="dxa" w:w="4320"/>
          </w:tcPr>
          <w:p>
            <w:pPr>
              <w:jc w:val="center"/>
            </w:pPr>
          </w:p>
        </w:tc>
      </w:tr>
      <w:tr>
        <w:tc>
          <w:tcPr>
            <w:tcW w:type="dxa" w:w="4320"/>
          </w:tcPr>
          <w:p>
            <w:pPr>
              <w:jc w:val="center"/>
            </w:pPr>
            <w:r>
              <w:rPr>
                <w:rFonts w:ascii="Times New Roman" w:hAnsi="Times New Roman"/>
                <w:sz w:val="24"/>
              </w:rPr>
              <w:t>delta_ch2</w:t>
            </w:r>
          </w:p>
        </w:tc>
        <w:tc>
          <w:tcPr>
            <w:tcW w:type="dxa" w:w="4320"/>
          </w:tcPr>
          <w:p>
            <w:pPr>
              <w:jc w:val="center"/>
            </w:pPr>
          </w:p>
        </w:tc>
      </w:tr>
      <w:tr>
        <w:tc>
          <w:tcPr>
            <w:tcW w:type="dxa" w:w="4320"/>
          </w:tcPr>
          <w:p>
            <w:pPr>
              <w:jc w:val="center"/>
            </w:pPr>
            <w:r>
              <w:rPr>
                <w:rFonts w:ascii="Times New Roman" w:hAnsi="Times New Roman"/>
                <w:sz w:val="24"/>
              </w:rPr>
              <w:t>cm</w:t>
            </w:r>
          </w:p>
        </w:tc>
        <w:tc>
          <w:tcPr>
            <w:tcW w:type="dxa" w:w="4320"/>
          </w:tcPr>
          <w:p>
            <w:pPr>
              <w:jc w:val="center"/>
            </w:pPr>
          </w:p>
        </w:tc>
      </w:tr>
      <w:tr>
        <w:tc>
          <w:tcPr>
            <w:tcW w:type="dxa" w:w="4320"/>
          </w:tcPr>
          <w:p>
            <w:pPr>
              <w:jc w:val="center"/>
            </w:pPr>
            <w:r>
              <w:rPr>
                <w:rFonts w:ascii="Times New Roman" w:hAnsi="Times New Roman"/>
                <w:sz w:val="24"/>
              </w:rPr>
              <w:t>attenuation</w:t>
            </w:r>
          </w:p>
        </w:tc>
        <w:tc>
          <w:tcPr>
            <w:tcW w:type="dxa" w:w="4320"/>
          </w:tcPr>
          <w:p>
            <w:pPr>
              <w:jc w:val="center"/>
            </w:pPr>
          </w:p>
        </w:tc>
      </w:tr>
      <w:tr>
        <w:tc>
          <w:tcPr>
            <w:tcW w:type="dxa" w:w="4320"/>
          </w:tcPr>
          <w:p>
            <w:pPr>
              <w:jc w:val="center"/>
            </w:pPr>
            <w:r>
              <w:rPr>
                <w:rFonts w:ascii="Times New Roman" w:hAnsi="Times New Roman"/>
                <w:sz w:val="24"/>
              </w:rPr>
              <w:t>Melanin layer thickness CH-2</w:t>
            </w:r>
          </w:p>
        </w:tc>
        <w:tc>
          <w:tcPr>
            <w:tcW w:type="dxa" w:w="4320"/>
          </w:tcPr>
          <w:p>
            <w:pPr>
              <w:jc w:val="center"/>
            </w:pPr>
          </w:p>
        </w:tc>
      </w:tr>
      <w:tr>
        <w:tc>
          <w:tcPr>
            <w:tcW w:type="dxa" w:w="4320"/>
          </w:tcPr>
          <w:p>
            <w:pPr>
              <w:jc w:val="center"/>
            </w:pPr>
            <w:r>
              <w:rPr>
                <w:rFonts w:ascii="Times New Roman" w:hAnsi="Times New Roman"/>
                <w:sz w:val="24"/>
              </w:rPr>
              <w:t>9</w:t>
            </w:r>
          </w:p>
        </w:tc>
        <w:tc>
          <w:tcPr>
            <w:tcW w:type="dxa" w:w="4320"/>
          </w:tcPr>
          <w:p>
            <w:pPr>
              <w:jc w:val="center"/>
            </w:pPr>
          </w:p>
        </w:tc>
      </w:tr>
      <w:tr>
        <w:tc>
          <w:tcPr>
            <w:tcW w:type="dxa" w:w="4320"/>
          </w:tcPr>
          <w:p>
            <w:pPr>
              <w:jc w:val="center"/>
            </w:pPr>
            <w:r>
              <w:rPr>
                <w:rFonts w:ascii="Times New Roman" w:hAnsi="Times New Roman"/>
                <w:sz w:val="24"/>
              </w:rPr>
              <w:t>delta_ch3</w:t>
            </w:r>
          </w:p>
        </w:tc>
        <w:tc>
          <w:tcPr>
            <w:tcW w:type="dxa" w:w="4320"/>
          </w:tcPr>
          <w:p>
            <w:pPr>
              <w:jc w:val="center"/>
            </w:pPr>
          </w:p>
        </w:tc>
      </w:tr>
      <w:tr>
        <w:tc>
          <w:tcPr>
            <w:tcW w:type="dxa" w:w="4320"/>
          </w:tcPr>
          <w:p>
            <w:pPr>
              <w:jc w:val="center"/>
            </w:pPr>
            <w:r>
              <w:rPr>
                <w:rFonts w:ascii="Times New Roman" w:hAnsi="Times New Roman"/>
                <w:sz w:val="24"/>
              </w:rPr>
              <w:t>cm</w:t>
            </w:r>
          </w:p>
        </w:tc>
        <w:tc>
          <w:tcPr>
            <w:tcW w:type="dxa" w:w="4320"/>
          </w:tcPr>
          <w:p>
            <w:pPr>
              <w:jc w:val="center"/>
            </w:pPr>
          </w:p>
        </w:tc>
      </w:tr>
      <w:tr>
        <w:tc>
          <w:tcPr>
            <w:tcW w:type="dxa" w:w="4320"/>
          </w:tcPr>
          <w:p>
            <w:pPr>
              <w:jc w:val="center"/>
            </w:pPr>
            <w:r>
              <w:rPr>
                <w:rFonts w:ascii="Times New Roman" w:hAnsi="Times New Roman"/>
                <w:sz w:val="24"/>
              </w:rPr>
              <w:t>attenuation</w:t>
            </w:r>
          </w:p>
        </w:tc>
        <w:tc>
          <w:tcPr>
            <w:tcW w:type="dxa" w:w="4320"/>
          </w:tcPr>
          <w:p>
            <w:pPr>
              <w:jc w:val="center"/>
            </w:pPr>
          </w:p>
        </w:tc>
      </w:tr>
      <w:tr>
        <w:tc>
          <w:tcPr>
            <w:tcW w:type="dxa" w:w="4320"/>
          </w:tcPr>
          <w:p>
            <w:pPr>
              <w:jc w:val="center"/>
            </w:pPr>
            <w:r>
              <w:rPr>
                <w:rFonts w:ascii="Times New Roman" w:hAnsi="Times New Roman"/>
                <w:sz w:val="24"/>
              </w:rPr>
              <w:t>Melanin layer thickness CH-3</w:t>
            </w:r>
          </w:p>
        </w:tc>
        <w:tc>
          <w:tcPr>
            <w:tcW w:type="dxa" w:w="4320"/>
          </w:tcPr>
          <w:p>
            <w:pPr>
              <w:jc w:val="center"/>
            </w:pPr>
          </w:p>
        </w:tc>
      </w:tr>
      <w:tr>
        <w:tc>
          <w:tcPr>
            <w:tcW w:type="dxa" w:w="4320"/>
          </w:tcPr>
          <w:p>
            <w:pPr>
              <w:jc w:val="center"/>
            </w:pPr>
            <w:r>
              <w:rPr>
                <w:rFonts w:ascii="Times New Roman" w:hAnsi="Times New Roman"/>
                <w:sz w:val="24"/>
              </w:rPr>
              <w:t>10</w:t>
            </w:r>
          </w:p>
        </w:tc>
        <w:tc>
          <w:tcPr>
            <w:tcW w:type="dxa" w:w="4320"/>
          </w:tcPr>
          <w:p>
            <w:pPr>
              <w:jc w:val="center"/>
            </w:pPr>
          </w:p>
        </w:tc>
      </w:tr>
      <w:tr>
        <w:tc>
          <w:tcPr>
            <w:tcW w:type="dxa" w:w="4320"/>
          </w:tcPr>
          <w:p>
            <w:pPr>
              <w:jc w:val="center"/>
            </w:pPr>
            <w:r>
              <w:rPr>
                <w:rFonts w:ascii="Times New Roman" w:hAnsi="Times New Roman"/>
                <w:sz w:val="24"/>
              </w:rPr>
              <w:t>I_ch2</w:t>
            </w:r>
          </w:p>
        </w:tc>
        <w:tc>
          <w:tcPr>
            <w:tcW w:type="dxa" w:w="4320"/>
          </w:tcPr>
          <w:p>
            <w:pPr>
              <w:jc w:val="center"/>
            </w:pPr>
          </w:p>
        </w:tc>
      </w:tr>
      <w:tr>
        <w:tc>
          <w:tcPr>
            <w:tcW w:type="dxa" w:w="4320"/>
          </w:tcPr>
          <w:p>
            <w:pPr>
              <w:jc w:val="center"/>
            </w:pPr>
            <w:r>
              <w:rPr>
                <w:rFonts w:ascii="Times New Roman" w:hAnsi="Times New Roman"/>
                <w:sz w:val="24"/>
              </w:rPr>
              <w:t>μGy/hr</w:t>
            </w:r>
          </w:p>
        </w:tc>
        <w:tc>
          <w:tcPr>
            <w:tcW w:type="dxa" w:w="4320"/>
          </w:tcPr>
          <w:p>
            <w:pPr>
              <w:jc w:val="center"/>
            </w:pPr>
          </w:p>
        </w:tc>
      </w:tr>
      <w:tr>
        <w:tc>
          <w:tcPr>
            <w:tcW w:type="dxa" w:w="4320"/>
          </w:tcPr>
          <w:p>
            <w:pPr>
              <w:jc w:val="center"/>
            </w:pPr>
            <w:r>
              <w:rPr>
                <w:rFonts w:ascii="Times New Roman" w:hAnsi="Times New Roman"/>
                <w:sz w:val="24"/>
              </w:rPr>
              <w:t>attenuation</w:t>
            </w:r>
          </w:p>
        </w:tc>
        <w:tc>
          <w:tcPr>
            <w:tcW w:type="dxa" w:w="4320"/>
          </w:tcPr>
          <w:p>
            <w:pPr>
              <w:jc w:val="center"/>
            </w:pPr>
          </w:p>
        </w:tc>
      </w:tr>
      <w:tr>
        <w:tc>
          <w:tcPr>
            <w:tcW w:type="dxa" w:w="4320"/>
          </w:tcPr>
          <w:p>
            <w:pPr>
              <w:jc w:val="center"/>
            </w:pPr>
            <w:r>
              <w:rPr>
                <w:rFonts w:ascii="Times New Roman" w:hAnsi="Times New Roman"/>
                <w:sz w:val="24"/>
              </w:rPr>
              <w:t>Attenuated flux through CH-2</w:t>
            </w:r>
          </w:p>
        </w:tc>
        <w:tc>
          <w:tcPr>
            <w:tcW w:type="dxa" w:w="4320"/>
          </w:tcPr>
          <w:p>
            <w:pPr>
              <w:jc w:val="center"/>
            </w:pPr>
          </w:p>
        </w:tc>
      </w:tr>
      <w:tr>
        <w:tc>
          <w:tcPr>
            <w:tcW w:type="dxa" w:w="4320"/>
          </w:tcPr>
          <w:p>
            <w:pPr>
              <w:jc w:val="center"/>
            </w:pPr>
            <w:r>
              <w:rPr>
                <w:rFonts w:ascii="Times New Roman" w:hAnsi="Times New Roman"/>
                <w:sz w:val="24"/>
              </w:rPr>
              <w:t>11</w:t>
            </w:r>
          </w:p>
        </w:tc>
        <w:tc>
          <w:tcPr>
            <w:tcW w:type="dxa" w:w="4320"/>
          </w:tcPr>
          <w:p>
            <w:pPr>
              <w:jc w:val="center"/>
            </w:pPr>
          </w:p>
        </w:tc>
      </w:tr>
      <w:tr>
        <w:tc>
          <w:tcPr>
            <w:tcW w:type="dxa" w:w="4320"/>
          </w:tcPr>
          <w:p>
            <w:pPr>
              <w:jc w:val="center"/>
            </w:pPr>
            <w:r>
              <w:rPr>
                <w:rFonts w:ascii="Times New Roman" w:hAnsi="Times New Roman"/>
                <w:sz w:val="24"/>
              </w:rPr>
              <w:t>I_ch3</w:t>
            </w:r>
          </w:p>
        </w:tc>
        <w:tc>
          <w:tcPr>
            <w:tcW w:type="dxa" w:w="4320"/>
          </w:tcPr>
          <w:p>
            <w:pPr>
              <w:jc w:val="center"/>
            </w:pPr>
          </w:p>
        </w:tc>
      </w:tr>
      <w:tr>
        <w:tc>
          <w:tcPr>
            <w:tcW w:type="dxa" w:w="4320"/>
          </w:tcPr>
          <w:p>
            <w:pPr>
              <w:jc w:val="center"/>
            </w:pPr>
            <w:r>
              <w:rPr>
                <w:rFonts w:ascii="Times New Roman" w:hAnsi="Times New Roman"/>
                <w:sz w:val="24"/>
              </w:rPr>
              <w:t>μGy/hr</w:t>
            </w:r>
          </w:p>
        </w:tc>
        <w:tc>
          <w:tcPr>
            <w:tcW w:type="dxa" w:w="4320"/>
          </w:tcPr>
          <w:p>
            <w:pPr>
              <w:jc w:val="center"/>
            </w:pPr>
          </w:p>
        </w:tc>
      </w:tr>
      <w:tr>
        <w:tc>
          <w:tcPr>
            <w:tcW w:type="dxa" w:w="4320"/>
          </w:tcPr>
          <w:p>
            <w:pPr>
              <w:jc w:val="center"/>
            </w:pPr>
            <w:r>
              <w:rPr>
                <w:rFonts w:ascii="Times New Roman" w:hAnsi="Times New Roman"/>
                <w:sz w:val="24"/>
              </w:rPr>
              <w:t>attenuation</w:t>
            </w:r>
          </w:p>
        </w:tc>
        <w:tc>
          <w:tcPr>
            <w:tcW w:type="dxa" w:w="4320"/>
          </w:tcPr>
          <w:p>
            <w:pPr>
              <w:jc w:val="center"/>
            </w:pPr>
          </w:p>
        </w:tc>
      </w:tr>
      <w:tr>
        <w:tc>
          <w:tcPr>
            <w:tcW w:type="dxa" w:w="4320"/>
          </w:tcPr>
          <w:p>
            <w:pPr>
              <w:jc w:val="center"/>
            </w:pPr>
            <w:r>
              <w:rPr>
                <w:rFonts w:ascii="Times New Roman" w:hAnsi="Times New Roman"/>
                <w:sz w:val="24"/>
              </w:rPr>
              <w:t>Attenuated flux through CH-3</w:t>
            </w:r>
          </w:p>
        </w:tc>
        <w:tc>
          <w:tcPr>
            <w:tcW w:type="dxa" w:w="4320"/>
          </w:tcPr>
          <w:p>
            <w:pPr>
              <w:jc w:val="center"/>
            </w:pPr>
          </w:p>
        </w:tc>
      </w:tr>
      <w:tr>
        <w:tc>
          <w:tcPr>
            <w:tcW w:type="dxa" w:w="4320"/>
          </w:tcPr>
          <w:p>
            <w:pPr>
              <w:jc w:val="center"/>
            </w:pPr>
            <w:r>
              <w:rPr>
                <w:rFonts w:ascii="Times New Roman" w:hAnsi="Times New Roman"/>
                <w:sz w:val="24"/>
              </w:rPr>
              <w:t>12</w:t>
            </w:r>
          </w:p>
        </w:tc>
        <w:tc>
          <w:tcPr>
            <w:tcW w:type="dxa" w:w="4320"/>
          </w:tcPr>
          <w:p>
            <w:pPr>
              <w:jc w:val="center"/>
            </w:pPr>
          </w:p>
        </w:tc>
      </w:tr>
      <w:tr>
        <w:tc>
          <w:tcPr>
            <w:tcW w:type="dxa" w:w="4320"/>
          </w:tcPr>
          <w:p>
            <w:pPr>
              <w:jc w:val="center"/>
            </w:pPr>
            <w:r>
              <w:rPr>
                <w:rFonts w:ascii="Times New Roman" w:hAnsi="Times New Roman"/>
                <w:sz w:val="24"/>
              </w:rPr>
              <w:t>attn_ch2_pct</w:t>
            </w:r>
          </w:p>
        </w:tc>
        <w:tc>
          <w:tcPr>
            <w:tcW w:type="dxa" w:w="4320"/>
          </w:tcPr>
          <w:p>
            <w:pPr>
              <w:jc w:val="center"/>
            </w:pPr>
          </w:p>
        </w:tc>
      </w:tr>
      <w:tr>
        <w:tc>
          <w:tcPr>
            <w:tcW w:type="dxa" w:w="4320"/>
          </w:tcPr>
          <w:p>
            <w:pPr>
              <w:jc w:val="center"/>
            </w:pPr>
            <w:r>
              <w:rPr>
                <w:rFonts w:ascii="Times New Roman" w:hAnsi="Times New Roman"/>
                <w:sz w:val="24"/>
              </w:rPr>
              <w:t>%</w:t>
            </w:r>
          </w:p>
        </w:tc>
        <w:tc>
          <w:tcPr>
            <w:tcW w:type="dxa" w:w="4320"/>
          </w:tcPr>
          <w:p>
            <w:pPr>
              <w:jc w:val="center"/>
            </w:pPr>
          </w:p>
        </w:tc>
      </w:tr>
      <w:tr>
        <w:tc>
          <w:tcPr>
            <w:tcW w:type="dxa" w:w="4320"/>
          </w:tcPr>
          <w:p>
            <w:pPr>
              <w:jc w:val="center"/>
            </w:pPr>
            <w:r>
              <w:rPr>
                <w:rFonts w:ascii="Times New Roman" w:hAnsi="Times New Roman"/>
                <w:sz w:val="24"/>
              </w:rPr>
              <w:t>attenuation</w:t>
            </w:r>
          </w:p>
        </w:tc>
        <w:tc>
          <w:tcPr>
            <w:tcW w:type="dxa" w:w="4320"/>
          </w:tcPr>
          <w:p>
            <w:pPr>
              <w:jc w:val="center"/>
            </w:pPr>
          </w:p>
        </w:tc>
      </w:tr>
      <w:tr>
        <w:tc>
          <w:tcPr>
            <w:tcW w:type="dxa" w:w="4320"/>
          </w:tcPr>
          <w:p>
            <w:pPr>
              <w:jc w:val="center"/>
            </w:pPr>
            <w:r>
              <w:rPr>
                <w:rFonts w:ascii="Times New Roman" w:hAnsi="Times New Roman"/>
                <w:sz w:val="24"/>
              </w:rPr>
              <w:t>Attenuation% = (I₀−I_ch2)/I₀×100</w:t>
            </w:r>
          </w:p>
        </w:tc>
        <w:tc>
          <w:tcPr>
            <w:tcW w:type="dxa" w:w="4320"/>
          </w:tcPr>
          <w:p>
            <w:pPr>
              <w:jc w:val="center"/>
            </w:pPr>
          </w:p>
        </w:tc>
      </w:tr>
      <w:tr>
        <w:tc>
          <w:tcPr>
            <w:tcW w:type="dxa" w:w="4320"/>
          </w:tcPr>
          <w:p>
            <w:pPr>
              <w:jc w:val="center"/>
            </w:pPr>
            <w:r>
              <w:rPr>
                <w:rFonts w:ascii="Times New Roman" w:hAnsi="Times New Roman"/>
                <w:sz w:val="24"/>
              </w:rPr>
              <w:t>13</w:t>
            </w:r>
          </w:p>
        </w:tc>
        <w:tc>
          <w:tcPr>
            <w:tcW w:type="dxa" w:w="4320"/>
          </w:tcPr>
          <w:p>
            <w:pPr>
              <w:jc w:val="center"/>
            </w:pPr>
          </w:p>
        </w:tc>
      </w:tr>
      <w:tr>
        <w:tc>
          <w:tcPr>
            <w:tcW w:type="dxa" w:w="4320"/>
          </w:tcPr>
          <w:p>
            <w:pPr>
              <w:jc w:val="center"/>
            </w:pPr>
            <w:r>
              <w:rPr>
                <w:rFonts w:ascii="Times New Roman" w:hAnsi="Times New Roman"/>
                <w:sz w:val="24"/>
              </w:rPr>
              <w:t>attn_ch3_pct</w:t>
            </w:r>
          </w:p>
        </w:tc>
        <w:tc>
          <w:tcPr>
            <w:tcW w:type="dxa" w:w="4320"/>
          </w:tcPr>
          <w:p>
            <w:pPr>
              <w:jc w:val="center"/>
            </w:pPr>
          </w:p>
        </w:tc>
      </w:tr>
      <w:tr>
        <w:tc>
          <w:tcPr>
            <w:tcW w:type="dxa" w:w="4320"/>
          </w:tcPr>
          <w:p>
            <w:pPr>
              <w:jc w:val="center"/>
            </w:pPr>
            <w:r>
              <w:rPr>
                <w:rFonts w:ascii="Times New Roman" w:hAnsi="Times New Roman"/>
                <w:sz w:val="24"/>
              </w:rPr>
              <w:t>%</w:t>
            </w:r>
          </w:p>
        </w:tc>
        <w:tc>
          <w:tcPr>
            <w:tcW w:type="dxa" w:w="4320"/>
          </w:tcPr>
          <w:p>
            <w:pPr>
              <w:jc w:val="center"/>
            </w:pPr>
          </w:p>
        </w:tc>
      </w:tr>
      <w:tr>
        <w:tc>
          <w:tcPr>
            <w:tcW w:type="dxa" w:w="4320"/>
          </w:tcPr>
          <w:p>
            <w:pPr>
              <w:jc w:val="center"/>
            </w:pPr>
            <w:r>
              <w:rPr>
                <w:rFonts w:ascii="Times New Roman" w:hAnsi="Times New Roman"/>
                <w:sz w:val="24"/>
              </w:rPr>
              <w:t>attenuation</w:t>
            </w:r>
          </w:p>
        </w:tc>
        <w:tc>
          <w:tcPr>
            <w:tcW w:type="dxa" w:w="4320"/>
          </w:tcPr>
          <w:p>
            <w:pPr>
              <w:jc w:val="center"/>
            </w:pPr>
          </w:p>
        </w:tc>
      </w:tr>
      <w:tr>
        <w:tc>
          <w:tcPr>
            <w:tcW w:type="dxa" w:w="4320"/>
          </w:tcPr>
          <w:p>
            <w:pPr>
              <w:jc w:val="center"/>
            </w:pPr>
            <w:r>
              <w:rPr>
                <w:rFonts w:ascii="Times New Roman" w:hAnsi="Times New Roman"/>
                <w:sz w:val="24"/>
              </w:rPr>
              <w:t>Attenuation% = (I₀−I_ch3)/I₀×100</w:t>
            </w:r>
          </w:p>
        </w:tc>
        <w:tc>
          <w:tcPr>
            <w:tcW w:type="dxa" w:w="4320"/>
          </w:tcPr>
          <w:p>
            <w:pPr>
              <w:jc w:val="center"/>
            </w:pPr>
          </w:p>
        </w:tc>
      </w:tr>
    </w:tbl>
    <w:p>
      <w:pPr>
        <w:jc w:val="left"/>
      </w:pPr>
      <w:r>
        <w:rPr>
          <w:rFonts w:ascii="Times New Roman" w:hAnsi="Times New Roman" w:eastAsia="Times New Roman"/>
          <w:b/>
          <w:sz w:val="32"/>
        </w:rPr>
        <w:t>7. Results &amp; Discussion</w:t>
      </w:r>
    </w:p>
    <w:p>
      <w:pPr>
        <w:jc w:val="left"/>
      </w:pPr>
      <w:r>
        <w:rPr>
          <w:rFonts w:ascii="Times New Roman" w:hAnsi="Times New Roman" w:eastAsia="Times New Roman"/>
          <w:b/>
          <w:sz w:val="28"/>
        </w:rPr>
        <w:t>7.1. Radiation Flux Profile</w:t>
      </w:r>
    </w:p>
    <w:p>
      <w:r>
        <w:rPr>
          <w:rFonts w:ascii="Times New Roman" w:hAnsi="Times New Roman" w:eastAsia="Times New Roman"/>
          <w:b w:val="0"/>
          <w:sz w:val="24"/>
        </w:rPr>
        <w:t>The simulated 48-hour LEO radiation flux profile successfully reproduces the characteristic features of the ISS radiation environment: a GCR baseline of 200 uGy/hr with superimposed SAA passage spikes reaching 650-700 uGy/hr approximately every 4 hours. This is consistent with measurements reported by Cucinotta et al. (2011) using personal dosimeters aboard the ISS.</w:t>
      </w:r>
    </w:p>
    <w:p>
      <w:r>
        <w:rPr>
          <w:rFonts w:ascii="Times New Roman" w:hAnsi="Times New Roman" w:eastAsia="Times New Roman"/>
          <w:b w:val="0"/>
          <w:sz w:val="24"/>
        </w:rPr>
        <w:t>The hysteresis controller correctly identifies 11 OPEN events over the 48-hour period, corresponding to SAA passages where flux exceeds the 500 uGy/hr upper threshold. The deadband (350-500 uGy/hr) prevents valve chatter during the decay phase of each SAA spike.</w:t>
      </w:r>
    </w:p>
    <w:tbl>
      <w:tblPr>
        <w:tblW w:type="auto" w:w="0"/>
        <w:jc w:val="center"/>
        <w:tblLook w:firstColumn="1" w:firstRow="1" w:lastColumn="0" w:lastRow="0" w:noHBand="0" w:noVBand="1" w:val="04A0"/>
      </w:tblPr>
      <w:tblGrid>
        <w:gridCol w:w="8640"/>
      </w:tblGrid>
      <w:tr>
        <w:tc>
          <w:tcPr>
            <w:tcW w:type="dxa" w:w="8640"/>
          </w:tcPr>
          <w:p>
            <w:pPr>
              <w:jc w:val="center"/>
            </w:pPr>
            <w:r>
              <w:drawing>
                <wp:inline xmlns:a="http://schemas.openxmlformats.org/drawingml/2006/main" xmlns:pic="http://schemas.openxmlformats.org/drawingml/2006/picture">
                  <wp:extent cx="4572000" cy="3810000"/>
                  <wp:docPr id="5" name="Picture 5"/>
                  <wp:cNvGraphicFramePr>
                    <a:graphicFrameLocks noChangeAspect="1"/>
                  </wp:cNvGraphicFramePr>
                  <a:graphic>
                    <a:graphicData uri="http://schemas.openxmlformats.org/drawingml/2006/picture">
                      <pic:pic>
                        <pic:nvPicPr>
                          <pic:cNvPr id="0" name="fig1_environment.png"/>
                          <pic:cNvPicPr/>
                        </pic:nvPicPr>
                        <pic:blipFill>
                          <a:blip r:embed="rId13"/>
                          <a:stretch>
                            <a:fillRect/>
                          </a:stretch>
                        </pic:blipFill>
                        <pic:spPr>
                          <a:xfrm>
                            <a:off x="0" y="0"/>
                            <a:ext cx="4572000" cy="3810000"/>
                          </a:xfrm>
                          <a:prstGeom prst="rect"/>
                        </pic:spPr>
                      </pic:pic>
                    </a:graphicData>
                  </a:graphic>
                </wp:inline>
              </w:drawing>
            </w:r>
          </w:p>
        </w:tc>
      </w:tr>
      <w:tr>
        <w:tc>
          <w:tcPr>
            <w:tcW w:type="dxa" w:w="8640"/>
          </w:tcPr>
          <w:p>
            <w:pPr>
              <w:jc w:val="center"/>
            </w:pPr>
            <w:r>
              <w:rPr>
                <w:rFonts w:ascii="Times New Roman" w:hAnsi="Times New Roman" w:eastAsia="Times New Roman"/>
                <w:b w:val="0"/>
                <w:sz w:val="20"/>
              </w:rPr>
              <w:t>Fig 1: LEO Radiation Flux Profile over 48 hours with Hysteresis Valve State Overlay. GCR baseline = 200 uGy/hr; SAA peaks reach ~672 uGy/hr. 11 valve OPEN events shown.</w:t>
            </w:r>
          </w:p>
        </w:tc>
      </w:tr>
    </w:tbl>
    <w:p>
      <w:pPr>
        <w:jc w:val="left"/>
      </w:pPr>
      <w:r>
        <w:rPr>
          <w:rFonts w:ascii="Times New Roman" w:hAnsi="Times New Roman" w:eastAsia="Times New Roman"/>
          <w:b/>
          <w:sz w:val="28"/>
        </w:rPr>
        <w:t>7.2. Fungal Growth Kinetics</w:t>
      </w:r>
    </w:p>
    <w:p>
      <w:r>
        <w:rPr>
          <w:rFonts w:ascii="Times New Roman" w:hAnsi="Times New Roman" w:eastAsia="Times New Roman"/>
          <w:b w:val="0"/>
          <w:sz w:val="24"/>
        </w:rPr>
        <w:t>Both fungal strains follow the expected sigmoid (logistic) growth trajectory, reaching near-saturation (N approx. 0.999 g/L) by t approx. 30 hours. The slightly higher growth rate of C. sphaerospermum (r = 0.299 h^-1 vs 0.270 h^-1) causes it to enter the stationary phase approximately 2 hours earlier. The valve-state modulation produces a modest but visible inflection in the growth curve during SAA passage events, corresponding to the 50% nutrient-restriction penalty applied during OPEN states.</w:t>
      </w:r>
    </w:p>
    <w:tbl>
      <w:tblPr>
        <w:tblW w:type="auto" w:w="0"/>
        <w:jc w:val="center"/>
        <w:tblLook w:firstColumn="1" w:firstRow="1" w:lastColumn="0" w:lastRow="0" w:noHBand="0" w:noVBand="1" w:val="04A0"/>
      </w:tblPr>
      <w:tblGrid>
        <w:gridCol w:w="8640"/>
      </w:tblGrid>
      <w:tr>
        <w:tc>
          <w:tcPr>
            <w:tcW w:type="dxa" w:w="8640"/>
          </w:tcPr>
          <w:p>
            <w:pPr>
              <w:jc w:val="center"/>
            </w:pPr>
            <w:r>
              <w:drawing>
                <wp:inline xmlns:a="http://schemas.openxmlformats.org/drawingml/2006/main" xmlns:pic="http://schemas.openxmlformats.org/drawingml/2006/picture">
                  <wp:extent cx="4572000" cy="3048000"/>
                  <wp:docPr id="6" name="Picture 6"/>
                  <wp:cNvGraphicFramePr>
                    <a:graphicFrameLocks noChangeAspect="1"/>
                  </wp:cNvGraphicFramePr>
                  <a:graphic>
                    <a:graphicData uri="http://schemas.openxmlformats.org/drawingml/2006/picture">
                      <pic:pic>
                        <pic:nvPicPr>
                          <pic:cNvPr id="0" name="fig2_biology.png"/>
                          <pic:cNvPicPr/>
                        </pic:nvPicPr>
                        <pic:blipFill>
                          <a:blip r:embed="rId14"/>
                          <a:stretch>
                            <a:fillRect/>
                          </a:stretch>
                        </pic:blipFill>
                        <pic:spPr>
                          <a:xfrm>
                            <a:off x="0" y="0"/>
                            <a:ext cx="4572000" cy="3048000"/>
                          </a:xfrm>
                          <a:prstGeom prst="rect"/>
                        </pic:spPr>
                      </pic:pic>
                    </a:graphicData>
                  </a:graphic>
                </wp:inline>
              </w:drawing>
            </w:r>
          </w:p>
        </w:tc>
      </w:tr>
      <w:tr>
        <w:tc>
          <w:tcPr>
            <w:tcW w:type="dxa" w:w="8640"/>
          </w:tcPr>
          <w:p>
            <w:pPr>
              <w:jc w:val="center"/>
            </w:pPr>
            <w:r>
              <w:rPr>
                <w:rFonts w:ascii="Times New Roman" w:hAnsi="Times New Roman" w:eastAsia="Times New Roman"/>
                <w:b w:val="0"/>
                <w:sz w:val="20"/>
              </w:rPr>
              <w:t>Fig 2: Fungal Biomass Growth — Logistic ODE. Both strains approach K = 1.0 g/L. Valve OPEN events produce slight growth suppression visible as slope changes.</w:t>
            </w:r>
          </w:p>
        </w:tc>
      </w:tr>
    </w:tbl>
    <w:tbl>
      <w:tblPr>
        <w:tblW w:type="auto" w:w="0"/>
        <w:jc w:val="center"/>
        <w:tblLook w:firstColumn="1" w:firstRow="1" w:lastColumn="0" w:lastRow="0" w:noHBand="0" w:noVBand="1" w:val="04A0"/>
      </w:tblPr>
      <w:tblGrid>
        <w:gridCol w:w="8640"/>
      </w:tblGrid>
      <w:tr>
        <w:tc>
          <w:tcPr>
            <w:tcW w:type="dxa" w:w="8640"/>
          </w:tcPr>
          <w:p>
            <w:pPr>
              <w:jc w:val="center"/>
            </w:pPr>
            <w:r>
              <w:drawing>
                <wp:inline xmlns:a="http://schemas.openxmlformats.org/drawingml/2006/main" xmlns:pic="http://schemas.openxmlformats.org/drawingml/2006/picture">
                  <wp:extent cx="4572000" cy="2286000"/>
                  <wp:docPr id="7" name="Picture 7"/>
                  <wp:cNvGraphicFramePr>
                    <a:graphicFrameLocks noChangeAspect="1"/>
                  </wp:cNvGraphicFramePr>
                  <a:graphic>
                    <a:graphicData uri="http://schemas.openxmlformats.org/drawingml/2006/picture">
                      <pic:pic>
                        <pic:nvPicPr>
                          <pic:cNvPr id="0" name="fig4_od600_proxy.png"/>
                          <pic:cNvPicPr/>
                        </pic:nvPicPr>
                        <pic:blipFill>
                          <a:blip r:embed="rId15"/>
                          <a:stretch>
                            <a:fillRect/>
                          </a:stretch>
                        </pic:blipFill>
                        <pic:spPr>
                          <a:xfrm>
                            <a:off x="0" y="0"/>
                            <a:ext cx="4572000" cy="2286000"/>
                          </a:xfrm>
                          <a:prstGeom prst="rect"/>
                        </pic:spPr>
                      </pic:pic>
                    </a:graphicData>
                  </a:graphic>
                </wp:inline>
              </w:drawing>
            </w:r>
          </w:p>
        </w:tc>
      </w:tr>
      <w:tr>
        <w:tc>
          <w:tcPr>
            <w:tcW w:type="dxa" w:w="8640"/>
          </w:tcPr>
          <w:p>
            <w:pPr>
              <w:jc w:val="center"/>
            </w:pPr>
            <w:r>
              <w:rPr>
                <w:rFonts w:ascii="Times New Roman" w:hAnsi="Times New Roman" w:eastAsia="Times New Roman"/>
                <w:b w:val="0"/>
                <w:sz w:val="20"/>
              </w:rPr>
              <w:t>Fig 4: OD600 Optical Density Proxy — simulating auxiliary computer camera output. OD = k.N where k = 3.0 OD.L/g.</w:t>
            </w:r>
          </w:p>
        </w:tc>
      </w:tr>
    </w:tbl>
    <w:p>
      <w:pPr>
        <w:jc w:val="left"/>
      </w:pPr>
      <w:r>
        <w:rPr>
          <w:rFonts w:ascii="Times New Roman" w:hAnsi="Times New Roman" w:eastAsia="Times New Roman"/>
          <w:b/>
          <w:sz w:val="28"/>
        </w:rPr>
        <w:t>7.3. Attenuation Comparison &amp; Primary Result</w:t>
      </w:r>
    </w:p>
    <w:p>
      <w:r>
        <w:rPr>
          <w:rFonts w:ascii="Times New Roman" w:hAnsi="Times New Roman" w:eastAsia="Times New Roman"/>
          <w:b w:val="0"/>
          <w:sz w:val="24"/>
        </w:rPr>
        <w:t>The primary scientific result is presented in Fig 3. Both fungal chambers show monotonically increasing radiation attenuation as melanin biomass accumulates, levelling off as the cultures reach carrying capacity. The simulation result for CH-2 (2.169%) is in excellent agreement with the ISS-measured value of 2.17% (Shunk et al., 2020), validating the Beer-Lambert model calibration.</w:t>
      </w:r>
    </w:p>
    <w:p>
      <w:r>
        <w:rPr>
          <w:rFonts w:ascii="Times New Roman" w:hAnsi="Times New Roman" w:eastAsia="Times New Roman"/>
          <w:b w:val="0"/>
          <w:sz w:val="24"/>
        </w:rPr>
        <w:t>W. dermatitidis (CH-3) achieves 2.593% peak attenuation — a 19.6% improvement over the C. sphaerospermum baseline. This result is consistent with the higher melanin content per unit biomass of W. dermatitidis reported by Dadachova et al. (2008), and supports the hypothesis that strains with higher melanin density per cell are superior radiation shielding candidates.</w:t>
      </w:r>
    </w:p>
    <w:p>
      <w:pPr>
        <w:jc w:val="center"/>
      </w:pPr>
      <w:r>
        <w:rPr>
          <w:rFonts w:ascii="Times New Roman" w:hAnsi="Times New Roman" w:eastAsia="Times New Roman"/>
          <w:b/>
          <w:sz w:val="24"/>
        </w:rPr>
        <w:t>Table 8: Key Simulation Results Summary</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Metric</w:t>
            </w:r>
          </w:p>
        </w:tc>
        <w:tc>
          <w:tcPr>
            <w:tcW w:type="dxa" w:w="4320"/>
          </w:tcPr>
          <w:p>
            <w:pPr>
              <w:jc w:val="center"/>
            </w:pPr>
          </w:p>
        </w:tc>
      </w:tr>
      <w:tr>
        <w:tc>
          <w:tcPr>
            <w:tcW w:type="dxa" w:w="4320"/>
          </w:tcPr>
          <w:p>
            <w:pPr>
              <w:jc w:val="center"/>
            </w:pPr>
            <w:r>
              <w:rPr>
                <w:rFonts w:ascii="Times New Roman" w:hAnsi="Times New Roman"/>
                <w:sz w:val="24"/>
              </w:rPr>
              <w:t>CH-1 (Control)</w:t>
            </w:r>
          </w:p>
        </w:tc>
        <w:tc>
          <w:tcPr>
            <w:tcW w:type="dxa" w:w="4320"/>
          </w:tcPr>
          <w:p>
            <w:pPr>
              <w:jc w:val="center"/>
            </w:pPr>
          </w:p>
        </w:tc>
      </w:tr>
      <w:tr>
        <w:tc>
          <w:tcPr>
            <w:tcW w:type="dxa" w:w="4320"/>
          </w:tcPr>
          <w:p>
            <w:pPr>
              <w:jc w:val="center"/>
            </w:pPr>
            <w:r>
              <w:rPr>
                <w:rFonts w:ascii="Times New Roman" w:hAnsi="Times New Roman"/>
                <w:sz w:val="24"/>
              </w:rPr>
              <w:t>CH-2 (C. sphaerospermum)</w:t>
            </w:r>
          </w:p>
        </w:tc>
        <w:tc>
          <w:tcPr>
            <w:tcW w:type="dxa" w:w="4320"/>
          </w:tcPr>
          <w:p>
            <w:pPr>
              <w:jc w:val="center"/>
            </w:pPr>
          </w:p>
        </w:tc>
      </w:tr>
      <w:tr>
        <w:tc>
          <w:tcPr>
            <w:tcW w:type="dxa" w:w="4320"/>
          </w:tcPr>
          <w:p>
            <w:pPr>
              <w:jc w:val="center"/>
            </w:pPr>
            <w:r>
              <w:rPr>
                <w:rFonts w:ascii="Times New Roman" w:hAnsi="Times New Roman"/>
                <w:sz w:val="24"/>
              </w:rPr>
              <w:t>CH-3 (W. dermatitidis)</w:t>
            </w:r>
          </w:p>
        </w:tc>
        <w:tc>
          <w:tcPr>
            <w:tcW w:type="dxa" w:w="4320"/>
          </w:tcPr>
          <w:p>
            <w:pPr>
              <w:jc w:val="center"/>
            </w:pPr>
          </w:p>
        </w:tc>
      </w:tr>
      <w:tr>
        <w:tc>
          <w:tcPr>
            <w:tcW w:type="dxa" w:w="4320"/>
          </w:tcPr>
          <w:p>
            <w:pPr>
              <w:jc w:val="center"/>
            </w:pPr>
            <w:r>
              <w:rPr>
                <w:rFonts w:ascii="Times New Roman" w:hAnsi="Times New Roman"/>
                <w:sz w:val="24"/>
              </w:rPr>
              <w:t>Peak Attn%</w:t>
            </w:r>
          </w:p>
        </w:tc>
        <w:tc>
          <w:tcPr>
            <w:tcW w:type="dxa" w:w="4320"/>
          </w:tcPr>
          <w:p>
            <w:pPr>
              <w:jc w:val="center"/>
            </w:pPr>
          </w:p>
        </w:tc>
      </w:tr>
    </w:tbl>
    <w:p>
      <w:r>
        <w:rPr>
          <w:rFonts w:ascii="Times New Roman" w:hAnsi="Times New Roman" w:eastAsia="Times New Roman"/>
          <w:b w:val="0"/>
          <w:sz w:val="24"/>
        </w:rPr>
        <w:t>0.000%</w:t>
      </w:r>
    </w:p>
    <w:p>
      <w:r>
        <w:rPr>
          <w:rFonts w:ascii="Times New Roman" w:hAnsi="Times New Roman" w:eastAsia="Times New Roman"/>
          <w:b w:val="0"/>
          <w:sz w:val="24"/>
        </w:rPr>
        <w:t>2.169%</w:t>
      </w:r>
    </w:p>
    <w:p>
      <w:r>
        <w:rPr>
          <w:rFonts w:ascii="Times New Roman" w:hAnsi="Times New Roman" w:eastAsia="Times New Roman"/>
          <w:b w:val="0"/>
          <w:sz w:val="24"/>
        </w:rPr>
        <w:t>2.593%</w:t>
      </w:r>
    </w:p>
    <w:p>
      <w:r>
        <w:rPr>
          <w:rFonts w:ascii="Times New Roman" w:hAnsi="Times New Roman" w:eastAsia="Times New Roman"/>
          <w:b w:val="0"/>
          <w:sz w:val="24"/>
        </w:rPr>
        <w:t>ISS reference</w:t>
      </w:r>
    </w:p>
    <w:p>
      <w:r>
        <w:rPr>
          <w:rFonts w:ascii="Times New Roman" w:hAnsi="Times New Roman" w:eastAsia="Times New Roman"/>
          <w:b w:val="0"/>
          <w:sz w:val="24"/>
        </w:rPr>
        <w:t>—</w:t>
      </w:r>
    </w:p>
    <w:p>
      <w:r>
        <w:rPr>
          <w:rFonts w:ascii="Times New Roman" w:hAnsi="Times New Roman" w:eastAsia="Times New Roman"/>
          <w:b w:val="0"/>
          <w:sz w:val="24"/>
        </w:rPr>
        <w:t>2.17% ✓</w:t>
      </w:r>
    </w:p>
    <w:p>
      <w:r>
        <w:rPr>
          <w:rFonts w:ascii="Times New Roman" w:hAnsi="Times New Roman" w:eastAsia="Times New Roman"/>
          <w:b w:val="0"/>
          <w:sz w:val="24"/>
        </w:rPr>
        <w:t>Not yet measured</w:t>
      </w:r>
    </w:p>
    <w:p>
      <w:r>
        <w:rPr>
          <w:rFonts w:ascii="Times New Roman" w:hAnsi="Times New Roman" w:eastAsia="Times New Roman"/>
          <w:b w:val="0"/>
          <w:sz w:val="24"/>
        </w:rPr>
        <w:t>Final biomass N</w:t>
      </w:r>
    </w:p>
    <w:p>
      <w:r>
        <w:rPr>
          <w:rFonts w:ascii="Times New Roman" w:hAnsi="Times New Roman" w:eastAsia="Times New Roman"/>
          <w:b w:val="0"/>
          <w:sz w:val="24"/>
        </w:rPr>
        <w:t>—</w:t>
      </w:r>
    </w:p>
    <w:p>
      <w:r>
        <w:rPr>
          <w:rFonts w:ascii="Times New Roman" w:hAnsi="Times New Roman" w:eastAsia="Times New Roman"/>
          <w:b w:val="0"/>
          <w:sz w:val="24"/>
        </w:rPr>
        <w:t>0.9992 g/L</w:t>
      </w:r>
    </w:p>
    <w:p>
      <w:r>
        <w:rPr>
          <w:rFonts w:ascii="Times New Roman" w:hAnsi="Times New Roman" w:eastAsia="Times New Roman"/>
          <w:b w:val="0"/>
          <w:sz w:val="24"/>
        </w:rPr>
        <w:t>1.0007 g/L</w:t>
      </w:r>
    </w:p>
    <w:p>
      <w:r>
        <w:rPr>
          <w:rFonts w:ascii="Times New Roman" w:hAnsi="Times New Roman" w:eastAsia="Times New Roman"/>
          <w:b w:val="0"/>
          <w:sz w:val="24"/>
        </w:rPr>
        <w:t>Peak OD600</w:t>
      </w:r>
    </w:p>
    <w:p>
      <w:r>
        <w:rPr>
          <w:rFonts w:ascii="Times New Roman" w:hAnsi="Times New Roman" w:eastAsia="Times New Roman"/>
          <w:b w:val="0"/>
          <w:sz w:val="24"/>
        </w:rPr>
        <w:t>—</w:t>
      </w:r>
    </w:p>
    <w:p>
      <w:r>
        <w:rPr>
          <w:rFonts w:ascii="Times New Roman" w:hAnsi="Times New Roman" w:eastAsia="Times New Roman"/>
          <w:b w:val="0"/>
          <w:sz w:val="24"/>
        </w:rPr>
        <w:t>2.998</w:t>
      </w:r>
    </w:p>
    <w:p>
      <w:r>
        <w:rPr>
          <w:rFonts w:ascii="Times New Roman" w:hAnsi="Times New Roman" w:eastAsia="Times New Roman"/>
          <w:b w:val="0"/>
          <w:sz w:val="24"/>
        </w:rPr>
        <w:t>3.015</w:t>
      </w:r>
    </w:p>
    <w:p>
      <w:r>
        <w:rPr>
          <w:rFonts w:ascii="Times New Roman" w:hAnsi="Times New Roman" w:eastAsia="Times New Roman"/>
          <w:b w:val="0"/>
          <w:sz w:val="24"/>
        </w:rPr>
        <w:t>Melanin thickness at peak</w:t>
      </w:r>
    </w:p>
    <w:p>
      <w:r>
        <w:rPr>
          <w:rFonts w:ascii="Times New Roman" w:hAnsi="Times New Roman" w:eastAsia="Times New Roman"/>
          <w:b w:val="0"/>
          <w:sz w:val="24"/>
        </w:rPr>
        <w:t>—</w:t>
      </w:r>
    </w:p>
    <w:p>
      <w:r>
        <w:rPr>
          <w:rFonts w:ascii="Times New Roman" w:hAnsi="Times New Roman" w:eastAsia="Times New Roman"/>
          <w:b w:val="0"/>
          <w:sz w:val="24"/>
        </w:rPr>
        <w:t>0.3643 cm</w:t>
      </w:r>
    </w:p>
    <w:p>
      <w:r>
        <w:rPr>
          <w:rFonts w:ascii="Times New Roman" w:hAnsi="Times New Roman" w:eastAsia="Times New Roman"/>
          <w:b w:val="0"/>
          <w:sz w:val="24"/>
        </w:rPr>
        <w:t>0.4191 cm</w:t>
      </w:r>
    </w:p>
    <w:p>
      <w:r>
        <w:rPr>
          <w:rFonts w:ascii="Times New Roman" w:hAnsi="Times New Roman" w:eastAsia="Times New Roman"/>
          <w:b w:val="0"/>
          <w:sz w:val="24"/>
        </w:rPr>
        <w:t>Verdict</w:t>
      </w:r>
    </w:p>
    <w:p>
      <w:r>
        <w:rPr>
          <w:rFonts w:ascii="Times New Roman" w:hAnsi="Times New Roman" w:eastAsia="Times New Roman"/>
          <w:b w:val="0"/>
          <w:sz w:val="24"/>
        </w:rPr>
        <w:t>—</w:t>
      </w:r>
    </w:p>
    <w:p>
      <w:r>
        <w:rPr>
          <w:rFonts w:ascii="Times New Roman" w:hAnsi="Times New Roman" w:eastAsia="Times New Roman"/>
          <w:b w:val="0"/>
          <w:sz w:val="24"/>
        </w:rPr>
        <w:t>Baseline validated</w:t>
      </w:r>
    </w:p>
    <w:p>
      <w:r>
        <w:rPr>
          <w:rFonts w:ascii="Times New Roman" w:hAnsi="Times New Roman" w:eastAsia="Times New Roman"/>
          <w:b w:val="0"/>
          <w:sz w:val="24"/>
        </w:rPr>
        <w:t>BETTER SHIELD ✓</w:t>
      </w:r>
    </w:p>
    <w:tbl>
      <w:tblPr>
        <w:tblW w:type="auto" w:w="0"/>
        <w:jc w:val="center"/>
        <w:tblLook w:firstColumn="1" w:firstRow="1" w:lastColumn="0" w:lastRow="0" w:noHBand="0" w:noVBand="1" w:val="04A0"/>
      </w:tblPr>
      <w:tblGrid>
        <w:gridCol w:w="8640"/>
      </w:tblGrid>
      <w:tr>
        <w:tc>
          <w:tcPr>
            <w:tcW w:type="dxa" w:w="8640"/>
          </w:tcPr>
          <w:p>
            <w:pPr>
              <w:jc w:val="center"/>
            </w:pPr>
            <w:r>
              <w:drawing>
                <wp:inline xmlns:a="http://schemas.openxmlformats.org/drawingml/2006/main" xmlns:pic="http://schemas.openxmlformats.org/drawingml/2006/picture">
                  <wp:extent cx="4572000" cy="2286000"/>
                  <wp:docPr id="8" name="Picture 8"/>
                  <wp:cNvGraphicFramePr>
                    <a:graphicFrameLocks noChangeAspect="1"/>
                  </wp:cNvGraphicFramePr>
                  <a:graphic>
                    <a:graphicData uri="http://schemas.openxmlformats.org/drawingml/2006/picture">
                      <pic:pic>
                        <pic:nvPicPr>
                          <pic:cNvPr id="0" name="fig3_attenuation.png"/>
                          <pic:cNvPicPr/>
                        </pic:nvPicPr>
                        <pic:blipFill>
                          <a:blip r:embed="rId16"/>
                          <a:stretch>
                            <a:fillRect/>
                          </a:stretch>
                        </pic:blipFill>
                        <pic:spPr>
                          <a:xfrm>
                            <a:off x="0" y="0"/>
                            <a:ext cx="4572000" cy="2286000"/>
                          </a:xfrm>
                          <a:prstGeom prst="rect"/>
                        </pic:spPr>
                      </pic:pic>
                    </a:graphicData>
                  </a:graphic>
                </wp:inline>
              </w:drawing>
            </w:r>
          </w:p>
        </w:tc>
      </w:tr>
      <w:tr>
        <w:tc>
          <w:tcPr>
            <w:tcW w:type="dxa" w:w="8640"/>
          </w:tcPr>
          <w:p>
            <w:pPr>
              <w:jc w:val="center"/>
            </w:pPr>
            <w:r>
              <w:rPr>
                <w:rFonts w:ascii="Times New Roman" w:hAnsi="Times New Roman" w:eastAsia="Times New Roman"/>
                <w:b w:val="0"/>
                <w:sz w:val="20"/>
              </w:rPr>
              <w:t>Fig 3: Radiation Attenuation (%) vs Time — CH-2 vs CH-3 with ISS reference line (2.17%). CH-3 (W. dermatitidis) consistently outperforms CH-2. Shaded area = differential advantage.</w:t>
            </w:r>
          </w:p>
        </w:tc>
      </w:tr>
    </w:tbl>
    <w:p>
      <w:r>
        <w:rPr>
          <w:rFonts w:ascii="Times New Roman" w:hAnsi="Times New Roman" w:eastAsia="Times New Roman"/>
          <w:b w:val="0"/>
          <w:sz w:val="24"/>
        </w:rPr>
        <w:t>7.4. 3D Structural Model — Autodesk Fusion 360</w:t>
      </w:r>
    </w:p>
    <w:p>
      <w:r>
        <w:rPr>
          <w:rFonts w:ascii="Times New Roman" w:hAnsi="Times New Roman" w:eastAsia="Times New Roman"/>
          <w:b w:val="0"/>
          <w:sz w:val="24"/>
        </w:rPr>
        <w:t>The physical payload structure is modelled in Autodesk Fusion 360 to the 1U CubeSat standard (CDS Rev. 14). The model includes all primary structural and electronic components: the aluminium shell, the 3-chamber LOC chip assembly, two Raspberry Pi Zero W boards, all sensors, and the LiPo battery pack.</w:t>
      </w:r>
    </w:p>
    <w:tbl>
      <w:tblPr>
        <w:tblW w:type="auto" w:w="0"/>
        <w:jc w:val="center"/>
        <w:tblLook w:firstColumn="1" w:firstRow="1" w:lastColumn="0" w:lastRow="0" w:noHBand="0" w:noVBand="1" w:val="04A0"/>
      </w:tblPr>
      <w:tblGrid>
        <w:gridCol w:w="8640"/>
      </w:tblGrid>
      <w:tr>
        <w:tc>
          <w:tcPr>
            <w:tcW w:type="dxa" w:w="8640"/>
          </w:tcPr>
          <w:p>
            <w:pPr>
              <w:jc w:val="center"/>
            </w:pPr>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fig_cad_master.png"/>
                          <pic:cNvPicPr/>
                        </pic:nvPicPr>
                        <pic:blipFill>
                          <a:blip r:embed="rId17"/>
                          <a:stretch>
                            <a:fillRect/>
                          </a:stretch>
                        </pic:blipFill>
                        <pic:spPr>
                          <a:xfrm>
                            <a:off x="0" y="0"/>
                            <a:ext cx="4572000" cy="4572000"/>
                          </a:xfrm>
                          <a:prstGeom prst="rect"/>
                        </pic:spPr>
                      </pic:pic>
                    </a:graphicData>
                  </a:graphic>
                </wp:inline>
              </w:drawing>
            </w:r>
          </w:p>
        </w:tc>
      </w:tr>
      <w:tr>
        <w:tc>
          <w:tcPr>
            <w:tcW w:type="dxa" w:w="8640"/>
          </w:tcPr>
          <w:p>
            <w:pPr>
              <w:jc w:val="center"/>
            </w:pPr>
            <w:r>
              <w:rPr>
                <w:rFonts w:ascii="Times New Roman" w:hAnsi="Times New Roman" w:eastAsia="Times New Roman"/>
                <w:b w:val="0"/>
                <w:sz w:val="20"/>
              </w:rPr>
              <w:t>Fig 10: Reference 3D model — LOC CubeSat internal layout showing 1U shell (100x100x113.5 mm), 3-chamber LOC chip, stacked Raspberry Pi boards, sensor placement, and LiPo battery.</w:t>
            </w:r>
          </w:p>
        </w:tc>
      </w:tr>
    </w:tbl>
    <w:tbl>
      <w:tblPr>
        <w:tblW w:type="auto" w:w="0"/>
        <w:jc w:val="center"/>
        <w:tblLook w:firstColumn="1" w:firstRow="1" w:lastColumn="0" w:lastRow="0" w:noHBand="0" w:noVBand="1" w:val="04A0"/>
      </w:tblPr>
      <w:tblGrid>
        <w:gridCol w:w="8640"/>
      </w:tblGrid>
      <w:tr>
        <w:tc>
          <w:tcPr>
            <w:tcW w:type="dxa" w:w="8640"/>
          </w:tcPr>
          <w:p>
            <w:pPr>
              <w:jc w:val="center"/>
            </w:pPr>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fig_cad_master.png"/>
                          <pic:cNvPicPr/>
                        </pic:nvPicPr>
                        <pic:blipFill>
                          <a:blip r:embed="rId17"/>
                          <a:stretch>
                            <a:fillRect/>
                          </a:stretch>
                        </pic:blipFill>
                        <pic:spPr>
                          <a:xfrm>
                            <a:off x="0" y="0"/>
                            <a:ext cx="4572000" cy="4572000"/>
                          </a:xfrm>
                          <a:prstGeom prst="rect"/>
                        </pic:spPr>
                      </pic:pic>
                    </a:graphicData>
                  </a:graphic>
                </wp:inline>
              </w:drawing>
            </w:r>
          </w:p>
        </w:tc>
      </w:tr>
      <w:tr>
        <w:tc>
          <w:tcPr>
            <w:tcW w:type="dxa" w:w="8640"/>
          </w:tcPr>
          <w:p>
            <w:pPr>
              <w:jc w:val="center"/>
            </w:pPr>
            <w:r>
              <w:rPr>
                <w:rFonts w:ascii="Times New Roman" w:hAnsi="Times New Roman" w:eastAsia="Times New Roman"/>
                <w:b w:val="0"/>
                <w:sz w:val="20"/>
              </w:rPr>
              <w:t>Fig CAD-1: LOC CubeSat 3D Model</w:t>
            </w:r>
          </w:p>
        </w:tc>
      </w:tr>
    </w:tbl>
    <w:p>
      <w:pPr>
        <w:jc w:val="left"/>
      </w:pPr>
      <w:r>
        <w:rPr>
          <w:rFonts w:ascii="Times New Roman" w:hAnsi="Times New Roman" w:eastAsia="Times New Roman"/>
          <w:b/>
          <w:sz w:val="32"/>
        </w:rPr>
        <w:t>8. Conclusions &amp; Future Work</w:t>
      </w:r>
    </w:p>
    <w:p>
      <w:pPr>
        <w:jc w:val="left"/>
      </w:pPr>
      <w:r>
        <w:rPr>
          <w:rFonts w:ascii="Times New Roman" w:hAnsi="Times New Roman" w:eastAsia="Times New Roman"/>
          <w:b/>
          <w:sz w:val="28"/>
        </w:rPr>
        <w:t>8.1. Conclusions</w:t>
      </w:r>
    </w:p>
    <w:p>
      <w:pPr>
        <w:jc w:val="left"/>
      </w:pPr>
      <w:r>
        <w:rPr>
          <w:rFonts w:ascii="Times New Roman" w:hAnsi="Times New Roman" w:eastAsia="Times New Roman"/>
          <w:b/>
          <w:sz w:val="32"/>
        </w:rPr>
        <w:t>1. The Beer-Lambert attenuation model, calibrated against the Shunk et al. (2020) ISS experimental result, reproduces the published 2.17% peak attenuation for C. sphaerospermum to within 0.01% (simulated: 2.169%), validating the computational approach.</w:t>
      </w:r>
    </w:p>
    <w:p>
      <w:pPr>
        <w:jc w:val="left"/>
      </w:pPr>
      <w:r>
        <w:rPr>
          <w:rFonts w:ascii="Times New Roman" w:hAnsi="Times New Roman" w:eastAsia="Times New Roman"/>
          <w:b/>
          <w:sz w:val="32"/>
        </w:rPr>
        <w:t>2. W. dermatitidis (CH-3) achieves a simulated peak attenuation of 2.593% — a 19.6% improvement over the ISS baseline — attributable to its higher DHN-melanin content per unit biomass (estimated 15-20% greater than C. sphaerospermum).</w:t>
      </w:r>
    </w:p>
    <w:p>
      <w:pPr>
        <w:jc w:val="left"/>
      </w:pPr>
      <w:r>
        <w:rPr>
          <w:rFonts w:ascii="Times New Roman" w:hAnsi="Times New Roman" w:eastAsia="Times New Roman"/>
          <w:b/>
          <w:sz w:val="32"/>
        </w:rPr>
        <w:t>3. The hysteresis control architecture successfully prevents valve chatter in the deadband zone (350-500 uGy/hr) and correctly identifies all 11 simulated SAA passage events over 48 hours.</w:t>
      </w:r>
    </w:p>
    <w:p>
      <w:pPr>
        <w:jc w:val="left"/>
      </w:pPr>
      <w:r>
        <w:rPr>
          <w:rFonts w:ascii="Times New Roman" w:hAnsi="Times New Roman" w:eastAsia="Times New Roman"/>
          <w:b/>
          <w:sz w:val="32"/>
        </w:rPr>
        <w:t>4. The electronics simulation (Wokwi / Arduino) correctly implements the same hysteresis logic in hardware, demonstrating consistency between software and hardware control implementations.</w:t>
      </w:r>
    </w:p>
    <w:p>
      <w:pPr>
        <w:jc w:val="left"/>
      </w:pPr>
      <w:r>
        <w:rPr>
          <w:rFonts w:ascii="Times New Roman" w:hAnsi="Times New Roman" w:eastAsia="Times New Roman"/>
          <w:b/>
          <w:sz w:val="32"/>
        </w:rPr>
        <w:t>5. Both fungal strains reach near-saturation biomass (N approx. 1.0 g/L) within 30 hours, making a 48-hour mission window appropriate for observing the full growth-to-plateau attenuation curve.</w:t>
      </w:r>
    </w:p>
    <w:p>
      <w:pPr>
        <w:jc w:val="left"/>
      </w:pPr>
      <w:r>
        <w:rPr>
          <w:rFonts w:ascii="Times New Roman" w:hAnsi="Times New Roman" w:eastAsia="Times New Roman"/>
          <w:b/>
          <w:sz w:val="28"/>
        </w:rPr>
        <w:t>8.2. Limitations</w:t>
      </w:r>
    </w:p>
    <w:p>
      <w:r>
        <w:rPr>
          <w:rFonts w:ascii="Times New Roman" w:hAnsi="Times New Roman" w:eastAsia="Times New Roman"/>
          <w:b w:val="0"/>
          <w:sz w:val="24"/>
        </w:rPr>
        <w:t>• The Beer-Lambert model assumes a uniform, homogeneous melanin layer, which may overestimate attenuation for inhomogeneous fungal colonies with patchy growth patterns.</w:t>
      </w:r>
    </w:p>
    <w:p>
      <w:r>
        <w:rPr>
          <w:rFonts w:ascii="Times New Roman" w:hAnsi="Times New Roman" w:eastAsia="Times New Roman"/>
          <w:b w:val="0"/>
          <w:sz w:val="24"/>
        </w:rPr>
        <w:t>• The actual mass attenuation coefficient mu for DHN-melanin in the mixed GCR + trapped proton spectrum has not been measured; the value used (0.043 cm^2/g) is for monoenergetic gamma radiation.</w:t>
      </w:r>
    </w:p>
    <w:p>
      <w:r>
        <w:rPr>
          <w:rFonts w:ascii="Times New Roman" w:hAnsi="Times New Roman" w:eastAsia="Times New Roman"/>
          <w:b w:val="0"/>
          <w:sz w:val="24"/>
        </w:rPr>
        <w:t>• Microgravity effects on melanin biosynthesis pathways are not modelled — in situ measurement would be required to confirm the alpha calibration in actual flight conditions.</w:t>
      </w:r>
    </w:p>
    <w:p>
      <w:pPr>
        <w:jc w:val="left"/>
      </w:pPr>
      <w:r>
        <w:rPr>
          <w:rFonts w:ascii="Times New Roman" w:hAnsi="Times New Roman" w:eastAsia="Times New Roman"/>
          <w:b/>
          <w:sz w:val="28"/>
        </w:rPr>
        <w:t>8.3. Future Work</w:t>
      </w:r>
    </w:p>
    <w:p>
      <w:r>
        <w:rPr>
          <w:rFonts w:ascii="Times New Roman" w:hAnsi="Times New Roman" w:eastAsia="Times New Roman"/>
          <w:b w:val="0"/>
          <w:sz w:val="24"/>
        </w:rPr>
        <w:t>• Extend the simulation to a 90-day mission timeline to model long-term melanin accumulation and potential photodegradation effects.</w:t>
      </w:r>
    </w:p>
    <w:p>
      <w:r>
        <w:rPr>
          <w:rFonts w:ascii="Times New Roman" w:hAnsi="Times New Roman" w:eastAsia="Times New Roman"/>
          <w:b w:val="0"/>
          <w:sz w:val="24"/>
        </w:rPr>
        <w:t>• Incorporate Monte Carlo radiation transport (Geant4 or FLUKA) to replace the Beer-Lambert approximation with a physics-accurate particle transport model.</w:t>
      </w:r>
    </w:p>
    <w:p>
      <w:r>
        <w:rPr>
          <w:rFonts w:ascii="Times New Roman" w:hAnsi="Times New Roman" w:eastAsia="Times New Roman"/>
          <w:b w:val="0"/>
          <w:sz w:val="24"/>
        </w:rPr>
        <w:t>• Add a fourth chamber containing Cryptococcus neoformans (DOPA-melanin) to compare across melanin biosynthesis pathways.</w:t>
      </w:r>
    </w:p>
    <w:p>
      <w:r>
        <w:rPr>
          <w:rFonts w:ascii="Times New Roman" w:hAnsi="Times New Roman" w:eastAsia="Times New Roman"/>
          <w:b w:val="0"/>
          <w:sz w:val="24"/>
        </w:rPr>
        <w:t>• Integrate real SPENVIS-exported flux data (via ESA SPENVIS portal) to replace the synthetic flux generator with mission-specific orbital dose rate profiles.</w:t>
      </w:r>
    </w:p>
    <w:p>
      <w:r>
        <w:rPr>
          <w:rFonts w:ascii="Times New Roman" w:hAnsi="Times New Roman" w:eastAsia="Times New Roman"/>
          <w:b w:val="0"/>
          <w:sz w:val="24"/>
        </w:rPr>
        <w:t>• Fabricate and test the physical LOC chip using 3D-printed polycarbonate chambers and validate OD600 optical density measurement with calibrated fungal cultures.</w:t>
      </w:r>
    </w:p>
    <w:p>
      <w:pPr>
        <w:jc w:val="left"/>
      </w:pPr>
      <w:r>
        <w:rPr>
          <w:rFonts w:ascii="Times New Roman" w:hAnsi="Times New Roman" w:eastAsia="Times New Roman"/>
          <w:b/>
          <w:sz w:val="32"/>
        </w:rPr>
        <w:t>9. References</w:t>
      </w:r>
    </w:p>
    <w:p>
      <w:r>
        <w:rPr>
          <w:rFonts w:ascii="Times New Roman" w:hAnsi="Times New Roman" w:eastAsia="Times New Roman"/>
          <w:b w:val="0"/>
          <w:sz w:val="24"/>
        </w:rPr>
        <w:t>[1] Shunk, G. K., Gu, X., &amp; Bhattacharya, S. (2020). A self-replicating radiation-shield for human deep-space exploration: Radiotrophic Fungus can attenuate ionizing radiation aboard the International Space Station. bioRxiv. https://doi.org/10.1101/2020.07.16.205534</w:t>
      </w:r>
    </w:p>
    <w:p>
      <w:r>
        <w:rPr>
          <w:rFonts w:ascii="Times New Roman" w:hAnsi="Times New Roman" w:eastAsia="Times New Roman"/>
          <w:b w:val="0"/>
          <w:sz w:val="24"/>
        </w:rPr>
        <w:t>[2] Dadachova, E., Bryan, R. A., Huang, X., et al. (2007). Ionizing radiation changes the electronic properties of melanin and enhances the growth of melanized fungi. PLOS ONE, 2(5), e457.</w:t>
      </w:r>
    </w:p>
    <w:p>
      <w:r>
        <w:rPr>
          <w:rFonts w:ascii="Times New Roman" w:hAnsi="Times New Roman" w:eastAsia="Times New Roman"/>
          <w:b w:val="0"/>
          <w:sz w:val="24"/>
        </w:rPr>
        <w:t>[3] Dadachova, E., &amp; Casadevall, A. (2008). Ionizing radiation: how fungi cope, adapt, and exploit with the help of melanin. Current Opinion in Microbiology, 11(6), 525-531.</w:t>
      </w:r>
    </w:p>
    <w:p>
      <w:r>
        <w:rPr>
          <w:rFonts w:ascii="Times New Roman" w:hAnsi="Times New Roman" w:eastAsia="Times New Roman"/>
          <w:b w:val="0"/>
          <w:sz w:val="24"/>
        </w:rPr>
        <w:t>[4] Bryan, R. A., &amp; Casadevall, A. (2014). Measurement of fungal melanin. Methods in Enzymology, 533, 241-253.</w:t>
      </w:r>
    </w:p>
    <w:p>
      <w:r>
        <w:rPr>
          <w:rFonts w:ascii="Times New Roman" w:hAnsi="Times New Roman" w:eastAsia="Times New Roman"/>
          <w:b w:val="0"/>
          <w:sz w:val="24"/>
        </w:rPr>
        <w:t>[5] Cucinotta, F. A., Kim, M.-H. Y., &amp; Chappell, L. J. (2011). Space Radiation Cancer Risk Projections and Uncertainties — 2010. NASA Technical Publication NASA/TP-2011-216155.</w:t>
      </w:r>
    </w:p>
    <w:p>
      <w:r>
        <w:rPr>
          <w:rFonts w:ascii="Times New Roman" w:hAnsi="Times New Roman" w:eastAsia="Times New Roman"/>
          <w:b w:val="0"/>
          <w:sz w:val="24"/>
        </w:rPr>
        <w:t>[6] Verhulst, P. F. (1838). Notice sur la loi que la population suit dans son accroissement. Correspondance Mathematique et Physique, 10, 113-121.</w:t>
      </w:r>
    </w:p>
    <w:p>
      <w:r>
        <w:rPr>
          <w:rFonts w:ascii="Times New Roman" w:hAnsi="Times New Roman" w:eastAsia="Times New Roman"/>
          <w:b w:val="0"/>
          <w:sz w:val="24"/>
        </w:rPr>
        <w:t>[7] Cal Poly SLO (2022). CubeSat Design Specification (CDS) Rev. 14. California Polytechnic State University.</w:t>
      </w:r>
    </w:p>
    <w:p>
      <w:r>
        <w:rPr>
          <w:rFonts w:ascii="Times New Roman" w:hAnsi="Times New Roman" w:eastAsia="Times New Roman"/>
          <w:b w:val="0"/>
          <w:sz w:val="24"/>
        </w:rPr>
        <w:t>[8] ESA (2024). SPENVIS — Space Environment Information System. European Space Agency. www.spenvis.oma.be</w:t>
      </w:r>
    </w:p>
    <w:p>
      <w:r>
        <w:rPr>
          <w:rFonts w:ascii="Times New Roman" w:hAnsi="Times New Roman" w:eastAsia="Times New Roman"/>
          <w:b w:val="0"/>
          <w:sz w:val="24"/>
        </w:rPr>
        <w:t>[9] Casadevall, A., Cordero, R. J. B., Bryan, R., et al. (2012). Melanin, radiation, and energy transduction in fungi. Mycologia, 104(5), 1003-1006.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