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WeldVision AI: A Research-Grade Deep Learning Framework for</w:t>
        <w:br/>
        <w:t>Real-Time Welding Defect Segmentation with Bayesian</w:t>
        <w:br/>
        <w:t>Uncertainty Quantification and Explainable AI</w:t>
      </w:r>
    </w:p>
    <w:p>
      <w:pPr>
        <w:jc w:val="center"/>
      </w:pPr>
      <w:r>
        <w:rPr>
          <w:rFonts w:ascii="Times New Roman" w:hAnsi="Times New Roman"/>
          <w:b/>
          <w:sz w:val="24"/>
        </w:rPr>
        <w:t>Badampudi Agasthya Anirudh</w:t>
      </w:r>
    </w:p>
    <w:p>
      <w:pPr>
        <w:jc w:val="center"/>
      </w:pPr>
      <w:r>
        <w:rPr>
          <w:rFonts w:ascii="Times New Roman" w:hAnsi="Times New Roman"/>
          <w:i/>
          <w:sz w:val="20"/>
        </w:rPr>
        <w:t>School of Computer Science and Engineering</w:t>
        <w:br/>
      </w:r>
      <w:r>
        <w:rPr>
          <w:rFonts w:ascii="Times New Roman" w:hAnsi="Times New Roman"/>
          <w:i/>
          <w:sz w:val="20"/>
        </w:rPr>
        <w:t>Vellore Institute of Technology, Vellore, India</w:t>
        <w:br/>
      </w:r>
      <w:r>
        <w:rPr>
          <w:rFonts w:ascii="Times New Roman" w:hAnsi="Times New Roman"/>
          <w:i/>
          <w:sz w:val="20"/>
        </w:rPr>
        <w:t>anirudhbadampudi@gmail.com</w:t>
        <w:br/>
      </w:r>
    </w:p>
    <w:p>
      <w:r>
        <w:rPr>
          <w:rFonts w:ascii="Times New Roman" w:hAnsi="Times New Roman"/>
          <w:b/>
          <w:sz w:val="24"/>
        </w:rPr>
        <w:t>ABSTRACT</w:t>
      </w:r>
    </w:p>
    <w:p>
      <w:pPr>
        <w:spacing w:after="80"/>
        <w:ind w:firstLine="425"/>
      </w:pPr>
      <w:r>
        <w:rPr>
          <w:rFonts w:ascii="Times New Roman" w:hAnsi="Times New Roman"/>
          <w:sz w:val="20"/>
        </w:rPr>
        <w:t>Welding defect detection is a critical quality assurance task in manufacturing and infrastructure industries. Traditional manual visual inspection methods are inherently subjective, time-consuming, and prone to human error, particularly in high-throughput production environments. This paper presents WeldVision AI, a comprehensive, research-grade deep learning framework for automated real-time welding defect segmentation and classification. The system integrates a U-Net architecture with a MobileNetV2 encoder backbone for efficient multi-class semantic segmentation, Monte Carlo (MC) Dropout for Bayesian uncertainty quantification, Test-Time Augmentation (TTA) for robust prediction aggregation, and a Guided Grad-CAM explainability pipeline for interpretable defect localization. A full-stack production system is implemented using FastAPI, SQLAlchemy, and Streamlit, featuring JWT-based authentication, persistent audit trails, LLM-powered repair advisory, digital twin synchronization metadata, acoustic signature simulation, and SHA-256 cryptographic integrity verification. The system classifies four primary steel surface defect types—Rolled-in Scale, Surface Patch, Scratch, and Inclusion—and provides severity-aware actionable recommendations. Experimental evaluation on synthetic and real-world steel surface datasets demonstrates that the proposed framework achieves competitive segmentation performance with a mean Intersection over Union (mIoU) of 0.72 and a mean Dice coefficient of 0.81, while maintaining sub-second inference latency on CPU hardware. The framework is designed for industrial deployment with mobile-first PWA support, enabling on-site inspection via smartphones on the manufacturing floor.</w:t>
      </w:r>
    </w:p>
    <w:p>
      <w:r>
        <w:rPr>
          <w:b/>
          <w:sz w:val="20"/>
        </w:rPr>
        <w:t xml:space="preserve">Keywords: </w:t>
      </w:r>
      <w:r>
        <w:rPr>
          <w:i/>
          <w:sz w:val="20"/>
        </w:rPr>
        <w:t>Welding defect detection, semantic segmentation, U-Net, Monte Carlo Dropout, Bayesian uncertainty, Grad-CAM, explainable AI, industrial quality assurance, digital twin, deep learning, non-destructive testing</w:t>
      </w:r>
    </w:p>
    <w:p>
      <w:r>
        <w:rPr>
          <w:rFonts w:ascii="Times New Roman" w:hAnsi="Times New Roman"/>
          <w:b/>
          <w:sz w:val="24"/>
        </w:rPr>
        <w:t>I. INTRODUCTION</w:t>
      </w:r>
    </w:p>
    <w:p>
      <w:pPr>
        <w:spacing w:after="80"/>
        <w:ind w:firstLine="425"/>
      </w:pPr>
      <w:r>
        <w:rPr>
          <w:rFonts w:ascii="Times New Roman" w:hAnsi="Times New Roman"/>
          <w:sz w:val="20"/>
        </w:rPr>
        <w:t>Welding is one of the most fundamental joining processes in modern manufacturing, structural engineering, and aerospace fabrication. The structural integrity of welded joints directly impacts the safety, reliability, and longevity of critical infrastructure such as bridges, pipelines, pressure vessels, and aircraft fuselages. Despite significant advances in automated welding technologies (e.g., robotic GMAW, laser hybrid welding), the quality assurance of weld seams continues to rely heavily on manual visual inspection (VT) performed by certified inspectors [1]. This reliance on human judgment introduces variability, fatigue-related errors, and throughput bottlenecks in high-volume production environments.</w:t>
      </w:r>
    </w:p>
    <w:p>
      <w:pPr>
        <w:spacing w:after="80"/>
        <w:ind w:firstLine="425"/>
      </w:pPr>
      <w:r>
        <w:rPr>
          <w:rFonts w:ascii="Times New Roman" w:hAnsi="Times New Roman"/>
          <w:sz w:val="20"/>
        </w:rPr>
        <w:t>Non-destructive testing (NDT) methods such as radiographic testing (RT), ultrasonic testing (UT), magnetic particle testing (MT), and dye penetrant testing (PT) provide more reliable defect characterization, but these methods are expensive, time-consuming, and often require offline sample preparation [2]. The emergence of deep learning-based computer vision systems offers a paradigm shift toward real-time, automated, and objective weld quality assessment. Convolutional neural networks (CNNs), in particular, have demonstrated remarkable success in image classification and semantic segmentation tasks relevant to surface defect detection [3].</w:t>
      </w:r>
    </w:p>
    <w:p>
      <w:pPr>
        <w:spacing w:after="80"/>
        <w:ind w:firstLine="425"/>
      </w:pPr>
      <w:r>
        <w:rPr>
          <w:rFonts w:ascii="Times New Roman" w:hAnsi="Times New Roman"/>
          <w:sz w:val="20"/>
        </w:rPr>
        <w:t>However, existing deep learning approaches for weld inspection face several critical limitations: (a) they often lack uncertainty quantification, providing overconfident predictions without calibrated confidence measures; (b) they function as opaque black-box models, making it difficult for quality engineers to understand and trust the model's decisions; (c) they are typically deployed as research prototypes without production-grade infrastructure for authentication, audit trails, and report generation; and (d) they rarely integrate domain-specific repair advisory systems that can translate model outputs into actionable maintenance decisions [4][5].</w:t>
      </w:r>
    </w:p>
    <w:p>
      <w:pPr>
        <w:spacing w:after="80"/>
        <w:ind w:firstLine="425"/>
      </w:pPr>
      <w:r>
        <w:rPr>
          <w:rFonts w:ascii="Times New Roman" w:hAnsi="Times New Roman"/>
          <w:sz w:val="20"/>
        </w:rPr>
        <w:t>This paper presents WeldVision AI, a holistic framework that addresses all of the above limitations. The core contributions of this work are as follows:</w:t>
      </w:r>
    </w:p>
    <w:p>
      <w:pPr>
        <w:pStyle w:val="ListBullet"/>
      </w:pPr>
      <w:r>
        <w:rPr>
          <w:sz w:val="20"/>
        </w:rPr>
        <w:t>A multi-class U-Net segmentation model with MobileNetV2 encoder for real-time defect classification of four steel surface defect types.</w:t>
      </w:r>
    </w:p>
    <w:p>
      <w:pPr>
        <w:pStyle w:val="ListBullet"/>
      </w:pPr>
      <w:r>
        <w:rPr>
          <w:sz w:val="20"/>
        </w:rPr>
        <w:t>Integration of Monte Carlo Dropout (MC Dropout) for Bayesian uncertainty quantification, enabling pixel-wise predictive variance estimation.</w:t>
      </w:r>
    </w:p>
    <w:p>
      <w:pPr>
        <w:pStyle w:val="ListBullet"/>
      </w:pPr>
      <w:r>
        <w:rPr>
          <w:sz w:val="20"/>
        </w:rPr>
        <w:t>Test-Time Augmentation (TTA) with horizontal flip ensembling for improved segmentation robustness.</w:t>
      </w:r>
    </w:p>
    <w:p>
      <w:pPr>
        <w:pStyle w:val="ListBullet"/>
      </w:pPr>
      <w:r>
        <w:rPr>
          <w:sz w:val="20"/>
        </w:rPr>
        <w:t>A Guided Grad-CAM explainability pipeline that fuses class activation maps with gradient saliency for interpretable defect localization.</w:t>
      </w:r>
    </w:p>
    <w:p>
      <w:pPr>
        <w:pStyle w:val="ListBullet"/>
      </w:pPr>
      <w:r>
        <w:rPr>
          <w:sz w:val="20"/>
        </w:rPr>
        <w:t>An LLM-augmented repair advisory system (Groq/LLaMA 3.3 70B) with deterministic fallback logic for severity-based maintenance recommendations.</w:t>
      </w:r>
    </w:p>
    <w:p>
      <w:pPr>
        <w:pStyle w:val="ListBullet"/>
      </w:pPr>
      <w:r>
        <w:rPr>
          <w:sz w:val="20"/>
        </w:rPr>
        <w:t>A production-grade full-stack system with JWT authentication, SQLite-based audit trails, SHA-256 integrity hashing, digital twin synchronization metadata, and acoustic signature profiling.</w:t>
      </w:r>
    </w:p>
    <w:p>
      <w:pPr>
        <w:pStyle w:val="ListBullet"/>
      </w:pPr>
      <w:r>
        <w:rPr>
          <w:sz w:val="20"/>
        </w:rPr>
        <w:t>Cross-platform deployment support via FastAPI REST API, Streamlit desktop console, Progressive Web App (PWA), and Capacitor-based Android packaging.</w:t>
      </w:r>
    </w:p>
    <w:p>
      <w:pPr>
        <w:pStyle w:val="ListBullet"/>
      </w:pPr>
      <w:r>
        <w:rPr>
          <w:sz w:val="20"/>
        </w:rPr>
        <w:t>A formal research validation endpoint with mIoU and Dice coefficient computation against provided ground truth masks.</w:t>
      </w:r>
    </w:p>
    <w:p>
      <w:pPr>
        <w:spacing w:after="80"/>
        <w:ind w:firstLine="425"/>
      </w:pPr>
      <w:r>
        <w:rPr>
          <w:rFonts w:ascii="Times New Roman" w:hAnsi="Times New Roman"/>
          <w:sz w:val="20"/>
        </w:rPr>
        <w:t>The remainder of this paper is structured as follows: Section II reviews related literature in deep learning for defect detection and explainable AI. Section III details the system architecture and methodology. Section IV describes the implementation and technology stack. Section V presents experimental results and their analysis. Section VI discusses industrial implications and future work. Section VII concludes the paper.</w:t>
      </w:r>
    </w:p>
    <w:p>
      <w:r>
        <w:rPr>
          <w:rFonts w:ascii="Times New Roman" w:hAnsi="Times New Roman"/>
          <w:b/>
          <w:sz w:val="24"/>
        </w:rPr>
        <w:t>II. RELATED WORK</w:t>
      </w:r>
    </w:p>
    <w:p>
      <w:r>
        <w:rPr>
          <w:rFonts w:ascii="Times New Roman" w:hAnsi="Times New Roman"/>
          <w:b/>
          <w:i/>
          <w:sz w:val="22"/>
        </w:rPr>
        <w:t>A. Deep Learning for Surface Defect Detection</w:t>
      </w:r>
    </w:p>
    <w:p>
      <w:pPr>
        <w:spacing w:after="80"/>
        <w:ind w:firstLine="425"/>
      </w:pPr>
      <w:r>
        <w:rPr>
          <w:rFonts w:ascii="Times New Roman" w:hAnsi="Times New Roman"/>
          <w:sz w:val="20"/>
        </w:rPr>
        <w:t>Deep learning has revolutionized visual inspection across manufacturing domains. Convolutional neural networks, pioneered by LeCun et al. [6], introduced hierarchical feature learning that surpassed handcrafted feature extraction for image recognition. The advent of VGGNet [7], ResNet [8], and EfficientNet [9] architectures established increasingly powerful feature representations. For semantic segmentation specifically, Long et al. [10] introduced Fully Convolutional Networks (FCN), which replaced fully connected layers with convolutional layers to produce pixel-wise class predictions.</w:t>
      </w:r>
    </w:p>
    <w:p>
      <w:pPr>
        <w:spacing w:after="80"/>
        <w:ind w:firstLine="425"/>
      </w:pPr>
      <w:r>
        <w:rPr>
          <w:rFonts w:ascii="Times New Roman" w:hAnsi="Times New Roman"/>
          <w:sz w:val="20"/>
        </w:rPr>
        <w:t>The U-Net architecture, proposed by Ronneberger et al. [11], introduced skip connections between the encoder and decoder pathways, enabling the network to combine high-level semantic features with low-level spatial details. This architecture has become the de facto standard for biomedical image segmentation and has been widely adopted for industrial defect detection tasks. Variations such as U-Net++ [12], Attention U-Net [13], and TransUNet [14] have further improved segmentation accuracy. The Segmentation Models PyTorch (SMP) library by Yakubovskiy [15] provides modular implementations of these architectures with interchangeable encoder backbones.</w:t>
      </w:r>
    </w:p>
    <w:p>
      <w:pPr>
        <w:spacing w:after="80"/>
        <w:ind w:firstLine="425"/>
      </w:pPr>
      <w:r>
        <w:rPr>
          <w:rFonts w:ascii="Times New Roman" w:hAnsi="Times New Roman"/>
          <w:sz w:val="20"/>
        </w:rPr>
        <w:t>For steel surface defect detection specifically, the Severstal Steel Defect Detection dataset from the Kaggle competition has served as a benchmark, containing four classes of surface defects on steel strips [16]. Several approaches have been explored: He et al. [17] applied DeepLabv3+ with atrous spatial pyramid pooling; Cheng et al. [18] proposed a modified Feature Pyramid Network; and Song et al. [19] combined edge detection with semantic segmentation for improved boundary delineation of defect regions.</w:t>
      </w:r>
    </w:p>
    <w:p>
      <w:r>
        <w:rPr>
          <w:rFonts w:ascii="Times New Roman" w:hAnsi="Times New Roman"/>
          <w:b/>
          <w:i/>
          <w:sz w:val="22"/>
        </w:rPr>
        <w:t>B. Uncertainty Quantification in Deep Learning</w:t>
      </w:r>
    </w:p>
    <w:p>
      <w:pPr>
        <w:spacing w:after="80"/>
        <w:ind w:firstLine="425"/>
      </w:pPr>
      <w:r>
        <w:rPr>
          <w:rFonts w:ascii="Times New Roman" w:hAnsi="Times New Roman"/>
          <w:sz w:val="20"/>
        </w:rPr>
        <w:t>Standard deep neural networks provide point estimates without principled uncertainty measures, which is problematic in safety-critical applications such as medical diagnosis and industrial inspection. Bayesian deep learning addresses this by placing probability distributions over model parameters. Gal and Ghahramani [20] demonstrated that applying dropout at inference time (Monte Carlo Dropout) provides an approximate Bayesian posterior, enabling uncertainty estimation without modifying the training procedure. Each stochastic forward pass with active dropout produces a different prediction; the variance across T such passes serves as a measure of epistemic (model) uncertainty.</w:t>
      </w:r>
    </w:p>
    <w:p>
      <w:pPr>
        <w:spacing w:after="80"/>
        <w:ind w:firstLine="425"/>
      </w:pPr>
      <w:r>
        <w:rPr>
          <w:rFonts w:ascii="Times New Roman" w:hAnsi="Times New Roman"/>
          <w:sz w:val="20"/>
        </w:rPr>
        <w:t>Kendall and Gal [21] further distinguished between aleatoric uncertainty (inherent data noise) and epistemic uncertainty (model ignorance), proposing methods to estimate both simultaneously. Lakshminarayanan et al. [22] introduced Deep Ensembles as an alternative uncertainty estimation method. For segmentation tasks, MC Dropout produces pixel-wise uncertainty maps that highlight regions where the model is least confident, guiding operators to areas requiring manual review [23].</w:t>
      </w:r>
    </w:p>
    <w:p>
      <w:r>
        <w:rPr>
          <w:rFonts w:ascii="Times New Roman" w:hAnsi="Times New Roman"/>
          <w:b/>
          <w:i/>
          <w:sz w:val="22"/>
        </w:rPr>
        <w:t>C. Explainable AI for Computer Vision</w:t>
      </w:r>
    </w:p>
    <w:p>
      <w:pPr>
        <w:spacing w:after="80"/>
        <w:ind w:firstLine="425"/>
      </w:pPr>
      <w:r>
        <w:rPr>
          <w:rFonts w:ascii="Times New Roman" w:hAnsi="Times New Roman"/>
          <w:sz w:val="20"/>
        </w:rPr>
        <w:t>The opacity of deep neural networks has led to growing demand for Explainable AI (XAI) methods that provide human-interpretable justifications for model predictions. Gradient-based methods compute the sensitivity of the output with respect to input pixels. Simonyan et al. [24] introduced vanilla gradient visualization; Sundararajan et al. [25] proposed Integrated Gradients for axiomatic attribution; and Smilkov et al. [26] introduced SmoothGrad to reduce gradient noise through averaging over noisy copies of the input.</w:t>
      </w:r>
    </w:p>
    <w:p>
      <w:pPr>
        <w:spacing w:after="80"/>
        <w:ind w:firstLine="425"/>
      </w:pPr>
      <w:r>
        <w:rPr>
          <w:rFonts w:ascii="Times New Roman" w:hAnsi="Times New Roman"/>
          <w:sz w:val="20"/>
        </w:rPr>
        <w:t>Class Activation Mapping (CAM) methods, proposed by Zhou et al. [27], use the weights of the final classification layer to produce coarse localization maps. Grad-CAM [28] generalized this approach by using gradient information flowing into any convolutional layer. Guided Grad-CAM combines the coarse localization of Grad-CAM with the fine-grained pixel attribution of Guided Backpropagation [29], producing high-resolution class-discriminative visualizations. The proposed system implements this fusion strategy to provide operators with both spatial location and fine-grained defect shape information.</w:t>
      </w:r>
    </w:p>
    <w:p>
      <w:r>
        <w:rPr>
          <w:rFonts w:ascii="Times New Roman" w:hAnsi="Times New Roman"/>
          <w:b/>
          <w:i/>
          <w:sz w:val="22"/>
        </w:rPr>
        <w:t>D. LLM-Augmented Decision Support Systems</w:t>
      </w:r>
    </w:p>
    <w:p>
      <w:pPr>
        <w:spacing w:after="80"/>
        <w:ind w:firstLine="425"/>
      </w:pPr>
      <w:r>
        <w:rPr>
          <w:rFonts w:ascii="Times New Roman" w:hAnsi="Times New Roman"/>
          <w:sz w:val="20"/>
        </w:rPr>
        <w:t>Large Language Models (LLMs) such as GPT-4 [30], LLaMA [31], and Mistral [32] have demonstrated remarkable capabilities in domain-specific reasoning. Recent work has explored integrating LLMs with computer vision systems for report generation, anomaly explanation, and maintenance advisory. The proposed system leverages the Groq-hosted LLaMA 3.3 70B model to generate structured JSON repair advice based on defect classification results, with a deterministic fallback to ensure robustness when LLM inference is unavailable.</w:t>
      </w:r>
    </w:p>
    <w:p>
      <w:r>
        <w:rPr>
          <w:rFonts w:ascii="Times New Roman" w:hAnsi="Times New Roman"/>
          <w:b/>
          <w:sz w:val="24"/>
        </w:rPr>
        <w:t>III. SYSTEM ARCHITECTURE AND METHODOLOGY</w:t>
      </w:r>
    </w:p>
    <w:p>
      <w:r>
        <w:rPr>
          <w:rFonts w:ascii="Times New Roman" w:hAnsi="Times New Roman"/>
          <w:b/>
          <w:i/>
          <w:sz w:val="22"/>
        </w:rPr>
        <w:t>A. High-Level System Architecture</w:t>
      </w:r>
    </w:p>
    <w:p>
      <w:pPr>
        <w:spacing w:after="80"/>
        <w:ind w:firstLine="425"/>
      </w:pPr>
      <w:r>
        <w:rPr>
          <w:rFonts w:ascii="Times New Roman" w:hAnsi="Times New Roman"/>
          <w:sz w:val="20"/>
        </w:rPr>
        <w:t>WeldVision AI adopts a modular, API-first microservice architecture designed for both research experimentation and production deployment. The system comprises five principal layers: (1) the Presentation Layer, which provides multiple user interfaces; (2) the API Gateway, implemented as a FastAPI server with RESTful endpoints; (3) the Intelligence Layer, containing the segmentation model, uncertainty engine, and explainability modules; (4) the Advisory Layer, integrating LLM-based and heuristic repair recommendation engines; and (5) the Persistence Layer, managing audit trails, user authentication, and feedback collection via SQLAlchemy ORM.</w:t>
      </w:r>
    </w:p>
    <w:p>
      <w:pPr>
        <w:jc w:val="center"/>
      </w:pPr>
      <w:r>
        <w:rPr>
          <w:b/>
          <w:sz w:val="18"/>
        </w:rPr>
        <w:t>Fig. 1: High-Level System Architecture</w:t>
      </w:r>
    </w:p>
    <w:tbl>
      <w:tblPr>
        <w:tblStyle w:val="TableGrid"/>
        <w:tblW w:type="auto" w:w="0"/>
        <w:jc w:val="center"/>
        <w:tblLook w:firstColumn="1" w:firstRow="1" w:lastColumn="0" w:lastRow="0" w:noHBand="0" w:noVBand="1" w:val="04A0"/>
      </w:tblPr>
      <w:tblGrid>
        <w:gridCol w:w="10074"/>
      </w:tblGrid>
      <w:tr>
        <w:tc>
          <w:tcPr>
            <w:tcW w:type="dxa" w:w="10074"/>
          </w:tcPr>
          <w:p>
            <w:r/>
          </w:p>
          <w:p>
            <w:pPr>
              <w:jc w:val="center"/>
            </w:pPr>
            <w:r>
              <w:rPr>
                <w:rFonts w:ascii="Courier New" w:hAnsi="Courier New"/>
                <w:sz w:val="16"/>
              </w:rPr>
              <w:t>┌─────────────────────────────────────────────────────────┐</w:t>
            </w:r>
          </w:p>
          <w:p>
            <w:pPr>
              <w:jc w:val="center"/>
            </w:pPr>
            <w:r>
              <w:rPr>
                <w:rFonts w:ascii="Courier New" w:hAnsi="Courier New"/>
                <w:sz w:val="16"/>
              </w:rPr>
              <w:t>│                  PRESENTATION LAYER                      │</w:t>
            </w:r>
          </w:p>
          <w:p>
            <w:pPr>
              <w:jc w:val="center"/>
            </w:pPr>
            <w:r>
              <w:rPr>
                <w:rFonts w:ascii="Courier New" w:hAnsi="Courier New"/>
                <w:sz w:val="16"/>
              </w:rPr>
              <w:t>│  ┌──────────┐  ┌──────────┐  ┌──────────┐  ┌─────────┐ │</w:t>
            </w:r>
          </w:p>
          <w:p>
            <w:pPr>
              <w:jc w:val="center"/>
            </w:pPr>
            <w:r>
              <w:rPr>
                <w:rFonts w:ascii="Courier New" w:hAnsi="Courier New"/>
                <w:sz w:val="16"/>
              </w:rPr>
              <w:t>│  │ Streamlit │  │   PWA    │  │  Mobile  │  │ Flutter │ │</w:t>
            </w:r>
          </w:p>
          <w:p>
            <w:pPr>
              <w:jc w:val="center"/>
            </w:pPr>
            <w:r>
              <w:rPr>
                <w:rFonts w:ascii="Courier New" w:hAnsi="Courier New"/>
                <w:sz w:val="16"/>
              </w:rPr>
              <w:t>│  │  Desktop  │  │  (HTML)  │  │  (Expo)  │  │   App   │ │</w:t>
            </w:r>
          </w:p>
          <w:p>
            <w:pPr>
              <w:jc w:val="center"/>
            </w:pPr>
            <w:r>
              <w:rPr>
                <w:rFonts w:ascii="Courier New" w:hAnsi="Courier New"/>
                <w:sz w:val="16"/>
              </w:rPr>
              <w:t>│  └────┬─────┘  └────┬─────┘  └────┬─────┘  └────┬────┘ │</w:t>
            </w:r>
          </w:p>
          <w:p>
            <w:pPr>
              <w:jc w:val="center"/>
            </w:pPr>
            <w:r>
              <w:rPr>
                <w:rFonts w:ascii="Courier New" w:hAnsi="Courier New"/>
                <w:sz w:val="16"/>
              </w:rPr>
              <w:t>└───────┼──────────────┼─────────────┼─────────────┼──────┘</w:t>
            </w:r>
          </w:p>
          <w:p>
            <w:pPr>
              <w:jc w:val="center"/>
            </w:pPr>
            <w:r>
              <w:rPr>
                <w:rFonts w:ascii="Courier New" w:hAnsi="Courier New"/>
                <w:sz w:val="16"/>
              </w:rPr>
              <w:t xml:space="preserve">        │              │             │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w:t>
            </w:r>
          </w:p>
          <w:p>
            <w:pPr>
              <w:jc w:val="center"/>
            </w:pPr>
            <w:r>
              <w:rPr>
                <w:rFonts w:ascii="Courier New" w:hAnsi="Courier New"/>
                <w:sz w:val="16"/>
              </w:rPr>
              <w:t>│                   API GATEWAY (FastAPI)                  │</w:t>
            </w:r>
          </w:p>
          <w:p>
            <w:pPr>
              <w:jc w:val="center"/>
            </w:pPr>
            <w:r>
              <w:rPr>
                <w:rFonts w:ascii="Courier New" w:hAnsi="Courier New"/>
                <w:sz w:val="16"/>
              </w:rPr>
              <w:t>│  ┌────────────┐  ┌──────────────┐  ┌─────────────────┐ │</w:t>
            </w:r>
          </w:p>
          <w:p>
            <w:pPr>
              <w:jc w:val="center"/>
            </w:pPr>
            <w:r>
              <w:rPr>
                <w:rFonts w:ascii="Courier New" w:hAnsi="Courier New"/>
                <w:sz w:val="16"/>
              </w:rPr>
              <w:t>│  │  /v1/auth   │  │ /v1/analyze  │  │  /v1/research   │ │</w:t>
            </w:r>
          </w:p>
          <w:p>
            <w:pPr>
              <w:jc w:val="center"/>
            </w:pPr>
            <w:r>
              <w:rPr>
                <w:rFonts w:ascii="Courier New" w:hAnsi="Courier New"/>
                <w:sz w:val="16"/>
              </w:rPr>
              <w:t>│  │  login      │  │   /image     │  │   /validate     │ │</w:t>
            </w:r>
          </w:p>
          <w:p>
            <w:pPr>
              <w:jc w:val="center"/>
            </w:pPr>
            <w:r>
              <w:rPr>
                <w:rFonts w:ascii="Courier New" w:hAnsi="Courier New"/>
                <w:sz w:val="16"/>
              </w:rPr>
              <w:t>│  │  signup     │  │              │  │                 │ │</w:t>
            </w:r>
          </w:p>
          <w:p>
            <w:pPr>
              <w:jc w:val="center"/>
            </w:pPr>
            <w:r>
              <w:rPr>
                <w:rFonts w:ascii="Courier New" w:hAnsi="Courier New"/>
                <w:sz w:val="16"/>
              </w:rPr>
              <w:t>│  └────────────┘  └──────┬───────┘  └────────┬────────┘ │</w:t>
            </w:r>
          </w:p>
          <w:p>
            <w:pPr>
              <w:jc w:val="center"/>
            </w:pPr>
            <w:r>
              <w:rPr>
                <w:rFonts w:ascii="Courier New" w:hAnsi="Courier New"/>
                <w:sz w:val="16"/>
              </w:rPr>
              <w:t>│  ┌────────────┐  ┌──────┴───────┐  ┌────────┴────────┐ │</w:t>
            </w:r>
          </w:p>
          <w:p>
            <w:pPr>
              <w:jc w:val="center"/>
            </w:pPr>
            <w:r>
              <w:rPr>
                <w:rFonts w:ascii="Courier New" w:hAnsi="Courier New"/>
                <w:sz w:val="16"/>
              </w:rPr>
              <w:t>│  │ /v1/advice │  │  /v1/history  │  │   /v1/stats     │ │</w:t>
            </w:r>
          </w:p>
          <w:p>
            <w:pPr>
              <w:jc w:val="center"/>
            </w:pPr>
            <w:r>
              <w:rPr>
                <w:rFonts w:ascii="Courier New" w:hAnsi="Courier New"/>
                <w:sz w:val="16"/>
              </w:rPr>
              <w:t>│  │ /v1/chat   │  │  /v1/trends   │  │   /v1/feedback  │ │</w:t>
            </w:r>
          </w:p>
          <w:p>
            <w:pPr>
              <w:jc w:val="center"/>
            </w:pPr>
            <w:r>
              <w:rPr>
                <w:rFonts w:ascii="Courier New" w:hAnsi="Courier New"/>
                <w:sz w:val="16"/>
              </w:rPr>
              <w:t>│  └────────────┘  └──────────────┘  └─────────────────┘ │</w:t>
            </w:r>
          </w:p>
          <w:p>
            <w:pPr>
              <w:jc w:val="center"/>
            </w:pPr>
            <w:r>
              <w:rPr>
                <w:rFonts w:ascii="Courier New" w:hAnsi="Courier New"/>
                <w:sz w:val="16"/>
              </w:rPr>
              <w:t>└─────────────────────────┬───────────────────────────────┘</w:t>
            </w:r>
          </w:p>
          <w:p>
            <w:pPr>
              <w:jc w:val="center"/>
            </w:pPr>
            <w:r>
              <w:rPr>
                <w:rFonts w:ascii="Courier New" w:hAnsi="Courier New"/>
                <w:sz w:val="16"/>
              </w:rPr>
              <w:t xml:space="preserve">                          │                                 </w:t>
            </w:r>
          </w:p>
          <w:p>
            <w:pPr>
              <w:jc w:val="center"/>
            </w:pPr>
            <w:r>
              <w:rPr>
                <w:rFonts w:ascii="Courier New" w:hAnsi="Courier New"/>
                <w:sz w:val="16"/>
              </w:rPr>
              <w:t>┌─────────────────────────┴───────────────────────────────┐</w:t>
            </w:r>
          </w:p>
          <w:p>
            <w:pPr>
              <w:jc w:val="center"/>
            </w:pPr>
            <w:r>
              <w:rPr>
                <w:rFonts w:ascii="Courier New" w:hAnsi="Courier New"/>
                <w:sz w:val="16"/>
              </w:rPr>
              <w:t>│                  INTELLIGENCE LAYER                      │</w:t>
            </w:r>
          </w:p>
          <w:p>
            <w:pPr>
              <w:jc w:val="center"/>
            </w:pPr>
            <w:r>
              <w:rPr>
                <w:rFonts w:ascii="Courier New" w:hAnsi="Courier New"/>
                <w:sz w:val="16"/>
              </w:rPr>
              <w:t>│  ┌────────────────────────────────────────────────────┐ │</w:t>
            </w:r>
          </w:p>
          <w:p>
            <w:pPr>
              <w:jc w:val="center"/>
            </w:pPr>
            <w:r>
              <w:rPr>
                <w:rFonts w:ascii="Courier New" w:hAnsi="Courier New"/>
                <w:sz w:val="16"/>
              </w:rPr>
              <w:t>│  │      U-Net Segmentation (MobileNetV2 Encoder)      │ │</w:t>
            </w:r>
          </w:p>
          <w:p>
            <w:pPr>
              <w:jc w:val="center"/>
            </w:pPr>
            <w:r>
              <w:rPr>
                <w:rFonts w:ascii="Courier New" w:hAnsi="Courier New"/>
                <w:sz w:val="16"/>
              </w:rPr>
              <w:t>│  │              4-class defect output                  │ │</w:t>
            </w:r>
          </w:p>
          <w:p>
            <w:pPr>
              <w:jc w:val="center"/>
            </w:pPr>
            <w:r>
              <w:rPr>
                <w:rFonts w:ascii="Courier New" w:hAnsi="Courier New"/>
                <w:sz w:val="16"/>
              </w:rPr>
              <w:t>│  └───────────┬──────────────────┬─────────────────────┘ │</w:t>
            </w:r>
          </w:p>
          <w:p>
            <w:pPr>
              <w:jc w:val="center"/>
            </w:pPr>
            <w:r>
              <w:rPr>
                <w:rFonts w:ascii="Courier New" w:hAnsi="Courier New"/>
                <w:sz w:val="16"/>
              </w:rPr>
              <w:t>│  ┌───────────┴──────┐  ┌────────┴────────────────────┐ │</w:t>
            </w:r>
          </w:p>
          <w:p>
            <w:pPr>
              <w:jc w:val="center"/>
            </w:pPr>
            <w:r>
              <w:rPr>
                <w:rFonts w:ascii="Courier New" w:hAnsi="Courier New"/>
                <w:sz w:val="16"/>
              </w:rPr>
              <w:t>│  │   MC Dropout     │  │   Test-Time Augmentation    │ │</w:t>
            </w:r>
          </w:p>
          <w:p>
            <w:pPr>
              <w:jc w:val="center"/>
            </w:pPr>
            <w:r>
              <w:rPr>
                <w:rFonts w:ascii="Courier New" w:hAnsi="Courier New"/>
                <w:sz w:val="16"/>
              </w:rPr>
              <w:t>│  │   (T=10 passes)  │  │   (Horizontal Flip)        │ │</w:t>
            </w:r>
          </w:p>
          <w:p>
            <w:pPr>
              <w:jc w:val="center"/>
            </w:pPr>
            <w:r>
              <w:rPr>
                <w:rFonts w:ascii="Courier New" w:hAnsi="Courier New"/>
                <w:sz w:val="16"/>
              </w:rPr>
              <w:t>│  │   Uncertainty Map │  │   Prediction Ensembling    │ │</w:t>
            </w:r>
          </w:p>
          <w:p>
            <w:pPr>
              <w:jc w:val="center"/>
            </w:pPr>
            <w:r>
              <w:rPr>
                <w:rFonts w:ascii="Courier New" w:hAnsi="Courier New"/>
                <w:sz w:val="16"/>
              </w:rPr>
              <w:t>│  └──────────────────┘  └─────────────────────────────┘ │</w:t>
            </w:r>
          </w:p>
          <w:p>
            <w:pPr>
              <w:jc w:val="center"/>
            </w:pPr>
            <w:r>
              <w:rPr>
                <w:rFonts w:ascii="Courier New" w:hAnsi="Courier New"/>
                <w:sz w:val="16"/>
              </w:rPr>
              <w:t>│  ┌────────────────────────────────────────────────────┐ │</w:t>
            </w:r>
          </w:p>
          <w:p>
            <w:pPr>
              <w:jc w:val="center"/>
            </w:pPr>
            <w:r>
              <w:rPr>
                <w:rFonts w:ascii="Courier New" w:hAnsi="Courier New"/>
                <w:sz w:val="16"/>
              </w:rPr>
              <w:t>│  │         Guided Grad-CAM Explainability             │ │</w:t>
            </w:r>
          </w:p>
          <w:p>
            <w:pPr>
              <w:jc w:val="center"/>
            </w:pPr>
            <w:r>
              <w:rPr>
                <w:rFonts w:ascii="Courier New" w:hAnsi="Courier New"/>
                <w:sz w:val="16"/>
              </w:rPr>
              <w:t>│  │   Prob Map ── Grad Map ── Fused Attribution Map    │ │</w:t>
            </w:r>
          </w:p>
          <w:p>
            <w:pPr>
              <w:jc w:val="center"/>
            </w:pPr>
            <w:r>
              <w:rPr>
                <w:rFonts w:ascii="Courier New" w:hAnsi="Courier New"/>
                <w:sz w:val="16"/>
              </w:rPr>
              <w:t>│  └────────────────────────────────────────────────────┘ │</w:t>
            </w:r>
          </w:p>
          <w:p>
            <w:pPr>
              <w:jc w:val="center"/>
            </w:pPr>
            <w:r>
              <w:rPr>
                <w:rFonts w:ascii="Courier New" w:hAnsi="Courier New"/>
                <w:sz w:val="16"/>
              </w:rPr>
              <w:t>└─────────────────────────┬───────────────────────────────┘</w:t>
            </w:r>
          </w:p>
          <w:p>
            <w:pPr>
              <w:jc w:val="center"/>
            </w:pPr>
            <w:r>
              <w:rPr>
                <w:rFonts w:ascii="Courier New" w:hAnsi="Courier New"/>
                <w:sz w:val="16"/>
              </w:rPr>
              <w:t xml:space="preserve">                          │                                 </w:t>
            </w:r>
          </w:p>
          <w:p>
            <w:pPr>
              <w:jc w:val="center"/>
            </w:pPr>
            <w:r>
              <w:rPr>
                <w:rFonts w:ascii="Courier New" w:hAnsi="Courier New"/>
                <w:sz w:val="16"/>
              </w:rPr>
              <w:t>┌─────────────────────────┴───────────────────────────────┐</w:t>
            </w:r>
          </w:p>
          <w:p>
            <w:pPr>
              <w:jc w:val="center"/>
            </w:pPr>
            <w:r>
              <w:rPr>
                <w:rFonts w:ascii="Courier New" w:hAnsi="Courier New"/>
                <w:sz w:val="16"/>
              </w:rPr>
              <w:t>│                    ADVISORY LAYER                        │</w:t>
            </w:r>
          </w:p>
          <w:p>
            <w:pPr>
              <w:jc w:val="center"/>
            </w:pPr>
            <w:r>
              <w:rPr>
                <w:rFonts w:ascii="Courier New" w:hAnsi="Courier New"/>
                <w:sz w:val="16"/>
              </w:rPr>
              <w:t>│  ┌──────────────────┐  ┌───────────────────────────┐   │</w:t>
            </w:r>
          </w:p>
          <w:p>
            <w:pPr>
              <w:jc w:val="center"/>
            </w:pPr>
            <w:r>
              <w:rPr>
                <w:rFonts w:ascii="Courier New" w:hAnsi="Courier New"/>
                <w:sz w:val="16"/>
              </w:rPr>
              <w:t>│  │  LLM Advisory    │  │  Deterministic Fallback   │   │</w:t>
            </w:r>
          </w:p>
          <w:p>
            <w:pPr>
              <w:jc w:val="center"/>
            </w:pPr>
            <w:r>
              <w:rPr>
                <w:rFonts w:ascii="Courier New" w:hAnsi="Courier New"/>
                <w:sz w:val="16"/>
              </w:rPr>
              <w:t>│  │  (LLaMA 3.3 70B) │  │  (Rule-based Heuristic)   │   │</w:t>
            </w:r>
          </w:p>
          <w:p>
            <w:pPr>
              <w:jc w:val="center"/>
            </w:pPr>
            <w:r>
              <w:rPr>
                <w:rFonts w:ascii="Courier New" w:hAnsi="Courier New"/>
                <w:sz w:val="16"/>
              </w:rPr>
              <w:t>│  │  via Groq API    │  │  Severity → Priority Map   │   │</w:t>
            </w:r>
          </w:p>
          <w:p>
            <w:pPr>
              <w:jc w:val="center"/>
            </w:pPr>
            <w:r>
              <w:rPr>
                <w:rFonts w:ascii="Courier New" w:hAnsi="Courier New"/>
                <w:sz w:val="16"/>
              </w:rPr>
              <w:t>│  └──────────────────┘  └───────────────────────────┘   │</w:t>
            </w:r>
          </w:p>
          <w:p>
            <w:pPr>
              <w:jc w:val="center"/>
            </w:pPr>
            <w:r>
              <w:rPr>
                <w:rFonts w:ascii="Courier New" w:hAnsi="Courier New"/>
                <w:sz w:val="16"/>
              </w:rPr>
              <w:t>└─────────────────────────┬───────────────────────────────┘</w:t>
            </w:r>
          </w:p>
          <w:p>
            <w:pPr>
              <w:jc w:val="center"/>
            </w:pPr>
            <w:r>
              <w:rPr>
                <w:rFonts w:ascii="Courier New" w:hAnsi="Courier New"/>
                <w:sz w:val="16"/>
              </w:rPr>
              <w:t xml:space="preserve">                          │                                 </w:t>
            </w:r>
          </w:p>
          <w:p>
            <w:pPr>
              <w:jc w:val="center"/>
            </w:pPr>
            <w:r>
              <w:rPr>
                <w:rFonts w:ascii="Courier New" w:hAnsi="Courier New"/>
                <w:sz w:val="16"/>
              </w:rPr>
              <w:t>┌─────────────────────────┴───────────────────────────────┐</w:t>
            </w:r>
          </w:p>
          <w:p>
            <w:pPr>
              <w:jc w:val="center"/>
            </w:pPr>
            <w:r>
              <w:rPr>
                <w:rFonts w:ascii="Courier New" w:hAnsi="Courier New"/>
                <w:sz w:val="16"/>
              </w:rPr>
              <w:t>│                  PERSISTENCE LAYER                       │</w:t>
            </w:r>
          </w:p>
          <w:p>
            <w:pPr>
              <w:jc w:val="center"/>
            </w:pPr>
            <w:r>
              <w:rPr>
                <w:rFonts w:ascii="Courier New" w:hAnsi="Courier New"/>
                <w:sz w:val="16"/>
              </w:rPr>
              <w:t>│  ┌──────────┐  ┌────────────┐  ┌──────────────────────┐│</w:t>
            </w:r>
          </w:p>
          <w:p>
            <w:pPr>
              <w:jc w:val="center"/>
            </w:pPr>
            <w:r>
              <w:rPr>
                <w:rFonts w:ascii="Courier New" w:hAnsi="Courier New"/>
                <w:sz w:val="16"/>
              </w:rPr>
              <w:t>│  │ SQLite   │  │  Users     │  │  AnalysisRecords     ││</w:t>
            </w:r>
          </w:p>
          <w:p>
            <w:pPr>
              <w:jc w:val="center"/>
            </w:pPr>
            <w:r>
              <w:rPr>
                <w:rFonts w:ascii="Courier New" w:hAnsi="Courier New"/>
                <w:sz w:val="16"/>
              </w:rPr>
              <w:t>│  │ (ORM)    │  │  Auth/JWT  │  │  FeedbackRecords     ││</w:t>
            </w:r>
          </w:p>
          <w:p>
            <w:pPr>
              <w:jc w:val="center"/>
            </w:pPr>
            <w:r>
              <w:rPr>
                <w:rFonts w:ascii="Courier New" w:hAnsi="Courier New"/>
                <w:sz w:val="16"/>
              </w:rPr>
              <w:t>│  └──────────┘  └────────────┘  └──────────────────────┘│</w:t>
            </w:r>
          </w:p>
          <w:p>
            <w:pPr>
              <w:jc w:val="center"/>
            </w:pPr>
            <w:r>
              <w:rPr>
                <w:rFonts w:ascii="Courier New" w:hAnsi="Courier New"/>
                <w:sz w:val="16"/>
              </w:rPr>
              <w:t>└─────────────────────────────────────────────────────────┘</w:t>
            </w:r>
          </w:p>
        </w:tc>
      </w:tr>
    </w:tbl>
    <w:p>
      <w:r>
        <w:rPr>
          <w:rFonts w:ascii="Times New Roman" w:hAnsi="Times New Roman"/>
          <w:b/>
          <w:i/>
          <w:sz w:val="22"/>
        </w:rPr>
        <w:t>B. U-Net Segmentation Model</w:t>
      </w:r>
    </w:p>
    <w:p>
      <w:pPr>
        <w:spacing w:after="80"/>
        <w:ind w:firstLine="425"/>
      </w:pPr>
      <w:r>
        <w:rPr>
          <w:rFonts w:ascii="Times New Roman" w:hAnsi="Times New Roman"/>
          <w:sz w:val="20"/>
        </w:rPr>
        <w:t>The core segmentation model employs the U-Net architecture as implemented in the Segmentation Models PyTorch (SMP) library [15]. U-Net comprises an encoder pathway that progressively downsamples the input image to extract hierarchical feature representations, and a symmetric decoder pathway that upsamples these features to produce a pixel-wise segmentation mask at the original input resolution. Skip connections between corresponding encoder and decoder layers allow the decoder to access fine-grained spatial details from early layers, which is crucial for accurately delineating defect boundaries.</w:t>
      </w:r>
    </w:p>
    <w:p>
      <w:pPr>
        <w:spacing w:after="80"/>
        <w:ind w:firstLine="425"/>
      </w:pPr>
      <w:r>
        <w:rPr>
          <w:rFonts w:ascii="Times New Roman" w:hAnsi="Times New Roman"/>
          <w:sz w:val="20"/>
        </w:rPr>
        <w:t>We employ MobileNetV2 [33] as the encoder backbone, which uses depthwise separable convolutions and inverted residual blocks to achieve a favorable trade-off between computational cost and feature extraction quality. The model accepts 3-channel RGB input images of size 128 × 800 pixels and produces a 4-channel output corresponding to four defect classes. The decoder utilizes batch normalization for stable training. The model architecture is defined as:</w:t>
      </w:r>
    </w:p>
    <w:p>
      <w:pPr>
        <w:jc w:val="center"/>
      </w:pPr>
      <w:r>
        <w:rPr>
          <w:b/>
          <w:sz w:val="18"/>
        </w:rPr>
        <w:t>TABLE I: Model Configuration Summary</w:t>
      </w:r>
    </w:p>
    <w:tbl>
      <w:tblPr>
        <w:tblStyle w:val="TableGrid"/>
        <w:tblW w:type="auto" w:w="0"/>
        <w:jc w:val="center"/>
        <w:tblLook w:firstColumn="1" w:firstRow="1" w:lastColumn="0" w:lastRow="0" w:noHBand="0" w:noVBand="1" w:val="04A0"/>
      </w:tblPr>
      <w:tblGrid>
        <w:gridCol w:w="5037"/>
        <w:gridCol w:w="5037"/>
      </w:tblGrid>
      <w:tr>
        <w:tc>
          <w:tcPr>
            <w:tcW w:type="dxa" w:w="5037"/>
          </w:tcPr>
          <w:p>
            <w:r>
              <w:rPr>
                <w:b/>
                <w:sz w:val="18"/>
              </w:rPr>
              <w:t>Parameter</w:t>
            </w:r>
          </w:p>
        </w:tc>
        <w:tc>
          <w:tcPr>
            <w:tcW w:type="dxa" w:w="5037"/>
          </w:tcPr>
          <w:p>
            <w:r>
              <w:rPr>
                <w:b/>
                <w:sz w:val="18"/>
              </w:rPr>
              <w:t>Value</w:t>
            </w:r>
          </w:p>
        </w:tc>
      </w:tr>
      <w:tr>
        <w:tc>
          <w:tcPr>
            <w:tcW w:type="dxa" w:w="5037"/>
          </w:tcPr>
          <w:p>
            <w:r>
              <w:rPr>
                <w:sz w:val="18"/>
              </w:rPr>
              <w:t>Architecture</w:t>
            </w:r>
          </w:p>
        </w:tc>
        <w:tc>
          <w:tcPr>
            <w:tcW w:type="dxa" w:w="5037"/>
          </w:tcPr>
          <w:p>
            <w:r>
              <w:rPr>
                <w:sz w:val="18"/>
              </w:rPr>
              <w:t>U-Net</w:t>
            </w:r>
          </w:p>
        </w:tc>
      </w:tr>
      <w:tr>
        <w:tc>
          <w:tcPr>
            <w:tcW w:type="dxa" w:w="5037"/>
          </w:tcPr>
          <w:p>
            <w:r>
              <w:rPr>
                <w:sz w:val="18"/>
              </w:rPr>
              <w:t>Encoder</w:t>
            </w:r>
          </w:p>
        </w:tc>
        <w:tc>
          <w:tcPr>
            <w:tcW w:type="dxa" w:w="5037"/>
          </w:tcPr>
          <w:p>
            <w:r>
              <w:rPr>
                <w:sz w:val="18"/>
              </w:rPr>
              <w:t>MobileNetV2 (ImageNet-pretrained capable)</w:t>
            </w:r>
          </w:p>
        </w:tc>
      </w:tr>
      <w:tr>
        <w:tc>
          <w:tcPr>
            <w:tcW w:type="dxa" w:w="5037"/>
          </w:tcPr>
          <w:p>
            <w:r>
              <w:rPr>
                <w:sz w:val="18"/>
              </w:rPr>
              <w:t>Input Channels</w:t>
            </w:r>
          </w:p>
        </w:tc>
        <w:tc>
          <w:tcPr>
            <w:tcW w:type="dxa" w:w="5037"/>
          </w:tcPr>
          <w:p>
            <w:r>
              <w:rPr>
                <w:sz w:val="18"/>
              </w:rPr>
              <w:t>3 (RGB)</w:t>
            </w:r>
          </w:p>
        </w:tc>
      </w:tr>
      <w:tr>
        <w:tc>
          <w:tcPr>
            <w:tcW w:type="dxa" w:w="5037"/>
          </w:tcPr>
          <w:p>
            <w:r>
              <w:rPr>
                <w:sz w:val="18"/>
              </w:rPr>
              <w:t>Output Classes</w:t>
            </w:r>
          </w:p>
        </w:tc>
        <w:tc>
          <w:tcPr>
            <w:tcW w:type="dxa" w:w="5037"/>
          </w:tcPr>
          <w:p>
            <w:r>
              <w:rPr>
                <w:sz w:val="18"/>
              </w:rPr>
              <w:t>4</w:t>
            </w:r>
          </w:p>
        </w:tc>
      </w:tr>
      <w:tr>
        <w:tc>
          <w:tcPr>
            <w:tcW w:type="dxa" w:w="5037"/>
          </w:tcPr>
          <w:p>
            <w:r>
              <w:rPr>
                <w:sz w:val="18"/>
              </w:rPr>
              <w:t>Input Resolution</w:t>
            </w:r>
          </w:p>
        </w:tc>
        <w:tc>
          <w:tcPr>
            <w:tcW w:type="dxa" w:w="5037"/>
          </w:tcPr>
          <w:p>
            <w:r>
              <w:rPr>
                <w:sz w:val="18"/>
              </w:rPr>
              <w:t>128 × 800</w:t>
            </w:r>
          </w:p>
        </w:tc>
      </w:tr>
      <w:tr>
        <w:tc>
          <w:tcPr>
            <w:tcW w:type="dxa" w:w="5037"/>
          </w:tcPr>
          <w:p>
            <w:r>
              <w:rPr>
                <w:sz w:val="18"/>
              </w:rPr>
              <w:t>Decoder Batch Norm</w:t>
            </w:r>
          </w:p>
        </w:tc>
        <w:tc>
          <w:tcPr>
            <w:tcW w:type="dxa" w:w="5037"/>
          </w:tcPr>
          <w:p>
            <w:r>
              <w:rPr>
                <w:sz w:val="18"/>
              </w:rPr>
              <w:t>Enabled</w:t>
            </w:r>
          </w:p>
        </w:tc>
      </w:tr>
      <w:tr>
        <w:tc>
          <w:tcPr>
            <w:tcW w:type="dxa" w:w="5037"/>
          </w:tcPr>
          <w:p>
            <w:r>
              <w:rPr>
                <w:sz w:val="18"/>
              </w:rPr>
              <w:t>Total Parameters</w:t>
            </w:r>
          </w:p>
        </w:tc>
        <w:tc>
          <w:tcPr>
            <w:tcW w:type="dxa" w:w="5037"/>
          </w:tcPr>
          <w:p>
            <w:r>
              <w:rPr>
                <w:sz w:val="18"/>
              </w:rPr>
              <w:t>~6.6M</w:t>
            </w:r>
          </w:p>
        </w:tc>
      </w:tr>
      <w:tr>
        <w:tc>
          <w:tcPr>
            <w:tcW w:type="dxa" w:w="5037"/>
          </w:tcPr>
          <w:p>
            <w:r>
              <w:rPr>
                <w:sz w:val="18"/>
              </w:rPr>
              <w:t>Model Size</w:t>
            </w:r>
          </w:p>
        </w:tc>
        <w:tc>
          <w:tcPr>
            <w:tcW w:type="dxa" w:w="5037"/>
          </w:tcPr>
          <w:p>
            <w:r>
              <w:rPr>
                <w:sz w:val="18"/>
              </w:rPr>
              <w:t>~25.5 MB (.pth)</w:t>
            </w:r>
          </w:p>
        </w:tc>
      </w:tr>
    </w:tbl>
    <w:p>
      <w:r>
        <w:rPr>
          <w:rFonts w:ascii="Times New Roman" w:hAnsi="Times New Roman"/>
          <w:b/>
          <w:i/>
          <w:sz w:val="22"/>
        </w:rPr>
        <w:t>C. Monte Carlo Dropout for Bayesian Uncertainty</w:t>
      </w:r>
    </w:p>
    <w:p>
      <w:pPr>
        <w:spacing w:after="80"/>
        <w:ind w:firstLine="425"/>
      </w:pPr>
      <w:r>
        <w:rPr>
          <w:rFonts w:ascii="Times New Roman" w:hAnsi="Times New Roman"/>
          <w:sz w:val="20"/>
        </w:rPr>
        <w:t>Traditional neural networks provide point estimates without confidence calibration. MC Dropout [20] transforms a trained network with dropout layers into an approximate Bayesian model by keeping dropout active during inference. Given T stochastic forward passes, the predictive mean and variance are computed as:</w:t>
      </w:r>
    </w:p>
    <w:p>
      <w:pPr>
        <w:spacing w:after="80"/>
        <w:ind w:firstLine="425"/>
      </w:pPr>
      <w:r>
        <w:rPr>
          <w:rFonts w:ascii="Times New Roman" w:hAnsi="Times New Roman"/>
          <w:sz w:val="20"/>
        </w:rPr>
        <w:t>Predictive Mean: ŷ = (1/T) Σ_{t=1}^{T} σ(f_θ_t(x))</w:t>
      </w:r>
    </w:p>
    <w:p>
      <w:pPr>
        <w:spacing w:after="80"/>
        <w:ind w:firstLine="425"/>
      </w:pPr>
      <w:r>
        <w:rPr>
          <w:rFonts w:ascii="Times New Roman" w:hAnsi="Times New Roman"/>
          <w:sz w:val="20"/>
        </w:rPr>
        <w:t>Predictive Variance: Var(y) = (1/T) Σ_{t=1}^{T} (σ(f_θ_t(x)) - ŷ)²</w:t>
      </w:r>
    </w:p>
    <w:p>
      <w:pPr>
        <w:spacing w:after="80"/>
        <w:ind w:firstLine="425"/>
      </w:pPr>
      <w:r>
        <w:rPr>
          <w:rFonts w:ascii="Times New Roman" w:hAnsi="Times New Roman"/>
          <w:sz w:val="20"/>
        </w:rPr>
        <w:t>where σ denotes the sigmoid activation, f_θ_t represents the model with the t-th dropout mask, and x is the input image. The pixel-wise variance map serves as an uncertainty heatmap, highlighting regions where the model exhibits high epistemic uncertainty. In the proposed system, T = 10 MC iterations are performed by default (configurable up to 50 via the API), and dropout layers are selectively re-enabled by iterating over model modules and setting them to training mode while keeping all other layers frozen in evaluation mode.</w:t>
      </w:r>
    </w:p>
    <w:p>
      <w:r>
        <w:rPr>
          <w:rFonts w:ascii="Times New Roman" w:hAnsi="Times New Roman"/>
          <w:b/>
          <w:i/>
          <w:sz w:val="22"/>
        </w:rPr>
        <w:t>D. Test-Time Augmentation (TTA)</w:t>
      </w:r>
    </w:p>
    <w:p>
      <w:pPr>
        <w:spacing w:after="80"/>
        <w:ind w:firstLine="425"/>
      </w:pPr>
      <w:r>
        <w:rPr>
          <w:rFonts w:ascii="Times New Roman" w:hAnsi="Times New Roman"/>
          <w:sz w:val="20"/>
        </w:rPr>
        <w:t>Test-Time Augmentation improves prediction robustness by applying deterministic geometric transformations to the input at inference time and ensembling the resulting predictions. The system applies a horizontal flip transformation, processes the flipped image through the model, applies the inverse transformation to the output, and averages it with the original prediction. Combined with MC Dropout, this produces T + 1 prediction samples that are stacked and aggregated via mean pooling, yielding a more robust final segmentation mask.</w:t>
      </w:r>
    </w:p>
    <w:p>
      <w:r>
        <w:rPr>
          <w:rFonts w:ascii="Times New Roman" w:hAnsi="Times New Roman"/>
          <w:b/>
          <w:i/>
          <w:sz w:val="22"/>
        </w:rPr>
        <w:t>E. Guided Grad-CAM Explainability Pipeline</w:t>
      </w:r>
    </w:p>
    <w:p>
      <w:pPr>
        <w:spacing w:after="80"/>
        <w:ind w:firstLine="425"/>
      </w:pPr>
      <w:r>
        <w:rPr>
          <w:rFonts w:ascii="Times New Roman" w:hAnsi="Times New Roman"/>
          <w:sz w:val="20"/>
        </w:rPr>
        <w:t>The explainability module implements a three-stage attribution pipeline to provide interpretable defect localization:</w:t>
      </w:r>
    </w:p>
    <w:p>
      <w:pPr>
        <w:spacing w:after="80"/>
        <w:ind w:firstLine="425"/>
      </w:pPr>
      <w:r>
        <w:rPr>
          <w:rFonts w:ascii="Times New Roman" w:hAnsi="Times New Roman"/>
          <w:sz w:val="20"/>
        </w:rPr>
        <w:t>Stage 1 — Grad-CAM: The system identifies the last convolutional layer in the model, registers forward and backward hooks to capture activations A and gradients ∂y_c/∂A for the target defect class c. The importance weights are computed as the global average pooling of the gradients: α_k = (1/Z) Σ_i Σ_j (∂y_c/∂A^k_{ij}). The Grad-CAM heatmap is then: L^c_{Grad-CAM} = ReLU(Σ_k α_k · A^k), which is upsampled via bilinear interpolation to the input resolution.</w:t>
      </w:r>
    </w:p>
    <w:p>
      <w:pPr>
        <w:spacing w:after="80"/>
        <w:ind w:firstLine="425"/>
      </w:pPr>
      <w:r>
        <w:rPr>
          <w:rFonts w:ascii="Times New Roman" w:hAnsi="Times New Roman"/>
          <w:sz w:val="20"/>
        </w:rPr>
        <w:t>Stage 2 — Gradient Saliency: A separate forward-backward pass computes the input-space gradients |∂y_c/∂x|, producing a high-frequency saliency map that captures fine-grained pixel-level attributions.</w:t>
      </w:r>
    </w:p>
    <w:p>
      <w:pPr>
        <w:spacing w:after="80"/>
        <w:ind w:firstLine="425"/>
      </w:pPr>
      <w:r>
        <w:rPr>
          <w:rFonts w:ascii="Times New Roman" w:hAnsi="Times New Roman"/>
          <w:sz w:val="20"/>
        </w:rPr>
        <w:t>Stage 3 — Guided Grad-CAM Fusion: The coarse Grad-CAM map and the fine-grained gradient saliency map are element-wise multiplied and renormalized to produce a fused attribution map: Fused = Normalize(L_{Grad-CAM} ⊙ Grad_saliency). This fusion yields class-discriminative, high-resolution defect visualizations that show both where and why the model detected a defect.</w:t>
      </w:r>
    </w:p>
    <w:p>
      <w:pPr>
        <w:jc w:val="center"/>
      </w:pPr>
      <w:r>
        <w:rPr>
          <w:b/>
          <w:sz w:val="18"/>
        </w:rPr>
        <w:t>Fig. 2: Inference Pipeline Data Flow</w:t>
      </w:r>
    </w:p>
    <w:tbl>
      <w:tblPr>
        <w:tblStyle w:val="TableGrid"/>
        <w:tblW w:type="auto" w:w="0"/>
        <w:jc w:val="center"/>
        <w:tblLook w:firstColumn="1" w:firstRow="1" w:lastColumn="0" w:lastRow="0" w:noHBand="0" w:noVBand="1" w:val="04A0"/>
      </w:tblPr>
      <w:tblGrid>
        <w:gridCol w:w="10074"/>
      </w:tblGrid>
      <w:tr>
        <w:tc>
          <w:tcPr>
            <w:tcW w:type="dxa" w:w="10074"/>
          </w:tcPr>
          <w:p>
            <w:r/>
          </w:p>
          <w:p>
            <w:pPr>
              <w:jc w:val="center"/>
            </w:pPr>
            <w:r>
              <w:rPr>
                <w:rFonts w:ascii="Courier New" w:hAnsi="Courier New"/>
                <w:sz w:val="16"/>
              </w:rPr>
              <w:t xml:space="preserve">  ┌───────────┐     ┌──────────────┐     ┌──────────────────┐</w:t>
            </w:r>
          </w:p>
          <w:p>
            <w:pPr>
              <w:jc w:val="center"/>
            </w:pPr>
            <w:r>
              <w:rPr>
                <w:rFonts w:ascii="Courier New" w:hAnsi="Courier New"/>
                <w:sz w:val="16"/>
              </w:rPr>
              <w:t xml:space="preserve">  │  Raw Image │────&gt;│ Preprocessing │────&gt;│  Tensor (C×H×W)  │</w:t>
            </w:r>
          </w:p>
          <w:p>
            <w:pPr>
              <w:jc w:val="center"/>
            </w:pPr>
            <w:r>
              <w:rPr>
                <w:rFonts w:ascii="Courier New" w:hAnsi="Courier New"/>
                <w:sz w:val="16"/>
              </w:rPr>
              <w:t xml:space="preserve">  │  (BGR)     │     │ Resize+Norm   │     │  128×800×3       │</w:t>
            </w:r>
          </w:p>
          <w:p>
            <w:pPr>
              <w:jc w:val="center"/>
            </w:pPr>
            <w:r>
              <w:rPr>
                <w:rFonts w:ascii="Courier New" w:hAnsi="Courier New"/>
                <w:sz w:val="16"/>
              </w:rPr>
              <w:t xml:space="preserve">  └───────────┘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          </w:t>
            </w:r>
          </w:p>
          <w:p>
            <w:pPr>
              <w:jc w:val="center"/>
            </w:pPr>
            <w:r>
              <w:rPr>
                <w:rFonts w:ascii="Courier New" w:hAnsi="Courier New"/>
                <w:sz w:val="16"/>
              </w:rPr>
              <w:t xml:space="preserve">    ┌─────────┴─────────┐          ┌──────────────┴────────┐</w:t>
            </w:r>
          </w:p>
          <w:p>
            <w:pPr>
              <w:jc w:val="center"/>
            </w:pPr>
            <w:r>
              <w:rPr>
                <w:rFonts w:ascii="Courier New" w:hAnsi="Courier New"/>
                <w:sz w:val="16"/>
              </w:rPr>
              <w:t xml:space="preserve">    │   MC Dropout       │          │   TTA (H-Flip)        │</w:t>
            </w:r>
          </w:p>
          <w:p>
            <w:pPr>
              <w:jc w:val="center"/>
            </w:pPr>
            <w:r>
              <w:rPr>
                <w:rFonts w:ascii="Courier New" w:hAnsi="Courier New"/>
                <w:sz w:val="16"/>
              </w:rPr>
              <w:t xml:space="preserve">    │   T forward passes │          │   Flip→Predict→Unflip │</w:t>
            </w:r>
          </w:p>
          <w:p>
            <w:pPr>
              <w:jc w:val="center"/>
            </w:pPr>
            <w:r>
              <w:rPr>
                <w:rFonts w:ascii="Courier New" w:hAnsi="Courier New"/>
                <w:sz w:val="16"/>
              </w:rPr>
              <w:t xml:space="preserve">    └─────────┬─────────┘          └──────────────┬────────┘</w:t>
            </w:r>
          </w:p>
          <w:p>
            <w:pPr>
              <w:jc w:val="center"/>
            </w:pPr>
            <w:r>
              <w:rPr>
                <w:rFonts w:ascii="Courier New" w:hAnsi="Courier New"/>
                <w:sz w:val="16"/>
              </w:rPr>
              <w:t xml:space="preserve">              │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Stack &amp; Aggregate  │                   </w:t>
            </w:r>
          </w:p>
          <w:p>
            <w:pPr>
              <w:jc w:val="center"/>
            </w:pPr>
            <w:r>
              <w:rPr>
                <w:rFonts w:ascii="Courier New" w:hAnsi="Courier New"/>
                <w:sz w:val="16"/>
              </w:rPr>
              <w:t xml:space="preserve">                    │  Mean + Variance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                  │           </w:t>
            </w:r>
          </w:p>
          <w:p>
            <w:pPr>
              <w:jc w:val="center"/>
            </w:pPr>
            <w:r>
              <w:rPr>
                <w:rFonts w:ascii="Courier New" w:hAnsi="Courier New"/>
                <w:sz w:val="16"/>
              </w:rPr>
              <w:t xml:space="preserve">  ┌───────┴──────┐  ┌────────┴──────┐  ┌───────┴────────┐  </w:t>
            </w:r>
          </w:p>
          <w:p>
            <w:pPr>
              <w:jc w:val="center"/>
            </w:pPr>
            <w:r>
              <w:rPr>
                <w:rFonts w:ascii="Courier New" w:hAnsi="Courier New"/>
                <w:sz w:val="16"/>
              </w:rPr>
              <w:t xml:space="preserve">  │ Binary Mask   │  │ Prob Maps     │  │ Uncertainty Map│  </w:t>
            </w:r>
          </w:p>
          <w:p>
            <w:pPr>
              <w:jc w:val="center"/>
            </w:pPr>
            <w:r>
              <w:rPr>
                <w:rFonts w:ascii="Courier New" w:hAnsi="Courier New"/>
                <w:sz w:val="16"/>
              </w:rPr>
              <w:t xml:space="preserve">  │ (Threshold)   │  │ (Per-Class)   │  │ (Pixel Var)    │  </w:t>
            </w:r>
          </w:p>
          <w:p>
            <w:pPr>
              <w:jc w:val="center"/>
            </w:pPr>
            <w:r>
              <w:rPr>
                <w:rFonts w:ascii="Courier New" w:hAnsi="Courier New"/>
                <w:sz w:val="16"/>
              </w:rPr>
              <w:t xml:space="preserve">  └───────┬──────┘  └────────┬──────┘  └───────┬────────┘  </w:t>
            </w:r>
          </w:p>
          <w:p>
            <w:pPr>
              <w:jc w:val="center"/>
            </w:pPr>
            <w:r>
              <w:rPr>
                <w:rFonts w:ascii="Courier New" w:hAnsi="Courier New"/>
                <w:sz w:val="16"/>
              </w:rPr>
              <w:t xml:space="preserve">          │                   │                  │           </w:t>
            </w:r>
          </w:p>
          <w:p>
            <w:pPr>
              <w:jc w:val="center"/>
            </w:pPr>
            <w:r>
              <w:rPr>
                <w:rFonts w:ascii="Courier New" w:hAnsi="Courier New"/>
                <w:sz w:val="16"/>
              </w:rPr>
              <w:t xml:space="preserve">  ┌───────┴──────────────────┴──────────────────┴────────┐  </w:t>
            </w:r>
          </w:p>
          <w:p>
            <w:pPr>
              <w:jc w:val="center"/>
            </w:pPr>
            <w:r>
              <w:rPr>
                <w:rFonts w:ascii="Courier New" w:hAnsi="Courier New"/>
                <w:sz w:val="16"/>
              </w:rPr>
              <w:t xml:space="preserve">  │              Classification &amp; Severity                │  </w:t>
            </w:r>
          </w:p>
          <w:p>
            <w:pPr>
              <w:jc w:val="center"/>
            </w:pPr>
            <w:r>
              <w:rPr>
                <w:rFonts w:ascii="Courier New" w:hAnsi="Courier New"/>
                <w:sz w:val="16"/>
              </w:rPr>
              <w:t xml:space="preserve">  │  → Severity: Critical / Warning / Normal              │  </w:t>
            </w:r>
          </w:p>
          <w:p>
            <w:pPr>
              <w:jc w:val="center"/>
            </w:pPr>
            <w:r>
              <w:rPr>
                <w:rFonts w:ascii="Courier New" w:hAnsi="Courier New"/>
                <w:sz w:val="16"/>
              </w:rPr>
              <w:t xml:space="preserve">  │  → Integrity Score Computation                        │  </w:t>
            </w:r>
          </w:p>
          <w:p>
            <w:pPr>
              <w:jc w:val="center"/>
            </w:pPr>
            <w:r>
              <w:rPr>
                <w:rFonts w:ascii="Courier New" w:hAnsi="Courier New"/>
                <w:sz w:val="16"/>
              </w:rPr>
              <w:t xml:space="preserve">  │  → Defect Overlay Generation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w:t>
            </w:r>
          </w:p>
          <w:p>
            <w:pPr>
              <w:jc w:val="center"/>
            </w:pPr>
            <w:r>
              <w:rPr>
                <w:rFonts w:ascii="Courier New" w:hAnsi="Courier New"/>
                <w:sz w:val="16"/>
              </w:rPr>
              <w:t xml:space="preserve">              │  Explainability     │                        </w:t>
            </w:r>
          </w:p>
          <w:p>
            <w:pPr>
              <w:jc w:val="center"/>
            </w:pPr>
            <w:r>
              <w:rPr>
                <w:rFonts w:ascii="Courier New" w:hAnsi="Courier New"/>
                <w:sz w:val="16"/>
              </w:rPr>
              <w:t xml:space="preserve">              │  Grad-CAM + Guided  │                        </w:t>
            </w:r>
          </w:p>
          <w:p>
            <w:pPr>
              <w:jc w:val="center"/>
            </w:pPr>
            <w:r>
              <w:rPr>
                <w:rFonts w:ascii="Courier New" w:hAnsi="Courier New"/>
                <w:sz w:val="16"/>
              </w:rPr>
              <w:t xml:space="preserve">              │  Saliency Fusion    │                        </w:t>
            </w:r>
          </w:p>
          <w:p>
            <w:pPr>
              <w:jc w:val="center"/>
            </w:pPr>
            <w:r>
              <w:rPr>
                <w:rFonts w:ascii="Courier New" w:hAnsi="Courier New"/>
                <w:sz w:val="16"/>
              </w:rPr>
              <w:t xml:space="preserve">              └─────────────────────┘                        </w:t>
            </w:r>
          </w:p>
        </w:tc>
      </w:tr>
    </w:tbl>
    <w:p>
      <w:r>
        <w:rPr>
          <w:rFonts w:ascii="Times New Roman" w:hAnsi="Times New Roman"/>
          <w:b/>
          <w:sz w:val="24"/>
        </w:rPr>
        <w:t>IV. IMPLEMENTATION DETAILS</w:t>
      </w:r>
    </w:p>
    <w:p>
      <w:r>
        <w:rPr>
          <w:rFonts w:ascii="Times New Roman" w:hAnsi="Times New Roman"/>
          <w:b/>
          <w:i/>
          <w:sz w:val="22"/>
        </w:rPr>
        <w:t>A. Technology Stack</w:t>
      </w:r>
    </w:p>
    <w:p>
      <w:pPr>
        <w:jc w:val="center"/>
      </w:pPr>
      <w:r>
        <w:rPr>
          <w:b/>
          <w:sz w:val="18"/>
        </w:rPr>
        <w:t>TABLE II: Technology Stack Summary</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r>
              <w:rPr>
                <w:b/>
                <w:sz w:val="18"/>
              </w:rPr>
              <w:t>Component</w:t>
            </w:r>
          </w:p>
        </w:tc>
        <w:tc>
          <w:tcPr>
            <w:tcW w:type="dxa" w:w="3358"/>
          </w:tcPr>
          <w:p>
            <w:r>
              <w:rPr>
                <w:b/>
                <w:sz w:val="18"/>
              </w:rPr>
              <w:t>Technology</w:t>
            </w:r>
          </w:p>
        </w:tc>
        <w:tc>
          <w:tcPr>
            <w:tcW w:type="dxa" w:w="3358"/>
          </w:tcPr>
          <w:p>
            <w:r>
              <w:rPr>
                <w:b/>
                <w:sz w:val="18"/>
              </w:rPr>
              <w:t>Purpose</w:t>
            </w:r>
          </w:p>
        </w:tc>
      </w:tr>
      <w:tr>
        <w:tc>
          <w:tcPr>
            <w:tcW w:type="dxa" w:w="3358"/>
          </w:tcPr>
          <w:p>
            <w:r>
              <w:rPr>
                <w:sz w:val="18"/>
              </w:rPr>
              <w:t>Backend Framework</w:t>
            </w:r>
          </w:p>
        </w:tc>
        <w:tc>
          <w:tcPr>
            <w:tcW w:type="dxa" w:w="3358"/>
          </w:tcPr>
          <w:p>
            <w:r>
              <w:rPr>
                <w:sz w:val="18"/>
              </w:rPr>
              <w:t>FastAPI 0.100+</w:t>
            </w:r>
          </w:p>
        </w:tc>
        <w:tc>
          <w:tcPr>
            <w:tcW w:type="dxa" w:w="3358"/>
          </w:tcPr>
          <w:p>
            <w:r>
              <w:rPr>
                <w:sz w:val="18"/>
              </w:rPr>
              <w:t>Async REST API with OpenAPI docs</w:t>
            </w:r>
          </w:p>
        </w:tc>
      </w:tr>
      <w:tr>
        <w:tc>
          <w:tcPr>
            <w:tcW w:type="dxa" w:w="3358"/>
          </w:tcPr>
          <w:p>
            <w:r>
              <w:rPr>
                <w:sz w:val="18"/>
              </w:rPr>
              <w:t>ML Framework</w:t>
            </w:r>
          </w:p>
        </w:tc>
        <w:tc>
          <w:tcPr>
            <w:tcW w:type="dxa" w:w="3358"/>
          </w:tcPr>
          <w:p>
            <w:r>
              <w:rPr>
                <w:sz w:val="18"/>
              </w:rPr>
              <w:t>PyTorch 2.x</w:t>
            </w:r>
          </w:p>
        </w:tc>
        <w:tc>
          <w:tcPr>
            <w:tcW w:type="dxa" w:w="3358"/>
          </w:tcPr>
          <w:p>
            <w:r>
              <w:rPr>
                <w:sz w:val="18"/>
              </w:rPr>
              <w:t>Model training and inference</w:t>
            </w:r>
          </w:p>
        </w:tc>
      </w:tr>
      <w:tr>
        <w:tc>
          <w:tcPr>
            <w:tcW w:type="dxa" w:w="3358"/>
          </w:tcPr>
          <w:p>
            <w:r>
              <w:rPr>
                <w:sz w:val="18"/>
              </w:rPr>
              <w:t>Segmentation Library</w:t>
            </w:r>
          </w:p>
        </w:tc>
        <w:tc>
          <w:tcPr>
            <w:tcW w:type="dxa" w:w="3358"/>
          </w:tcPr>
          <w:p>
            <w:r>
              <w:rPr>
                <w:sz w:val="18"/>
              </w:rPr>
              <w:t>segmentation-models-pytorch</w:t>
            </w:r>
          </w:p>
        </w:tc>
        <w:tc>
          <w:tcPr>
            <w:tcW w:type="dxa" w:w="3358"/>
          </w:tcPr>
          <w:p>
            <w:r>
              <w:rPr>
                <w:sz w:val="18"/>
              </w:rPr>
              <w:t>U-Net with encoder backbones</w:t>
            </w:r>
          </w:p>
        </w:tc>
      </w:tr>
      <w:tr>
        <w:tc>
          <w:tcPr>
            <w:tcW w:type="dxa" w:w="3358"/>
          </w:tcPr>
          <w:p>
            <w:r>
              <w:rPr>
                <w:sz w:val="18"/>
              </w:rPr>
              <w:t>Image Processing</w:t>
            </w:r>
          </w:p>
        </w:tc>
        <w:tc>
          <w:tcPr>
            <w:tcW w:type="dxa" w:w="3358"/>
          </w:tcPr>
          <w:p>
            <w:r>
              <w:rPr>
                <w:sz w:val="18"/>
              </w:rPr>
              <w:t>OpenCV + Pillow</w:t>
            </w:r>
          </w:p>
        </w:tc>
        <w:tc>
          <w:tcPr>
            <w:tcW w:type="dxa" w:w="3358"/>
          </w:tcPr>
          <w:p>
            <w:r>
              <w:rPr>
                <w:sz w:val="18"/>
              </w:rPr>
              <w:t>Resize, color conversion, overlay</w:t>
            </w:r>
          </w:p>
        </w:tc>
      </w:tr>
      <w:tr>
        <w:tc>
          <w:tcPr>
            <w:tcW w:type="dxa" w:w="3358"/>
          </w:tcPr>
          <w:p>
            <w:r>
              <w:rPr>
                <w:sz w:val="18"/>
              </w:rPr>
              <w:t>ORM / Database</w:t>
            </w:r>
          </w:p>
        </w:tc>
        <w:tc>
          <w:tcPr>
            <w:tcW w:type="dxa" w:w="3358"/>
          </w:tcPr>
          <w:p>
            <w:r>
              <w:rPr>
                <w:sz w:val="18"/>
              </w:rPr>
              <w:t>SQLAlchemy + SQLite</w:t>
            </w:r>
          </w:p>
        </w:tc>
        <w:tc>
          <w:tcPr>
            <w:tcW w:type="dxa" w:w="3358"/>
          </w:tcPr>
          <w:p>
            <w:r>
              <w:rPr>
                <w:sz w:val="18"/>
              </w:rPr>
              <w:t>Persistent audit trail storage</w:t>
            </w:r>
          </w:p>
        </w:tc>
      </w:tr>
      <w:tr>
        <w:tc>
          <w:tcPr>
            <w:tcW w:type="dxa" w:w="3358"/>
          </w:tcPr>
          <w:p>
            <w:r>
              <w:rPr>
                <w:sz w:val="18"/>
              </w:rPr>
              <w:t>Authentication</w:t>
            </w:r>
          </w:p>
        </w:tc>
        <w:tc>
          <w:tcPr>
            <w:tcW w:type="dxa" w:w="3358"/>
          </w:tcPr>
          <w:p>
            <w:r>
              <w:rPr>
                <w:sz w:val="18"/>
              </w:rPr>
              <w:t>python-jose + passlib + bcrypt</w:t>
            </w:r>
          </w:p>
        </w:tc>
        <w:tc>
          <w:tcPr>
            <w:tcW w:type="dxa" w:w="3358"/>
          </w:tcPr>
          <w:p>
            <w:r>
              <w:rPr>
                <w:sz w:val="18"/>
              </w:rPr>
              <w:t>JWT tokens + password hashing</w:t>
            </w:r>
          </w:p>
        </w:tc>
      </w:tr>
      <w:tr>
        <w:tc>
          <w:tcPr>
            <w:tcW w:type="dxa" w:w="3358"/>
          </w:tcPr>
          <w:p>
            <w:r>
              <w:rPr>
                <w:sz w:val="18"/>
              </w:rPr>
              <w:t>LLM Integration</w:t>
            </w:r>
          </w:p>
        </w:tc>
        <w:tc>
          <w:tcPr>
            <w:tcW w:type="dxa" w:w="3358"/>
          </w:tcPr>
          <w:p>
            <w:r>
              <w:rPr>
                <w:sz w:val="18"/>
              </w:rPr>
              <w:t>Groq API (LLaMA 3.3 70B)</w:t>
            </w:r>
          </w:p>
        </w:tc>
        <w:tc>
          <w:tcPr>
            <w:tcW w:type="dxa" w:w="3358"/>
          </w:tcPr>
          <w:p>
            <w:r>
              <w:rPr>
                <w:sz w:val="18"/>
              </w:rPr>
              <w:t>Repair advisory generation</w:t>
            </w:r>
          </w:p>
        </w:tc>
      </w:tr>
      <w:tr>
        <w:tc>
          <w:tcPr>
            <w:tcW w:type="dxa" w:w="3358"/>
          </w:tcPr>
          <w:p>
            <w:r>
              <w:rPr>
                <w:sz w:val="18"/>
              </w:rPr>
              <w:t>HTTP Client</w:t>
            </w:r>
          </w:p>
        </w:tc>
        <w:tc>
          <w:tcPr>
            <w:tcW w:type="dxa" w:w="3358"/>
          </w:tcPr>
          <w:p>
            <w:r>
              <w:rPr>
                <w:sz w:val="18"/>
              </w:rPr>
              <w:t>httpx</w:t>
            </w:r>
          </w:p>
        </w:tc>
        <w:tc>
          <w:tcPr>
            <w:tcW w:type="dxa" w:w="3358"/>
          </w:tcPr>
          <w:p>
            <w:r>
              <w:rPr>
                <w:sz w:val="18"/>
              </w:rPr>
              <w:t>Async LLM API communication</w:t>
            </w:r>
          </w:p>
        </w:tc>
      </w:tr>
      <w:tr>
        <w:tc>
          <w:tcPr>
            <w:tcW w:type="dxa" w:w="3358"/>
          </w:tcPr>
          <w:p>
            <w:r>
              <w:rPr>
                <w:sz w:val="18"/>
              </w:rPr>
              <w:t>Desktop Frontend</w:t>
            </w:r>
          </w:p>
        </w:tc>
        <w:tc>
          <w:tcPr>
            <w:tcW w:type="dxa" w:w="3358"/>
          </w:tcPr>
          <w:p>
            <w:r>
              <w:rPr>
                <w:sz w:val="18"/>
              </w:rPr>
              <w:t>Streamlit</w:t>
            </w:r>
          </w:p>
        </w:tc>
        <w:tc>
          <w:tcPr>
            <w:tcW w:type="dxa" w:w="3358"/>
          </w:tcPr>
          <w:p>
            <w:r>
              <w:rPr>
                <w:sz w:val="18"/>
              </w:rPr>
              <w:t>Rich operator control console</w:t>
            </w:r>
          </w:p>
        </w:tc>
      </w:tr>
      <w:tr>
        <w:tc>
          <w:tcPr>
            <w:tcW w:type="dxa" w:w="3358"/>
          </w:tcPr>
          <w:p>
            <w:r>
              <w:rPr>
                <w:sz w:val="18"/>
              </w:rPr>
              <w:t>Mobile Frontend</w:t>
            </w:r>
          </w:p>
        </w:tc>
        <w:tc>
          <w:tcPr>
            <w:tcW w:type="dxa" w:w="3358"/>
          </w:tcPr>
          <w:p>
            <w:r>
              <w:rPr>
                <w:sz w:val="18"/>
              </w:rPr>
              <w:t>Progressive Web App (HTML/JS)</w:t>
            </w:r>
          </w:p>
        </w:tc>
        <w:tc>
          <w:tcPr>
            <w:tcW w:type="dxa" w:w="3358"/>
          </w:tcPr>
          <w:p>
            <w:r>
              <w:rPr>
                <w:sz w:val="18"/>
              </w:rPr>
              <w:t>Camera-based field inspection</w:t>
            </w:r>
          </w:p>
        </w:tc>
      </w:tr>
      <w:tr>
        <w:tc>
          <w:tcPr>
            <w:tcW w:type="dxa" w:w="3358"/>
          </w:tcPr>
          <w:p>
            <w:r>
              <w:rPr>
                <w:sz w:val="18"/>
              </w:rPr>
              <w:t>Config Management</w:t>
            </w:r>
          </w:p>
        </w:tc>
        <w:tc>
          <w:tcPr>
            <w:tcW w:type="dxa" w:w="3358"/>
          </w:tcPr>
          <w:p>
            <w:r>
              <w:rPr>
                <w:sz w:val="18"/>
              </w:rPr>
              <w:t>python-dotenv</w:t>
            </w:r>
          </w:p>
        </w:tc>
        <w:tc>
          <w:tcPr>
            <w:tcW w:type="dxa" w:w="3358"/>
          </w:tcPr>
          <w:p>
            <w:r>
              <w:rPr>
                <w:sz w:val="18"/>
              </w:rPr>
              <w:t>Environment variable loading</w:t>
            </w:r>
          </w:p>
        </w:tc>
      </w:tr>
    </w:tbl>
    <w:p>
      <w:r>
        <w:rPr>
          <w:rFonts w:ascii="Times New Roman" w:hAnsi="Times New Roman"/>
          <w:b/>
          <w:i/>
          <w:sz w:val="22"/>
        </w:rPr>
        <w:t>B. Authentication and Security</w:t>
      </w:r>
    </w:p>
    <w:p>
      <w:pPr>
        <w:spacing w:after="80"/>
        <w:ind w:firstLine="425"/>
      </w:pPr>
      <w:r>
        <w:rPr>
          <w:rFonts w:ascii="Times New Roman" w:hAnsi="Times New Roman"/>
          <w:sz w:val="20"/>
        </w:rPr>
        <w:t>The system implements JWT-based stateless authentication using the OAuth2 password grant flow. User passwords are hashed using bcrypt via the passlib library with automatic salt generation. Access tokens are signed with HS256 (HMAC-SHA256) and have a configurable expiration period (default: 1440 minutes / 24 hours). Token validation extracts the user's email from the 'sub' claim and queries the database for authorization. All analytical endpoints are protected behind the get_current_user dependency injection.</w:t>
      </w:r>
    </w:p>
    <w:p>
      <w:r>
        <w:rPr>
          <w:rFonts w:ascii="Times New Roman" w:hAnsi="Times New Roman"/>
          <w:b/>
          <w:i/>
          <w:sz w:val="22"/>
        </w:rPr>
        <w:t>C. Database Schema and Audit Trail</w:t>
      </w:r>
    </w:p>
    <w:p>
      <w:pPr>
        <w:spacing w:after="80"/>
        <w:ind w:firstLine="425"/>
      </w:pPr>
      <w:r>
        <w:rPr>
          <w:rFonts w:ascii="Times New Roman" w:hAnsi="Times New Roman"/>
          <w:sz w:val="20"/>
        </w:rPr>
        <w:t>The persistence layer uses SQLAlchemy ORM with SQLite and implements automatic schema migration for backward compatibility. Three tables are maintained:</w:t>
      </w:r>
    </w:p>
    <w:p>
      <w:pPr>
        <w:jc w:val="center"/>
      </w:pPr>
      <w:r>
        <w:rPr>
          <w:b/>
          <w:sz w:val="18"/>
        </w:rPr>
        <w:t>TABLE III: Database Schema Overview</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r>
              <w:rPr>
                <w:b/>
                <w:sz w:val="18"/>
              </w:rPr>
              <w:t>Table</w:t>
            </w:r>
          </w:p>
        </w:tc>
        <w:tc>
          <w:tcPr>
            <w:tcW w:type="dxa" w:w="3358"/>
          </w:tcPr>
          <w:p>
            <w:r>
              <w:rPr>
                <w:b/>
                <w:sz w:val="18"/>
              </w:rPr>
              <w:t>Key Columns</w:t>
            </w:r>
          </w:p>
        </w:tc>
        <w:tc>
          <w:tcPr>
            <w:tcW w:type="dxa" w:w="3358"/>
          </w:tcPr>
          <w:p>
            <w:r>
              <w:rPr>
                <w:b/>
                <w:sz w:val="18"/>
              </w:rPr>
              <w:t>Purpose</w:t>
            </w:r>
          </w:p>
        </w:tc>
      </w:tr>
      <w:tr>
        <w:tc>
          <w:tcPr>
            <w:tcW w:type="dxa" w:w="3358"/>
          </w:tcPr>
          <w:p>
            <w:r>
              <w:rPr>
                <w:sz w:val="18"/>
              </w:rPr>
              <w:t>users</w:t>
            </w:r>
          </w:p>
        </w:tc>
        <w:tc>
          <w:tcPr>
            <w:tcW w:type="dxa" w:w="3358"/>
          </w:tcPr>
          <w:p>
            <w:r>
              <w:rPr>
                <w:sz w:val="18"/>
              </w:rPr>
              <w:t>id, email, full_name, hashed_password, created_at</w:t>
            </w:r>
          </w:p>
        </w:tc>
        <w:tc>
          <w:tcPr>
            <w:tcW w:type="dxa" w:w="3358"/>
          </w:tcPr>
          <w:p>
            <w:r>
              <w:rPr>
                <w:sz w:val="18"/>
              </w:rPr>
              <w:t>User account management</w:t>
            </w:r>
          </w:p>
        </w:tc>
      </w:tr>
      <w:tr>
        <w:tc>
          <w:tcPr>
            <w:tcW w:type="dxa" w:w="3358"/>
          </w:tcPr>
          <w:p>
            <w:r>
              <w:rPr>
                <w:sz w:val="18"/>
              </w:rPr>
              <w:t>analysis_history</w:t>
            </w:r>
          </w:p>
        </w:tc>
        <w:tc>
          <w:tcPr>
            <w:tcW w:type="dxa" w:w="3358"/>
          </w:tcPr>
          <w:p>
            <w:r>
              <w:rPr>
                <w:sz w:val="18"/>
              </w:rPr>
              <w:t>report_id, user_id, top_label, severity, integrity_score, verification_hash, dts_data_json, acoustic_data_json</w:t>
            </w:r>
          </w:p>
        </w:tc>
        <w:tc>
          <w:tcPr>
            <w:tcW w:type="dxa" w:w="3358"/>
          </w:tcPr>
          <w:p>
            <w:r>
              <w:rPr>
                <w:sz w:val="18"/>
              </w:rPr>
              <w:t>Complete audit trail per inspection</w:t>
            </w:r>
          </w:p>
        </w:tc>
      </w:tr>
      <w:tr>
        <w:tc>
          <w:tcPr>
            <w:tcW w:type="dxa" w:w="3358"/>
          </w:tcPr>
          <w:p>
            <w:r>
              <w:rPr>
                <w:sz w:val="18"/>
              </w:rPr>
              <w:t>feedback</w:t>
            </w:r>
          </w:p>
        </w:tc>
        <w:tc>
          <w:tcPr>
            <w:tcW w:type="dxa" w:w="3358"/>
          </w:tcPr>
          <w:p>
            <w:r>
              <w:rPr>
                <w:sz w:val="18"/>
              </w:rPr>
              <w:t>user_id, rating, message, created_at</w:t>
            </w:r>
          </w:p>
        </w:tc>
        <w:tc>
          <w:tcPr>
            <w:tcW w:type="dxa" w:w="3358"/>
          </w:tcPr>
          <w:p>
            <w:r>
              <w:rPr>
                <w:sz w:val="18"/>
              </w:rPr>
              <w:t>Quality feedback collection</w:t>
            </w:r>
          </w:p>
        </w:tc>
      </w:tr>
    </w:tbl>
    <w:p>
      <w:r>
        <w:rPr>
          <w:rFonts w:ascii="Times New Roman" w:hAnsi="Times New Roman"/>
          <w:b/>
          <w:i/>
          <w:sz w:val="22"/>
        </w:rPr>
        <w:t>D. API Endpoint Design</w:t>
      </w:r>
    </w:p>
    <w:p>
      <w:pPr>
        <w:jc w:val="center"/>
      </w:pPr>
      <w:r>
        <w:rPr>
          <w:b/>
          <w:sz w:val="18"/>
        </w:rPr>
        <w:t>TABLE IV: REST API Endpoints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r>
              <w:rPr>
                <w:b/>
                <w:sz w:val="18"/>
              </w:rPr>
              <w:t>Endpoint</w:t>
            </w:r>
          </w:p>
        </w:tc>
        <w:tc>
          <w:tcPr>
            <w:tcW w:type="dxa" w:w="3358"/>
          </w:tcPr>
          <w:p>
            <w:r>
              <w:rPr>
                <w:b/>
                <w:sz w:val="18"/>
              </w:rPr>
              <w:t>Method</w:t>
            </w:r>
          </w:p>
        </w:tc>
        <w:tc>
          <w:tcPr>
            <w:tcW w:type="dxa" w:w="3358"/>
          </w:tcPr>
          <w:p>
            <w:r>
              <w:rPr>
                <w:b/>
                <w:sz w:val="18"/>
              </w:rPr>
              <w:t>Description</w:t>
            </w:r>
          </w:p>
        </w:tc>
      </w:tr>
      <w:tr>
        <w:tc>
          <w:tcPr>
            <w:tcW w:type="dxa" w:w="3358"/>
          </w:tcPr>
          <w:p>
            <w:r>
              <w:rPr>
                <w:sz w:val="18"/>
              </w:rPr>
              <w:t>/v1/auth/signup</w:t>
            </w:r>
          </w:p>
        </w:tc>
        <w:tc>
          <w:tcPr>
            <w:tcW w:type="dxa" w:w="3358"/>
          </w:tcPr>
          <w:p>
            <w:r>
              <w:rPr>
                <w:sz w:val="18"/>
              </w:rPr>
              <w:t>POST</w:t>
            </w:r>
          </w:p>
        </w:tc>
        <w:tc>
          <w:tcPr>
            <w:tcW w:type="dxa" w:w="3358"/>
          </w:tcPr>
          <w:p>
            <w:r>
              <w:rPr>
                <w:sz w:val="18"/>
              </w:rPr>
              <w:t>User registration with email/password</w:t>
            </w:r>
          </w:p>
        </w:tc>
      </w:tr>
      <w:tr>
        <w:tc>
          <w:tcPr>
            <w:tcW w:type="dxa" w:w="3358"/>
          </w:tcPr>
          <w:p>
            <w:r>
              <w:rPr>
                <w:sz w:val="18"/>
              </w:rPr>
              <w:t>/v1/auth/login</w:t>
            </w:r>
          </w:p>
        </w:tc>
        <w:tc>
          <w:tcPr>
            <w:tcW w:type="dxa" w:w="3358"/>
          </w:tcPr>
          <w:p>
            <w:r>
              <w:rPr>
                <w:sz w:val="18"/>
              </w:rPr>
              <w:t>POST</w:t>
            </w:r>
          </w:p>
        </w:tc>
        <w:tc>
          <w:tcPr>
            <w:tcW w:type="dxa" w:w="3358"/>
          </w:tcPr>
          <w:p>
            <w:r>
              <w:rPr>
                <w:sz w:val="18"/>
              </w:rPr>
              <w:t>OAuth2 password grant, returns JWT</w:t>
            </w:r>
          </w:p>
        </w:tc>
      </w:tr>
      <w:tr>
        <w:tc>
          <w:tcPr>
            <w:tcW w:type="dxa" w:w="3358"/>
          </w:tcPr>
          <w:p>
            <w:r>
              <w:rPr>
                <w:sz w:val="18"/>
              </w:rPr>
              <w:t>/v1/analyze/image</w:t>
            </w:r>
          </w:p>
        </w:tc>
        <w:tc>
          <w:tcPr>
            <w:tcW w:type="dxa" w:w="3358"/>
          </w:tcPr>
          <w:p>
            <w:r>
              <w:rPr>
                <w:sz w:val="18"/>
              </w:rPr>
              <w:t>POST</w:t>
            </w:r>
          </w:p>
        </w:tc>
        <w:tc>
          <w:tcPr>
            <w:tcW w:type="dxa" w:w="3358"/>
          </w:tcPr>
          <w:p>
            <w:r>
              <w:rPr>
                <w:sz w:val="18"/>
              </w:rPr>
              <w:t>Full inference pipeline with MC Dropout, TTA, XAI</w:t>
            </w:r>
          </w:p>
        </w:tc>
      </w:tr>
      <w:tr>
        <w:tc>
          <w:tcPr>
            <w:tcW w:type="dxa" w:w="3358"/>
          </w:tcPr>
          <w:p>
            <w:r>
              <w:rPr>
                <w:sz w:val="18"/>
              </w:rPr>
              <w:t>/v1/advice</w:t>
            </w:r>
          </w:p>
        </w:tc>
        <w:tc>
          <w:tcPr>
            <w:tcW w:type="dxa" w:w="3358"/>
          </w:tcPr>
          <w:p>
            <w:r>
              <w:rPr>
                <w:sz w:val="18"/>
              </w:rPr>
              <w:t>POST</w:t>
            </w:r>
          </w:p>
        </w:tc>
        <w:tc>
          <w:tcPr>
            <w:tcW w:type="dxa" w:w="3358"/>
          </w:tcPr>
          <w:p>
            <w:r>
              <w:rPr>
                <w:sz w:val="18"/>
              </w:rPr>
              <w:t>LLM-based or fallback repair advisory</w:t>
            </w:r>
          </w:p>
        </w:tc>
      </w:tr>
      <w:tr>
        <w:tc>
          <w:tcPr>
            <w:tcW w:type="dxa" w:w="3358"/>
          </w:tcPr>
          <w:p>
            <w:r>
              <w:rPr>
                <w:sz w:val="18"/>
              </w:rPr>
              <w:t>/v1/chat</w:t>
            </w:r>
          </w:p>
        </w:tc>
        <w:tc>
          <w:tcPr>
            <w:tcW w:type="dxa" w:w="3358"/>
          </w:tcPr>
          <w:p>
            <w:r>
              <w:rPr>
                <w:sz w:val="18"/>
              </w:rPr>
              <w:t>POST</w:t>
            </w:r>
          </w:p>
        </w:tc>
        <w:tc>
          <w:tcPr>
            <w:tcW w:type="dxa" w:w="3358"/>
          </w:tcPr>
          <w:p>
            <w:r>
              <w:rPr>
                <w:sz w:val="18"/>
              </w:rPr>
              <w:t>Conversational welding engineer AI assistant</w:t>
            </w:r>
          </w:p>
        </w:tc>
      </w:tr>
      <w:tr>
        <w:tc>
          <w:tcPr>
            <w:tcW w:type="dxa" w:w="3358"/>
          </w:tcPr>
          <w:p>
            <w:r>
              <w:rPr>
                <w:sz w:val="18"/>
              </w:rPr>
              <w:t>/v1/history</w:t>
            </w:r>
          </w:p>
        </w:tc>
        <w:tc>
          <w:tcPr>
            <w:tcW w:type="dxa" w:w="3358"/>
          </w:tcPr>
          <w:p>
            <w:r>
              <w:rPr>
                <w:sz w:val="18"/>
              </w:rPr>
              <w:t>GET</w:t>
            </w:r>
          </w:p>
        </w:tc>
        <w:tc>
          <w:tcPr>
            <w:tcW w:type="dxa" w:w="3358"/>
          </w:tcPr>
          <w:p>
            <w:r>
              <w:rPr>
                <w:sz w:val="18"/>
              </w:rPr>
              <w:t>Retrieve user's analysis history</w:t>
            </w:r>
          </w:p>
        </w:tc>
      </w:tr>
      <w:tr>
        <w:tc>
          <w:tcPr>
            <w:tcW w:type="dxa" w:w="3358"/>
          </w:tcPr>
          <w:p>
            <w:r>
              <w:rPr>
                <w:sz w:val="18"/>
              </w:rPr>
              <w:t>/v1/stats</w:t>
            </w:r>
          </w:p>
        </w:tc>
        <w:tc>
          <w:tcPr>
            <w:tcW w:type="dxa" w:w="3358"/>
          </w:tcPr>
          <w:p>
            <w:r>
              <w:rPr>
                <w:sz w:val="18"/>
              </w:rPr>
              <w:t>GET</w:t>
            </w:r>
          </w:p>
        </w:tc>
        <w:tc>
          <w:tcPr>
            <w:tcW w:type="dxa" w:w="3358"/>
          </w:tcPr>
          <w:p>
            <w:r>
              <w:rPr>
                <w:sz w:val="18"/>
              </w:rPr>
              <w:t>Dashboard statistics (total welds, defect rate)</w:t>
            </w:r>
          </w:p>
        </w:tc>
      </w:tr>
      <w:tr>
        <w:tc>
          <w:tcPr>
            <w:tcW w:type="dxa" w:w="3358"/>
          </w:tcPr>
          <w:p>
            <w:r>
              <w:rPr>
                <w:sz w:val="18"/>
              </w:rPr>
              <w:t>/v1/predict/trends</w:t>
            </w:r>
          </w:p>
        </w:tc>
        <w:tc>
          <w:tcPr>
            <w:tcW w:type="dxa" w:w="3358"/>
          </w:tcPr>
          <w:p>
            <w:r>
              <w:rPr>
                <w:sz w:val="18"/>
              </w:rPr>
              <w:t>GET</w:t>
            </w:r>
          </w:p>
        </w:tc>
        <w:tc>
          <w:tcPr>
            <w:tcW w:type="dxa" w:w="3358"/>
          </w:tcPr>
          <w:p>
            <w:r>
              <w:rPr>
                <w:sz w:val="18"/>
              </w:rPr>
              <w:t>Linear regression defect rate forecasting</w:t>
            </w:r>
          </w:p>
        </w:tc>
      </w:tr>
      <w:tr>
        <w:tc>
          <w:tcPr>
            <w:tcW w:type="dxa" w:w="3358"/>
          </w:tcPr>
          <w:p>
            <w:r>
              <w:rPr>
                <w:sz w:val="18"/>
              </w:rPr>
              <w:t>/v1/research/validate</w:t>
            </w:r>
          </w:p>
        </w:tc>
        <w:tc>
          <w:tcPr>
            <w:tcW w:type="dxa" w:w="3358"/>
          </w:tcPr>
          <w:p>
            <w:r>
              <w:rPr>
                <w:sz w:val="18"/>
              </w:rPr>
              <w:t>POST</w:t>
            </w:r>
          </w:p>
        </w:tc>
        <w:tc>
          <w:tcPr>
            <w:tcW w:type="dxa" w:w="3358"/>
          </w:tcPr>
          <w:p>
            <w:r>
              <w:rPr>
                <w:sz w:val="18"/>
              </w:rPr>
              <w:t>mIoU and Dice computation against ground truth</w:t>
            </w:r>
          </w:p>
        </w:tc>
      </w:tr>
      <w:tr>
        <w:tc>
          <w:tcPr>
            <w:tcW w:type="dxa" w:w="3358"/>
          </w:tcPr>
          <w:p>
            <w:r>
              <w:rPr>
                <w:sz w:val="18"/>
              </w:rPr>
              <w:t>/v1/feedback</w:t>
            </w:r>
          </w:p>
        </w:tc>
        <w:tc>
          <w:tcPr>
            <w:tcW w:type="dxa" w:w="3358"/>
          </w:tcPr>
          <w:p>
            <w:r>
              <w:rPr>
                <w:sz w:val="18"/>
              </w:rPr>
              <w:t>POST</w:t>
            </w:r>
          </w:p>
        </w:tc>
        <w:tc>
          <w:tcPr>
            <w:tcW w:type="dxa" w:w="3358"/>
          </w:tcPr>
          <w:p>
            <w:r>
              <w:rPr>
                <w:sz w:val="18"/>
              </w:rPr>
              <w:t>Submit quality rating and feedback</w:t>
            </w:r>
          </w:p>
        </w:tc>
      </w:tr>
    </w:tbl>
    <w:p>
      <w:r>
        <w:rPr>
          <w:rFonts w:ascii="Times New Roman" w:hAnsi="Times New Roman"/>
          <w:b/>
          <w:i/>
          <w:sz w:val="22"/>
        </w:rPr>
        <w:t>E. Patent-Grade Features</w:t>
      </w:r>
    </w:p>
    <w:p>
      <w:pPr>
        <w:spacing w:after="80"/>
        <w:ind w:firstLine="425"/>
      </w:pPr>
      <w:r>
        <w:rPr>
          <w:rFonts w:ascii="Times New Roman" w:hAnsi="Times New Roman"/>
          <w:sz w:val="20"/>
        </w:rPr>
        <w:t>The system incorporates several advanced features designed for industrial traceability: (1) SHA-256 Integrity Hashing: Each analysis result generates a cryptographic fingerprint combining the defect label, confidence score, and UTC timestamp, ensuring tamper-evident audit records. (2) Digital Twin Synchronizer (DTS): Structured 3D coordinate mappings are generated using sinusoidal waveform projection with tension parameters derived from model confidence, enabling future integration with CAD/BIM digital twin platforms. (3) Acoustic Signature Simulation: 24-bin frequency spectra are computed using sinusoidal basis functions with Gaussian noise perturbation, simulating welding process acoustic analysis for multi-modal defect correlation.</w:t>
      </w:r>
    </w:p>
    <w:p>
      <w:r>
        <w:rPr>
          <w:rFonts w:ascii="Times New Roman" w:hAnsi="Times New Roman"/>
          <w:b/>
          <w:i/>
          <w:sz w:val="22"/>
        </w:rPr>
        <w:t>F. LLM-Augmented Repair Advisory</w:t>
      </w:r>
    </w:p>
    <w:p>
      <w:pPr>
        <w:spacing w:after="80"/>
        <w:ind w:firstLine="425"/>
      </w:pPr>
      <w:r>
        <w:rPr>
          <w:rFonts w:ascii="Times New Roman" w:hAnsi="Times New Roman"/>
          <w:sz w:val="20"/>
        </w:rPr>
        <w:t>The advisory module implements a dual-strategy approach. The primary path sends a structured prompt to the Groq-hosted LLaMA 3.3 70B model via the OpenAI-compatible chat completions API, requesting JSON-formatted repair advice with keys: repairable (boolean), priority (immediate/same-shift/routine), summary (text), and actions (array of 3-5 steps). Temperature is set to 0.2 for deterministic, factual outputs. If LLM inference fails or no API key is configured, the system falls back to a deterministic heuristic engine that maps severity levels to priority classifications and generates rule-based action items including component quarantine for critical defects, multi-angle re-imaging, NDT validation, and traceability documentation.</w:t>
      </w:r>
    </w:p>
    <w:p>
      <w:r>
        <w:rPr>
          <w:rFonts w:ascii="Times New Roman" w:hAnsi="Times New Roman"/>
          <w:b/>
          <w:sz w:val="24"/>
        </w:rPr>
        <w:t>V. EXPERIMENTAL RESULTS AND ANALYSIS</w:t>
      </w:r>
    </w:p>
    <w:p>
      <w:r>
        <w:rPr>
          <w:rFonts w:ascii="Times New Roman" w:hAnsi="Times New Roman"/>
          <w:b/>
          <w:i/>
          <w:sz w:val="22"/>
        </w:rPr>
        <w:t>A. Dataset and Preprocessing</w:t>
      </w:r>
    </w:p>
    <w:p>
      <w:pPr>
        <w:spacing w:after="80"/>
        <w:ind w:firstLine="425"/>
      </w:pPr>
      <w:r>
        <w:rPr>
          <w:rFonts w:ascii="Times New Roman" w:hAnsi="Times New Roman"/>
          <w:sz w:val="20"/>
        </w:rPr>
        <w:t>The model is trained and evaluated on steel surface defect images derived from the Severstal Steel Defect Detection dataset [16]. Images are captured via high-resolution line-scan cameras on continuous steel strip production lines. Each image is resized to 128 × 800 pixels and normalized to [0, 1] range. The four defect classes are: Class 0 (Rolled-in Scale), Class 1 (Surface Patch), Class 2 (Scratch), and Class 3 (Inclusion). The dataset exhibits significant class imbalance, with some defect types occurring much less frequently than others.</w:t>
      </w:r>
    </w:p>
    <w:p>
      <w:r>
        <w:rPr>
          <w:rFonts w:ascii="Times New Roman" w:hAnsi="Times New Roman"/>
          <w:b/>
          <w:i/>
          <w:sz w:val="22"/>
        </w:rPr>
        <w:t>B. Evaluation Metrics</w:t>
      </w:r>
    </w:p>
    <w:p>
      <w:pPr>
        <w:spacing w:after="80"/>
        <w:ind w:firstLine="425"/>
      </w:pPr>
      <w:r>
        <w:rPr>
          <w:rFonts w:ascii="Times New Roman" w:hAnsi="Times New Roman"/>
          <w:sz w:val="20"/>
        </w:rPr>
        <w:t>We employ standard semantic segmentation metrics:</w:t>
      </w:r>
    </w:p>
    <w:p>
      <w:pPr>
        <w:spacing w:after="80"/>
        <w:ind w:firstLine="425"/>
      </w:pPr>
      <w:r>
        <w:rPr>
          <w:rFonts w:ascii="Times New Roman" w:hAnsi="Times New Roman"/>
          <w:sz w:val="20"/>
        </w:rPr>
        <w:t>Intersection over Union (IoU): IoU_c = TP_c / (TP_c + FP_c + FN_c), where TP, FP, FN denote true positives, false positives, and false negatives for class c. The mean IoU (mIoU) averages across all classes, excluding classes with zero ground truth (NaN values).</w:t>
      </w:r>
    </w:p>
    <w:p>
      <w:pPr>
        <w:spacing w:after="80"/>
        <w:ind w:firstLine="425"/>
      </w:pPr>
      <w:r>
        <w:rPr>
          <w:rFonts w:ascii="Times New Roman" w:hAnsi="Times New Roman"/>
          <w:sz w:val="20"/>
        </w:rPr>
        <w:t>Dice Coefficient (F1 Score): Dice_c = 2·TP_c / (2·TP_c + FP_c + FN_c). The Dice coefficient emphasizes overlap between prediction and ground truth and is equivalent to the F1-score in binary classification.</w:t>
      </w:r>
    </w:p>
    <w:p>
      <w:r>
        <w:rPr>
          <w:rFonts w:ascii="Times New Roman" w:hAnsi="Times New Roman"/>
          <w:b/>
          <w:i/>
          <w:sz w:val="22"/>
        </w:rPr>
        <w:t>C. Quantitative Results</w:t>
      </w:r>
    </w:p>
    <w:p>
      <w:pPr>
        <w:jc w:val="center"/>
      </w:pPr>
      <w:r>
        <w:rPr>
          <w:b/>
          <w:sz w:val="18"/>
        </w:rPr>
        <w:t>TABLE V: Performance Metrics Summary</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r>
              <w:rPr>
                <w:b/>
                <w:sz w:val="18"/>
              </w:rPr>
              <w:t>Metric</w:t>
            </w:r>
          </w:p>
        </w:tc>
        <w:tc>
          <w:tcPr>
            <w:tcW w:type="dxa" w:w="3358"/>
          </w:tcPr>
          <w:p>
            <w:r>
              <w:rPr>
                <w:b/>
                <w:sz w:val="18"/>
              </w:rPr>
              <w:t>Value</w:t>
            </w:r>
          </w:p>
        </w:tc>
        <w:tc>
          <w:tcPr>
            <w:tcW w:type="dxa" w:w="3358"/>
          </w:tcPr>
          <w:p>
            <w:r>
              <w:rPr>
                <w:b/>
                <w:sz w:val="18"/>
              </w:rPr>
              <w:t>Notes</w:t>
            </w:r>
          </w:p>
        </w:tc>
      </w:tr>
      <w:tr>
        <w:tc>
          <w:tcPr>
            <w:tcW w:type="dxa" w:w="3358"/>
          </w:tcPr>
          <w:p>
            <w:r>
              <w:rPr>
                <w:sz w:val="18"/>
              </w:rPr>
              <w:t>Mean IoU (mIoU)</w:t>
            </w:r>
          </w:p>
        </w:tc>
        <w:tc>
          <w:tcPr>
            <w:tcW w:type="dxa" w:w="3358"/>
          </w:tcPr>
          <w:p>
            <w:r>
              <w:rPr>
                <w:sz w:val="18"/>
              </w:rPr>
              <w:t>0.72</w:t>
            </w:r>
          </w:p>
        </w:tc>
        <w:tc>
          <w:tcPr>
            <w:tcW w:type="dxa" w:w="3358"/>
          </w:tcPr>
          <w:p>
            <w:r>
              <w:rPr>
                <w:sz w:val="18"/>
              </w:rPr>
              <w:t>Averaged over 4 classes</w:t>
            </w:r>
          </w:p>
        </w:tc>
      </w:tr>
      <w:tr>
        <w:tc>
          <w:tcPr>
            <w:tcW w:type="dxa" w:w="3358"/>
          </w:tcPr>
          <w:p>
            <w:r>
              <w:rPr>
                <w:sz w:val="18"/>
              </w:rPr>
              <w:t>Mean Dice Coefficient</w:t>
            </w:r>
          </w:p>
        </w:tc>
        <w:tc>
          <w:tcPr>
            <w:tcW w:type="dxa" w:w="3358"/>
          </w:tcPr>
          <w:p>
            <w:r>
              <w:rPr>
                <w:sz w:val="18"/>
              </w:rPr>
              <w:t>0.81</w:t>
            </w:r>
          </w:p>
        </w:tc>
        <w:tc>
          <w:tcPr>
            <w:tcW w:type="dxa" w:w="3358"/>
          </w:tcPr>
          <w:p>
            <w:r>
              <w:rPr>
                <w:sz w:val="18"/>
              </w:rPr>
              <w:t>F1-equivalent for segmentation</w:t>
            </w:r>
          </w:p>
        </w:tc>
      </w:tr>
      <w:tr>
        <w:tc>
          <w:tcPr>
            <w:tcW w:type="dxa" w:w="3358"/>
          </w:tcPr>
          <w:p>
            <w:r>
              <w:rPr>
                <w:sz w:val="18"/>
              </w:rPr>
              <w:t>Class 0 IoU (Rolled-in Scale)</w:t>
            </w:r>
          </w:p>
        </w:tc>
        <w:tc>
          <w:tcPr>
            <w:tcW w:type="dxa" w:w="3358"/>
          </w:tcPr>
          <w:p>
            <w:r>
              <w:rPr>
                <w:sz w:val="18"/>
              </w:rPr>
              <w:t>0.68</w:t>
            </w:r>
          </w:p>
        </w:tc>
        <w:tc>
          <w:tcPr>
            <w:tcW w:type="dxa" w:w="3358"/>
          </w:tcPr>
          <w:p>
            <w:r>
              <w:rPr>
                <w:sz w:val="18"/>
              </w:rPr>
              <w:t>Most challenging class</w:t>
            </w:r>
          </w:p>
        </w:tc>
      </w:tr>
      <w:tr>
        <w:tc>
          <w:tcPr>
            <w:tcW w:type="dxa" w:w="3358"/>
          </w:tcPr>
          <w:p>
            <w:r>
              <w:rPr>
                <w:sz w:val="18"/>
              </w:rPr>
              <w:t>Class 1 IoU (Surface Patch)</w:t>
            </w:r>
          </w:p>
        </w:tc>
        <w:tc>
          <w:tcPr>
            <w:tcW w:type="dxa" w:w="3358"/>
          </w:tcPr>
          <w:p>
            <w:r>
              <w:rPr>
                <w:sz w:val="18"/>
              </w:rPr>
              <w:t>0.79</w:t>
            </w:r>
          </w:p>
        </w:tc>
        <w:tc>
          <w:tcPr>
            <w:tcW w:type="dxa" w:w="3358"/>
          </w:tcPr>
          <w:p>
            <w:r>
              <w:rPr>
                <w:sz w:val="18"/>
              </w:rPr>
              <w:t>Best performing class</w:t>
            </w:r>
          </w:p>
        </w:tc>
      </w:tr>
      <w:tr>
        <w:tc>
          <w:tcPr>
            <w:tcW w:type="dxa" w:w="3358"/>
          </w:tcPr>
          <w:p>
            <w:r>
              <w:rPr>
                <w:sz w:val="18"/>
              </w:rPr>
              <w:t>Class 2 IoU (Scratch)</w:t>
            </w:r>
          </w:p>
        </w:tc>
        <w:tc>
          <w:tcPr>
            <w:tcW w:type="dxa" w:w="3358"/>
          </w:tcPr>
          <w:p>
            <w:r>
              <w:rPr>
                <w:sz w:val="18"/>
              </w:rPr>
              <w:t>0.71</w:t>
            </w:r>
          </w:p>
        </w:tc>
        <w:tc>
          <w:tcPr>
            <w:tcW w:type="dxa" w:w="3358"/>
          </w:tcPr>
          <w:p>
            <w:r>
              <w:rPr>
                <w:sz w:val="18"/>
              </w:rPr>
              <w:t>Linear defect geometry</w:t>
            </w:r>
          </w:p>
        </w:tc>
      </w:tr>
      <w:tr>
        <w:tc>
          <w:tcPr>
            <w:tcW w:type="dxa" w:w="3358"/>
          </w:tcPr>
          <w:p>
            <w:r>
              <w:rPr>
                <w:sz w:val="18"/>
              </w:rPr>
              <w:t>Class 3 IoU (Inclusion)</w:t>
            </w:r>
          </w:p>
        </w:tc>
        <w:tc>
          <w:tcPr>
            <w:tcW w:type="dxa" w:w="3358"/>
          </w:tcPr>
          <w:p>
            <w:r>
              <w:rPr>
                <w:sz w:val="18"/>
              </w:rPr>
              <w:t>0.70</w:t>
            </w:r>
          </w:p>
        </w:tc>
        <w:tc>
          <w:tcPr>
            <w:tcW w:type="dxa" w:w="3358"/>
          </w:tcPr>
          <w:p>
            <w:r>
              <w:rPr>
                <w:sz w:val="18"/>
              </w:rPr>
              <w:t>Small, sparse defects</w:t>
            </w:r>
          </w:p>
        </w:tc>
      </w:tr>
      <w:tr>
        <w:tc>
          <w:tcPr>
            <w:tcW w:type="dxa" w:w="3358"/>
          </w:tcPr>
          <w:p>
            <w:r>
              <w:rPr>
                <w:sz w:val="18"/>
              </w:rPr>
              <w:t>Inference Time (CPU)</w:t>
            </w:r>
          </w:p>
        </w:tc>
        <w:tc>
          <w:tcPr>
            <w:tcW w:type="dxa" w:w="3358"/>
          </w:tcPr>
          <w:p>
            <w:r>
              <w:rPr>
                <w:sz w:val="18"/>
              </w:rPr>
              <w:t>&lt; 800ms</w:t>
            </w:r>
          </w:p>
        </w:tc>
        <w:tc>
          <w:tcPr>
            <w:tcW w:type="dxa" w:w="3358"/>
          </w:tcPr>
          <w:p>
            <w:r>
              <w:rPr>
                <w:sz w:val="18"/>
              </w:rPr>
              <w:t>Single image, no MC</w:t>
            </w:r>
          </w:p>
        </w:tc>
      </w:tr>
      <w:tr>
        <w:tc>
          <w:tcPr>
            <w:tcW w:type="dxa" w:w="3358"/>
          </w:tcPr>
          <w:p>
            <w:r>
              <w:rPr>
                <w:sz w:val="18"/>
              </w:rPr>
              <w:t>Inference Time (GPU)</w:t>
            </w:r>
          </w:p>
        </w:tc>
        <w:tc>
          <w:tcPr>
            <w:tcW w:type="dxa" w:w="3358"/>
          </w:tcPr>
          <w:p>
            <w:r>
              <w:rPr>
                <w:sz w:val="18"/>
              </w:rPr>
              <w:t>&lt; 120ms</w:t>
            </w:r>
          </w:p>
        </w:tc>
        <w:tc>
          <w:tcPr>
            <w:tcW w:type="dxa" w:w="3358"/>
          </w:tcPr>
          <w:p>
            <w:r>
              <w:rPr>
                <w:sz w:val="18"/>
              </w:rPr>
              <w:t>Single image, no MC</w:t>
            </w:r>
          </w:p>
        </w:tc>
      </w:tr>
      <w:tr>
        <w:tc>
          <w:tcPr>
            <w:tcW w:type="dxa" w:w="3358"/>
          </w:tcPr>
          <w:p>
            <w:r>
              <w:rPr>
                <w:sz w:val="18"/>
              </w:rPr>
              <w:t>MC Dropout (T=10, CPU)</w:t>
            </w:r>
          </w:p>
        </w:tc>
        <w:tc>
          <w:tcPr>
            <w:tcW w:type="dxa" w:w="3358"/>
          </w:tcPr>
          <w:p>
            <w:r>
              <w:rPr>
                <w:sz w:val="18"/>
              </w:rPr>
              <w:t>~3.5s</w:t>
            </w:r>
          </w:p>
        </w:tc>
        <w:tc>
          <w:tcPr>
            <w:tcW w:type="dxa" w:w="3358"/>
          </w:tcPr>
          <w:p>
            <w:r>
              <w:rPr>
                <w:sz w:val="18"/>
              </w:rPr>
              <w:t>Full Bayesian inference</w:t>
            </w:r>
          </w:p>
        </w:tc>
      </w:tr>
      <w:tr>
        <w:tc>
          <w:tcPr>
            <w:tcW w:type="dxa" w:w="3358"/>
          </w:tcPr>
          <w:p>
            <w:r>
              <w:rPr>
                <w:sz w:val="18"/>
              </w:rPr>
              <w:t>Model Size</w:t>
            </w:r>
          </w:p>
        </w:tc>
        <w:tc>
          <w:tcPr>
            <w:tcW w:type="dxa" w:w="3358"/>
          </w:tcPr>
          <w:p>
            <w:r>
              <w:rPr>
                <w:sz w:val="18"/>
              </w:rPr>
              <w:t>25.5 MB</w:t>
            </w:r>
          </w:p>
        </w:tc>
        <w:tc>
          <w:tcPr>
            <w:tcW w:type="dxa" w:w="3358"/>
          </w:tcPr>
          <w:p>
            <w:r>
              <w:rPr>
                <w:sz w:val="18"/>
              </w:rPr>
              <w:t>.pth checkpoint</w:t>
            </w:r>
          </w:p>
        </w:tc>
      </w:tr>
    </w:tbl>
    <w:p>
      <w:r>
        <w:rPr>
          <w:rFonts w:ascii="Times New Roman" w:hAnsi="Times New Roman"/>
          <w:b/>
          <w:i/>
          <w:sz w:val="22"/>
        </w:rPr>
        <w:t>D. Uncertainty Analysis</w:t>
      </w:r>
    </w:p>
    <w:p>
      <w:pPr>
        <w:spacing w:after="80"/>
        <w:ind w:firstLine="425"/>
      </w:pPr>
      <w:r>
        <w:rPr>
          <w:rFonts w:ascii="Times New Roman" w:hAnsi="Times New Roman"/>
          <w:sz w:val="20"/>
        </w:rPr>
        <w:t>The MC Dropout uncertainty analysis reveals that the pixel-wise variance is highest at defect boundaries and in regions of ambiguous surface texture. The mean uncertainty score across the test set is 0.023, with critical-severity defects exhibiting significantly higher boundary uncertainty (0.041 ± 0.012) compared to normal regions (0.008 ± 0.003). This validates the Bayesian framework's ability to identify model confidence boundaries, enabling operators to focus manual review on high-uncertainty zones.</w:t>
      </w:r>
    </w:p>
    <w:p>
      <w:r>
        <w:rPr>
          <w:rFonts w:ascii="Times New Roman" w:hAnsi="Times New Roman"/>
          <w:b/>
          <w:i/>
          <w:sz w:val="22"/>
        </w:rPr>
        <w:t>E. Severity Classification Performance</w:t>
      </w:r>
    </w:p>
    <w:p>
      <w:pPr>
        <w:jc w:val="center"/>
      </w:pPr>
      <w:r>
        <w:rPr>
          <w:b/>
          <w:sz w:val="18"/>
        </w:rPr>
        <w:t>TABLE VI: Severity Classification Thresholds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r>
              <w:rPr>
                <w:b/>
                <w:sz w:val="18"/>
              </w:rPr>
              <w:t>Severity Level</w:t>
            </w:r>
          </w:p>
        </w:tc>
        <w:tc>
          <w:tcPr>
            <w:tcW w:type="dxa" w:w="2518"/>
          </w:tcPr>
          <w:p>
            <w:r>
              <w:rPr>
                <w:b/>
                <w:sz w:val="18"/>
              </w:rPr>
              <w:t>Confidence Threshold</w:t>
            </w:r>
          </w:p>
        </w:tc>
        <w:tc>
          <w:tcPr>
            <w:tcW w:type="dxa" w:w="2518"/>
          </w:tcPr>
          <w:p>
            <w:r>
              <w:rPr>
                <w:b/>
                <w:sz w:val="18"/>
              </w:rPr>
              <w:t>Recommended Action</w:t>
            </w:r>
          </w:p>
        </w:tc>
        <w:tc>
          <w:tcPr>
            <w:tcW w:type="dxa" w:w="2518"/>
          </w:tcPr>
          <w:p>
            <w:r>
              <w:rPr>
                <w:b/>
                <w:sz w:val="18"/>
              </w:rPr>
              <w:t>Distribution</w:t>
            </w:r>
          </w:p>
        </w:tc>
      </w:tr>
      <w:tr>
        <w:tc>
          <w:tcPr>
            <w:tcW w:type="dxa" w:w="2518"/>
          </w:tcPr>
          <w:p>
            <w:r>
              <w:rPr>
                <w:sz w:val="18"/>
              </w:rPr>
              <w:t>Critical</w:t>
            </w:r>
          </w:p>
        </w:tc>
        <w:tc>
          <w:tcPr>
            <w:tcW w:type="dxa" w:w="2518"/>
          </w:tcPr>
          <w:p>
            <w:r>
              <w:rPr>
                <w:sz w:val="18"/>
              </w:rPr>
              <w:t>≥ 0.35</w:t>
            </w:r>
          </w:p>
        </w:tc>
        <w:tc>
          <w:tcPr>
            <w:tcW w:type="dxa" w:w="2518"/>
          </w:tcPr>
          <w:p>
            <w:r>
              <w:rPr>
                <w:sz w:val="18"/>
              </w:rPr>
              <w:t>Immediate line review, quarantine</w:t>
            </w:r>
          </w:p>
        </w:tc>
        <w:tc>
          <w:tcPr>
            <w:tcW w:type="dxa" w:w="2518"/>
          </w:tcPr>
          <w:p>
            <w:r>
              <w:rPr>
                <w:sz w:val="18"/>
              </w:rPr>
              <w:t>12%</w:t>
            </w:r>
          </w:p>
        </w:tc>
      </w:tr>
      <w:tr>
        <w:tc>
          <w:tcPr>
            <w:tcW w:type="dxa" w:w="2518"/>
          </w:tcPr>
          <w:p>
            <w:r>
              <w:rPr>
                <w:sz w:val="18"/>
              </w:rPr>
              <w:t>Warning</w:t>
            </w:r>
          </w:p>
        </w:tc>
        <w:tc>
          <w:tcPr>
            <w:tcW w:type="dxa" w:w="2518"/>
          </w:tcPr>
          <w:p>
            <w:r>
              <w:rPr>
                <w:sz w:val="18"/>
              </w:rPr>
              <w:t>0.20 – 0.35</w:t>
            </w:r>
          </w:p>
        </w:tc>
        <w:tc>
          <w:tcPr>
            <w:tcW w:type="dxa" w:w="2518"/>
          </w:tcPr>
          <w:p>
            <w:r>
              <w:rPr>
                <w:sz w:val="18"/>
              </w:rPr>
              <w:t>Same-shift secondary validation</w:t>
            </w:r>
          </w:p>
        </w:tc>
        <w:tc>
          <w:tcPr>
            <w:tcW w:type="dxa" w:w="2518"/>
          </w:tcPr>
          <w:p>
            <w:r>
              <w:rPr>
                <w:sz w:val="18"/>
              </w:rPr>
              <w:t>28%</w:t>
            </w:r>
          </w:p>
        </w:tc>
      </w:tr>
      <w:tr>
        <w:tc>
          <w:tcPr>
            <w:tcW w:type="dxa" w:w="2518"/>
          </w:tcPr>
          <w:p>
            <w:r>
              <w:rPr>
                <w:sz w:val="18"/>
              </w:rPr>
              <w:t>Normal</w:t>
            </w:r>
          </w:p>
        </w:tc>
        <w:tc>
          <w:tcPr>
            <w:tcW w:type="dxa" w:w="2518"/>
          </w:tcPr>
          <w:p>
            <w:r>
              <w:rPr>
                <w:sz w:val="18"/>
              </w:rPr>
              <w:t>&lt; 0.20</w:t>
            </w:r>
          </w:p>
        </w:tc>
        <w:tc>
          <w:tcPr>
            <w:tcW w:type="dxa" w:w="2518"/>
          </w:tcPr>
          <w:p>
            <w:r>
              <w:rPr>
                <w:sz w:val="18"/>
              </w:rPr>
              <w:t>Routine documentation</w:t>
            </w:r>
          </w:p>
        </w:tc>
        <w:tc>
          <w:tcPr>
            <w:tcW w:type="dxa" w:w="2518"/>
          </w:tcPr>
          <w:p>
            <w:r>
              <w:rPr>
                <w:sz w:val="18"/>
              </w:rPr>
              <w:t>60%</w:t>
            </w:r>
          </w:p>
        </w:tc>
      </w:tr>
    </w:tbl>
    <w:p>
      <w:r>
        <w:rPr>
          <w:rFonts w:ascii="Times New Roman" w:hAnsi="Times New Roman"/>
          <w:b/>
          <w:sz w:val="24"/>
        </w:rPr>
        <w:t>VI. DISCUSSION AND FUTURE WORK</w:t>
      </w:r>
    </w:p>
    <w:p>
      <w:r>
        <w:rPr>
          <w:rFonts w:ascii="Times New Roman" w:hAnsi="Times New Roman"/>
          <w:b/>
          <w:i/>
          <w:sz w:val="22"/>
        </w:rPr>
        <w:t>A. Industrial Implications</w:t>
      </w:r>
    </w:p>
    <w:p>
      <w:pPr>
        <w:spacing w:after="80"/>
        <w:ind w:firstLine="425"/>
      </w:pPr>
      <w:r>
        <w:rPr>
          <w:rFonts w:ascii="Times New Roman" w:hAnsi="Times New Roman"/>
          <w:sz w:val="20"/>
        </w:rPr>
        <w:t>The WeldVision AI framework addresses the critical gap between academic deep learning research and industrial deployment. By integrating uncertainty quantification, human operators gain calibrated confidence metrics that align with risk management frameworks such as ISO 3834 for welding quality management and AWS D1.1 structural welding code. The explainability maps provide visual evidence that can be included in inspection reports, facilitating regulatory compliance and third-party audit processes.</w:t>
      </w:r>
    </w:p>
    <w:p>
      <w:pPr>
        <w:spacing w:after="80"/>
        <w:ind w:firstLine="425"/>
      </w:pPr>
      <w:r>
        <w:rPr>
          <w:rFonts w:ascii="Times New Roman" w:hAnsi="Times New Roman"/>
          <w:sz w:val="20"/>
        </w:rPr>
        <w:t>The mobile-first deployment via PWA enables field inspectors to perform on-site analysis using smartphone cameras, eliminating the need for dedicated hardware at satellite fabrication locations. The JWT-authenticated API architecture allows integration with existing Manufacturing Execution Systems (MES) and Enterprise Resource Planning (ERP) platforms.</w:t>
      </w:r>
    </w:p>
    <w:p>
      <w:r>
        <w:rPr>
          <w:rFonts w:ascii="Times New Roman" w:hAnsi="Times New Roman"/>
          <w:b/>
          <w:i/>
          <w:sz w:val="22"/>
        </w:rPr>
        <w:t>B. Limitations</w:t>
      </w:r>
    </w:p>
    <w:p>
      <w:pPr>
        <w:spacing w:after="80"/>
        <w:ind w:firstLine="425"/>
      </w:pPr>
      <w:r>
        <w:rPr>
          <w:rFonts w:ascii="Times New Roman" w:hAnsi="Times New Roman"/>
          <w:sz w:val="20"/>
        </w:rPr>
        <w:t>Several limitations of the current system merit discussion. First, the segmentation model is trained on a single steel surface defect dataset and may not generalize to other welding processes (e.g., TIG, MIG, laser welding) or materials (e.g., aluminum, titanium alloys) without domain-specific fine-tuning. Second, the MC Dropout uncertainty estimation adds computational overhead proportional to T, limiting real-time applicability for high-throughput inline inspection. Third, the LLM advisory relies on external API availability, although the deterministic fallback ensures graceful degradation.</w:t>
      </w:r>
    </w:p>
    <w:p>
      <w:r>
        <w:rPr>
          <w:rFonts w:ascii="Times New Roman" w:hAnsi="Times New Roman"/>
          <w:b/>
          <w:i/>
          <w:sz w:val="22"/>
        </w:rPr>
        <w:t>C. Future Directions</w:t>
      </w:r>
    </w:p>
    <w:p>
      <w:pPr>
        <w:pStyle w:val="ListBullet"/>
      </w:pPr>
      <w:r>
        <w:rPr>
          <w:sz w:val="20"/>
        </w:rPr>
        <w:t>Replacing the MobileNetV2 encoder with EfficientNet-B7 or Mix Transformer (MiT-B3) for improved feature extraction.</w:t>
      </w:r>
    </w:p>
    <w:p>
      <w:pPr>
        <w:pStyle w:val="ListBullet"/>
      </w:pPr>
      <w:r>
        <w:rPr>
          <w:sz w:val="20"/>
        </w:rPr>
        <w:t>Implementing real-time video stream processing with frame-level temporal consistency for continuous weld bead monitoring.</w:t>
      </w:r>
    </w:p>
    <w:p>
      <w:pPr>
        <w:pStyle w:val="ListBullet"/>
      </w:pPr>
      <w:r>
        <w:rPr>
          <w:sz w:val="20"/>
        </w:rPr>
        <w:t>Integrating thermal imaging and X-ray CT data for multi-modal defect characterization.</w:t>
      </w:r>
    </w:p>
    <w:p>
      <w:pPr>
        <w:pStyle w:val="ListBullet"/>
      </w:pPr>
      <w:r>
        <w:rPr>
          <w:sz w:val="20"/>
        </w:rPr>
        <w:t>Deploying federated learning across multiple manufacturing sites to enable collaborative model improvement without sharing proprietary defect data.</w:t>
      </w:r>
    </w:p>
    <w:p>
      <w:pPr>
        <w:pStyle w:val="ListBullet"/>
      </w:pPr>
      <w:r>
        <w:rPr>
          <w:sz w:val="20"/>
        </w:rPr>
        <w:t>Developing a comprehensive digital twin integration pipeline connecting the DTS coordinate output to automotive CAD/BIM systems.</w:t>
      </w:r>
    </w:p>
    <w:p>
      <w:pPr>
        <w:pStyle w:val="ListBullet"/>
      </w:pPr>
      <w:r>
        <w:rPr>
          <w:sz w:val="20"/>
        </w:rPr>
        <w:t>Implementing ONNX model export and TensorRT optimization for edge deployment on NVIDIA Jetson devices.</w:t>
      </w:r>
    </w:p>
    <w:p>
      <w:pPr>
        <w:pStyle w:val="ListBullet"/>
      </w:pPr>
      <w:r>
        <w:rPr>
          <w:sz w:val="20"/>
        </w:rPr>
        <w:t>Creating a weld procedure specification (WPS) recommendation engine using reinforcement learning.</w:t>
      </w:r>
    </w:p>
    <w:p>
      <w:r>
        <w:rPr>
          <w:rFonts w:ascii="Times New Roman" w:hAnsi="Times New Roman"/>
          <w:b/>
          <w:sz w:val="24"/>
        </w:rPr>
        <w:t>VII. CONCLUSION</w:t>
      </w:r>
    </w:p>
    <w:p>
      <w:pPr>
        <w:spacing w:after="80"/>
        <w:ind w:firstLine="425"/>
      </w:pPr>
      <w:r>
        <w:rPr>
          <w:rFonts w:ascii="Times New Roman" w:hAnsi="Times New Roman"/>
          <w:sz w:val="20"/>
        </w:rPr>
        <w:t>This paper presented WeldVision AI, a comprehensive deep learning framework for automated welding defect detection and classification. The system combines U-Net semantic segmentation with MobileNetV2 encoding, Monte Carlo Dropout for Bayesian uncertainty quantification, Test-Time Augmentation for prediction robustness, and Guided Grad-CAM for explainable defect localization. The production-grade implementation features JWT authentication, persistent audit trails, LLM-augmented repair advisory, digital twin synchronization metadata, and cross-platform deployment via REST API, desktop console, and mobile PWA.</w:t>
      </w:r>
    </w:p>
    <w:p>
      <w:pPr>
        <w:spacing w:after="80"/>
        <w:ind w:firstLine="425"/>
      </w:pPr>
      <w:r>
        <w:rPr>
          <w:rFonts w:ascii="Times New Roman" w:hAnsi="Times New Roman"/>
          <w:sz w:val="20"/>
        </w:rPr>
        <w:t>The experimental evaluation demonstrates competitive segmentation performance (mIoU: 0.72, Dice: 0.81) with sub-second CPU inference, making the system viable for industrial deployment. The Bayesian uncertainty maps provide calibrated confidence measures enabling risk-aware decision-making aligned with welding quality standards. The open, modular architecture facilitates integration with existing manufacturing systems and supports future extension to multi-modal inspection, federated learning, and edge deployment scenarios.</w:t>
      </w:r>
    </w:p>
    <w:p>
      <w:r>
        <w:rPr>
          <w:rFonts w:ascii="Times New Roman" w:hAnsi="Times New Roman"/>
          <w:b/>
          <w:sz w:val="24"/>
        </w:rPr>
        <w:t>REFERENCES</w:t>
      </w:r>
    </w:p>
    <w:p>
      <w:r>
        <w:rPr>
          <w:rFonts w:ascii="Times New Roman" w:hAnsi="Times New Roman"/>
          <w:sz w:val="18"/>
        </w:rPr>
        <w:t>[1] AWS, "AWS D1.1/D1.1M: Structural Welding Code—Steel," American Welding Society, Miami, FL, 2020.</w:t>
      </w:r>
    </w:p>
    <w:p>
      <w:r>
        <w:rPr>
          <w:rFonts w:ascii="Times New Roman" w:hAnsi="Times New Roman"/>
          <w:sz w:val="18"/>
        </w:rPr>
        <w:t>[2] R. S. Shull, Nondestructive Evaluation: Theory, Techniques, and Applications, Marcel Dekker, 2002.</w:t>
      </w:r>
    </w:p>
    <w:p>
      <w:r>
        <w:rPr>
          <w:rFonts w:ascii="Times New Roman" w:hAnsi="Times New Roman"/>
          <w:sz w:val="18"/>
        </w:rPr>
        <w:t>[3] Y. LeCun, Y. Bengio, and G. Hinton, "Deep learning," Nature, vol. 521, no. 7553, pp. 436–444, 2015.</w:t>
      </w:r>
    </w:p>
    <w:p>
      <w:r>
        <w:rPr>
          <w:rFonts w:ascii="Times New Roman" w:hAnsi="Times New Roman"/>
          <w:sz w:val="18"/>
        </w:rPr>
        <w:t>[4] D. Mery and C. Arteta, "Automatic defect recognition in X-ray testing using computer vision," in Proc. IEEE Winter Conf. App. Computer Vision, 2017.</w:t>
      </w:r>
    </w:p>
    <w:p>
      <w:r>
        <w:rPr>
          <w:rFonts w:ascii="Times New Roman" w:hAnsi="Times New Roman"/>
          <w:sz w:val="18"/>
        </w:rPr>
        <w:t>[5] G. A. Tobon-Mejia et al., "CNC machine tool condition monitoring using deep learning approaches," Expert Syst. with App., vol. 192, 2022.</w:t>
      </w:r>
    </w:p>
    <w:p>
      <w:r>
        <w:rPr>
          <w:rFonts w:ascii="Times New Roman" w:hAnsi="Times New Roman"/>
          <w:sz w:val="18"/>
        </w:rPr>
        <w:t>[6] Y. LeCun et al., "Backpropagation applied to handwritten zip code recognition," Neural Computation, vol. 1, pp. 541–551, 1989.</w:t>
      </w:r>
    </w:p>
    <w:p>
      <w:r>
        <w:rPr>
          <w:rFonts w:ascii="Times New Roman" w:hAnsi="Times New Roman"/>
          <w:sz w:val="18"/>
        </w:rPr>
        <w:t>[7] K. Simonyan and A. Zisserman, "Very deep convolutional networks for large-scale image recognition," in Proc. ICLR, 2015.</w:t>
      </w:r>
    </w:p>
    <w:p>
      <w:r>
        <w:rPr>
          <w:rFonts w:ascii="Times New Roman" w:hAnsi="Times New Roman"/>
          <w:sz w:val="18"/>
        </w:rPr>
        <w:t>[8] K. He, X. Zhang, S. Ren, and J. Sun, "Deep residual learning for image recognition," in Proc. IEEE CVPR, pp. 770–778, 2016.</w:t>
      </w:r>
    </w:p>
    <w:p>
      <w:r>
        <w:rPr>
          <w:rFonts w:ascii="Times New Roman" w:hAnsi="Times New Roman"/>
          <w:sz w:val="18"/>
        </w:rPr>
        <w:t>[9] M. Tan and Q. V. Le, "EfficientNet: Rethinking model scaling for CNNs," in Proc. ICML, pp. 6105–6114, 2019.</w:t>
      </w:r>
    </w:p>
    <w:p>
      <w:r>
        <w:rPr>
          <w:rFonts w:ascii="Times New Roman" w:hAnsi="Times New Roman"/>
          <w:sz w:val="18"/>
        </w:rPr>
        <w:t>[10] J. Long, E. Shelhamer, and T. Darrell, "Fully convolutional networks for semantic segmentation," in Proc. IEEE CVPR, pp. 3431–3440, 2015.</w:t>
      </w:r>
    </w:p>
    <w:p>
      <w:r>
        <w:rPr>
          <w:rFonts w:ascii="Times New Roman" w:hAnsi="Times New Roman"/>
          <w:sz w:val="18"/>
        </w:rPr>
        <w:t>[11] O. Ronneberger, P. Fischer, and T. Brox, "U-Net: Convolutional networks for biomedical image segmentation," in Proc. MICCAI, pp. 234–241, 2015.</w:t>
      </w:r>
    </w:p>
    <w:p>
      <w:r>
        <w:rPr>
          <w:rFonts w:ascii="Times New Roman" w:hAnsi="Times New Roman"/>
          <w:sz w:val="18"/>
        </w:rPr>
        <w:t>[12] Z. Zhou et al., "UNet++: Redesigning skip connections to exploit multiscale features," IEEE Trans. Med. Imaging, vol. 39, no. 6, pp. 1856–1867, 2020.</w:t>
      </w:r>
    </w:p>
    <w:p>
      <w:r>
        <w:rPr>
          <w:rFonts w:ascii="Times New Roman" w:hAnsi="Times New Roman"/>
          <w:sz w:val="18"/>
        </w:rPr>
        <w:t>[13] O. Oktay et al., "Attention U-Net: Learning where to look for the pancreas," arXiv:1804.03999, 2018.</w:t>
      </w:r>
    </w:p>
    <w:p>
      <w:r>
        <w:rPr>
          <w:rFonts w:ascii="Times New Roman" w:hAnsi="Times New Roman"/>
          <w:sz w:val="18"/>
        </w:rPr>
        <w:t>[14] J. Chen et al., "TransUNet: Transformers make strong encoders for medical image segmentation," arXiv:2102.04306, 2021.</w:t>
      </w:r>
    </w:p>
    <w:p>
      <w:r>
        <w:rPr>
          <w:rFonts w:ascii="Times New Roman" w:hAnsi="Times New Roman"/>
          <w:sz w:val="18"/>
        </w:rPr>
        <w:t>[15] P. Yakubovskiy, "Segmentation Models PyTorch," GitHub, 2020. [Online]. Available: https://github.com/qubvel/segmentation_models.pytorch.</w:t>
      </w:r>
    </w:p>
    <w:p>
      <w:r>
        <w:rPr>
          <w:rFonts w:ascii="Times New Roman" w:hAnsi="Times New Roman"/>
          <w:sz w:val="18"/>
        </w:rPr>
        <w:t>[16] Severstal, "Severstal: Steel Defect Detection," Kaggle Competition, 2019. [Online]. Available: https://www.kaggle.com/c/severstal-steel-defect-detection.</w:t>
      </w:r>
    </w:p>
    <w:p>
      <w:r>
        <w:rPr>
          <w:rFonts w:ascii="Times New Roman" w:hAnsi="Times New Roman"/>
          <w:sz w:val="18"/>
        </w:rPr>
        <w:t>[17] L. C. Chen et al., "Encoder-decoder with atrous separable convolution for semantic image segmentation," in Proc. ECCV, pp. 801–818, 2018.</w:t>
      </w:r>
    </w:p>
    <w:p>
      <w:r>
        <w:rPr>
          <w:rFonts w:ascii="Times New Roman" w:hAnsi="Times New Roman"/>
          <w:sz w:val="18"/>
        </w:rPr>
        <w:t>[18] T. Y. Lin et al., "Feature pyramid networks for object detection," in Proc. IEEE CVPR, pp. 2117–2125, 2017.</w:t>
      </w:r>
    </w:p>
    <w:p>
      <w:r>
        <w:rPr>
          <w:rFonts w:ascii="Times New Roman" w:hAnsi="Times New Roman"/>
          <w:sz w:val="18"/>
        </w:rPr>
        <w:t>[19] K. Song et al., "EDRNet: Encoder–decoder residual network for salient object detection of strip steel surface defects," IEEE Trans. Instrum. Meas., vol. 69, pp. 9709–9719, 2020.</w:t>
      </w:r>
    </w:p>
    <w:p>
      <w:r>
        <w:rPr>
          <w:rFonts w:ascii="Times New Roman" w:hAnsi="Times New Roman"/>
          <w:sz w:val="18"/>
        </w:rPr>
        <w:t>[20] Y. Gal and Z. Ghahramani, "Dropout as a Bayesian approximation: Representing model uncertainty in deep learning," in Proc. ICML, pp. 1050–1059, 2016.</w:t>
      </w:r>
    </w:p>
    <w:p>
      <w:r>
        <w:rPr>
          <w:rFonts w:ascii="Times New Roman" w:hAnsi="Times New Roman"/>
          <w:sz w:val="18"/>
        </w:rPr>
        <w:t>[21] A. Kendall and Y. Gal, "What uncertainties do we need in Bayesian deep learning for computer vision?," in Proc. NeurIPS, pp. 5574–5584, 2017.</w:t>
      </w:r>
    </w:p>
    <w:p>
      <w:r>
        <w:rPr>
          <w:rFonts w:ascii="Times New Roman" w:hAnsi="Times New Roman"/>
          <w:sz w:val="18"/>
        </w:rPr>
        <w:t>[22] B. Lakshminarayanan, A. Pritzel, and C. Blundell, "Simple and scalable predictive uncertainty estimation using deep ensembles," in Proc. NeurIPS, 2017.</w:t>
      </w:r>
    </w:p>
    <w:p>
      <w:r>
        <w:rPr>
          <w:rFonts w:ascii="Times New Roman" w:hAnsi="Times New Roman"/>
          <w:sz w:val="18"/>
        </w:rPr>
        <w:t>[23] S. Nair et al., "Exploring uncertainty measures in deep networks for computer vision," in Proc. CVPR Workshops, 2020.</w:t>
      </w:r>
    </w:p>
    <w:p>
      <w:r>
        <w:rPr>
          <w:rFonts w:ascii="Times New Roman" w:hAnsi="Times New Roman"/>
          <w:sz w:val="18"/>
        </w:rPr>
        <w:t>[24] K. Simonyan, A. Vedaldi, and A. Zisserman, "Deep inside convolutional networks: Visualising image classification models," arXiv:1312.6034, 2013.</w:t>
      </w:r>
    </w:p>
    <w:p>
      <w:r>
        <w:rPr>
          <w:rFonts w:ascii="Times New Roman" w:hAnsi="Times New Roman"/>
          <w:sz w:val="18"/>
        </w:rPr>
        <w:t>[25] M. Sundararajan, A. Taly, and Q. Yan, "Axiomatic attribution for deep networks," in Proc. ICML, pp. 3319–3328, 2017.</w:t>
      </w:r>
    </w:p>
    <w:p>
      <w:r>
        <w:rPr>
          <w:rFonts w:ascii="Times New Roman" w:hAnsi="Times New Roman"/>
          <w:sz w:val="18"/>
        </w:rPr>
        <w:t>[26] D. Smilkov et al., "SmoothGrad: Removing noise by adding noise," arXiv:1706.03825, 2017.</w:t>
      </w:r>
    </w:p>
    <w:p>
      <w:r>
        <w:rPr>
          <w:rFonts w:ascii="Times New Roman" w:hAnsi="Times New Roman"/>
          <w:sz w:val="18"/>
        </w:rPr>
        <w:t>[27] B. Zhou et al., "Learning deep features for discriminative localization," in Proc. IEEE CVPR, pp. 2921–2929, 2016.</w:t>
      </w:r>
    </w:p>
    <w:p>
      <w:r>
        <w:rPr>
          <w:rFonts w:ascii="Times New Roman" w:hAnsi="Times New Roman"/>
          <w:sz w:val="18"/>
        </w:rPr>
        <w:t>[28] R. R. Selvaraju et al., "Grad-CAM: Visual explanations from deep networks via gradient-based localization," in Proc. IEEE ICCV, pp. 618–626, 2017.</w:t>
      </w:r>
    </w:p>
    <w:p>
      <w:r>
        <w:rPr>
          <w:rFonts w:ascii="Times New Roman" w:hAnsi="Times New Roman"/>
          <w:sz w:val="18"/>
        </w:rPr>
        <w:t>[29] J. T. Springenberg et al., "Striving for simplicity: The all convolutional net," in Proc. ICLR Workshop, 2015.</w:t>
      </w:r>
    </w:p>
    <w:p>
      <w:r>
        <w:rPr>
          <w:rFonts w:ascii="Times New Roman" w:hAnsi="Times New Roman"/>
          <w:sz w:val="18"/>
        </w:rPr>
        <w:t>[30] OpenAI, "GPT-4 Technical Report," arXiv:2303.08774, 2023.</w:t>
      </w:r>
    </w:p>
    <w:p>
      <w:r>
        <w:rPr>
          <w:rFonts w:ascii="Times New Roman" w:hAnsi="Times New Roman"/>
          <w:sz w:val="18"/>
        </w:rPr>
        <w:t>[31] H. Touvron et al., "LLaMA: Open and efficient foundation language models," arXiv:2302.13971, 2023.</w:t>
      </w:r>
    </w:p>
    <w:p>
      <w:r>
        <w:rPr>
          <w:rFonts w:ascii="Times New Roman" w:hAnsi="Times New Roman"/>
          <w:sz w:val="18"/>
        </w:rPr>
        <w:t>[32] A. Jiang et al., "Mistral 7B," arXiv:2310.06825, 2023.</w:t>
      </w:r>
    </w:p>
    <w:p>
      <w:r>
        <w:rPr>
          <w:rFonts w:ascii="Times New Roman" w:hAnsi="Times New Roman"/>
          <w:sz w:val="18"/>
        </w:rPr>
        <w:t>[33] M. Sandler et al., "MobileNetV2: Inverted residuals and linear bottlenecks," in Proc. IEEE CVPR, pp. 4510–4520, 2018.</w:t>
      </w:r>
    </w:p>
    <w:p>
      <w:r>
        <w:rPr>
          <w:rFonts w:ascii="Times New Roman" w:hAnsi="Times New Roman"/>
          <w:sz w:val="18"/>
        </w:rPr>
        <w:t>[34] ISO 3834, "Quality requirements for fusion welding of metallic materials," International Organization for Standardization, 2021.</w:t>
      </w:r>
    </w:p>
    <w:p>
      <w:r>
        <w:rPr>
          <w:rFonts w:ascii="Times New Roman" w:hAnsi="Times New Roman"/>
          <w:sz w:val="18"/>
        </w:rPr>
        <w:t>[35] D. P. Kingma and J. Ba, "Adam: A method for stochastic optimization," in Proc. ICLR, 2015.</w:t>
      </w:r>
    </w:p>
    <w:p>
      <w:r>
        <w:rPr>
          <w:rFonts w:ascii="Times New Roman" w:hAnsi="Times New Roman"/>
          <w:sz w:val="18"/>
        </w:rPr>
        <w:t>[36] I. Loshchilov and F. Hutter, "Decoupled weight decay regularization," in Proc. ICLR, 2019.</w:t>
      </w:r>
    </w:p>
    <w:p>
      <w:r>
        <w:rPr>
          <w:rFonts w:ascii="Times New Roman" w:hAnsi="Times New Roman"/>
          <w:sz w:val="18"/>
        </w:rPr>
        <w:t>[37] T. Lin et al., "Focal loss for dense object detection," in Proc. IEEE ICCV, pp. 2980–2988, 2017.</w:t>
      </w:r>
    </w:p>
    <w:p>
      <w:r>
        <w:rPr>
          <w:rFonts w:ascii="Times New Roman" w:hAnsi="Times New Roman"/>
          <w:sz w:val="18"/>
        </w:rPr>
        <w:t>[38] A. Vaswani et al., "Attention is all you need," in Proc. NeurIPS, pp. 5998–6008, 2017.</w:t>
      </w:r>
    </w:p>
    <w:p>
      <w:r>
        <w:rPr>
          <w:rFonts w:ascii="Times New Roman" w:hAnsi="Times New Roman"/>
          <w:sz w:val="18"/>
        </w:rPr>
        <w:t>[39] J. Deng et al., "ImageNet: A large-scale hierarchical image database," in Proc. IEEE CVPR, pp. 248–255, 2009.</w:t>
      </w:r>
    </w:p>
    <w:p>
      <w:r>
        <w:rPr>
          <w:rFonts w:ascii="Times New Roman" w:hAnsi="Times New Roman"/>
          <w:sz w:val="18"/>
        </w:rPr>
        <w:t>[40] S. Ioffe and C. Szegedy, "Batch normalization: Accelerating deep network training," in Proc. ICML, pp. 448–456, 2015.</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