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931862">
      <w:pPr>
        <w:rPr>
          <w:rFonts w:eastAsia="SimSun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驗證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登錄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回傳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查詢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93186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更新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回傳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725E26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4167EC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4167EC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bookmarkStart w:id="0" w:name="_GoBack"/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</w:t>
            </w:r>
            <w:bookmarkEnd w:id="0"/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產品名稱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4167EC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100,000.00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  5,100.00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17,000.00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195,000.00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  8,000.00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4167EC" w:rsidRPr="00725E26" w:rsidRDefault="00725E26" w:rsidP="004167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 </w:t>
            </w:r>
            <w:r w:rsidR="004167EC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4167EC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90,000.00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575,000.00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4167EC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109" w:type="dxa"/>
        <w:tblInd w:w="-34" w:type="dxa"/>
        <w:tblLook w:val="04A0" w:firstRow="1" w:lastRow="0" w:firstColumn="1" w:lastColumn="0" w:noHBand="0" w:noVBand="1"/>
      </w:tblPr>
      <w:tblGrid>
        <w:gridCol w:w="709"/>
        <w:gridCol w:w="567"/>
        <w:gridCol w:w="426"/>
        <w:gridCol w:w="2268"/>
        <w:gridCol w:w="141"/>
        <w:gridCol w:w="519"/>
        <w:gridCol w:w="615"/>
        <w:gridCol w:w="142"/>
        <w:gridCol w:w="236"/>
        <w:gridCol w:w="284"/>
        <w:gridCol w:w="188"/>
        <w:gridCol w:w="284"/>
        <w:gridCol w:w="194"/>
        <w:gridCol w:w="185"/>
        <w:gridCol w:w="154"/>
        <w:gridCol w:w="460"/>
        <w:gridCol w:w="106"/>
        <w:gridCol w:w="1878"/>
        <w:gridCol w:w="429"/>
        <w:gridCol w:w="916"/>
        <w:gridCol w:w="303"/>
        <w:gridCol w:w="105"/>
      </w:tblGrid>
      <w:tr w:rsidR="001242C5" w:rsidRPr="001242C5" w:rsidTr="001242C5">
        <w:trPr>
          <w:gridAfter w:val="1"/>
          <w:wAfter w:w="105" w:type="dxa"/>
          <w:trHeight w:val="640"/>
        </w:trPr>
        <w:tc>
          <w:tcPr>
            <w:tcW w:w="1100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ind w:firstLine="4144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lastRenderedPageBreak/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  <w:t>售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產品名稱：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1242C5" w:rsidRPr="001242C5" w:rsidTr="001242C5">
        <w:trPr>
          <w:trHeight w:val="1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AVH-4200NEX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MVH-S105UI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MVH-S105UI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3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L 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1242C5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sz w:val="16"/>
          <w:lang w:eastAsia="zh-TW"/>
        </w:rPr>
      </w:pPr>
      <w:r w:rsidRPr="001242C5">
        <w:rPr>
          <w:rFonts w:eastAsia="SimSun" w:hint="eastAsia"/>
          <w:b/>
          <w:sz w:val="16"/>
          <w:lang w:eastAsia="zh-TW"/>
        </w:rPr>
        <w:t>資料流程圖（兩層即可）</w:t>
      </w: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931862">
      <w:pPr>
        <w:rPr>
          <w:rFonts w:eastAsia="SimSun"/>
        </w:rPr>
      </w:pP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1242C5"/>
    <w:rsid w:val="00236DAB"/>
    <w:rsid w:val="00336C1F"/>
    <w:rsid w:val="004167EC"/>
    <w:rsid w:val="00461862"/>
    <w:rsid w:val="00725E26"/>
    <w:rsid w:val="0092460A"/>
    <w:rsid w:val="009269D2"/>
    <w:rsid w:val="00931862"/>
    <w:rsid w:val="009359E9"/>
    <w:rsid w:val="009603F5"/>
    <w:rsid w:val="00CB705B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80F6"/>
  <w15:docId w15:val="{F349F575-6823-1247-AB64-62AAD01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2018-03-31T14:12:00Z</dcterms:created>
  <dcterms:modified xsi:type="dcterms:W3CDTF">2018-04-01T13:43:00Z</dcterms:modified>
</cp:coreProperties>
</file>