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rFonts w:ascii="Cambria" w:cs="Cambria" w:eastAsia="Cambria" w:hAnsi="Cambria"/>
          <w:color w:val="595959"/>
          <w:spacing w:val="40"/>
          <w:sz w:val="32"/>
          <w:szCs w:val="32"/>
        </w:rPr>
        <w:t xml:space="preserve">PROJECT CHARTER</w:t>
      </w:r>
    </w:p>
    <w:p>
      <w:pPr>
        <w:spacing w:after="120"/>
        <w:jc w:val="center"/>
      </w:pPr>
      <w:r>
        <w:rPr>
          <w:rFonts w:ascii="Cambria" w:cs="Cambria" w:eastAsia="Cambria" w:hAnsi="Cambria"/>
          <w:b/>
          <w:bCs/>
          <w:color w:val="2E3A46"/>
          <w:sz w:val="56"/>
          <w:szCs w:val="56"/>
        </w:rPr>
        <w:t xml:space="preserve">Scoped Enclave for Varsity Research</w:t>
      </w:r>
    </w:p>
    <w:p>
      <w:pPr>
        <w:spacing w:after="600"/>
        <w:jc w:val="center"/>
      </w:pPr>
      <w:r>
        <w:rPr>
          <w:rFonts w:ascii="Calibri" w:cs="Calibri" w:eastAsia="Calibri" w:hAnsi="Calibri"/>
          <w:color w:val="595959"/>
          <w:sz w:val="30"/>
          <w:szCs w:val="30"/>
        </w:rPr>
        <w:t xml:space="preserve">SeVR 1.0</w:t>
      </w:r>
    </w:p>
    <w:p>
      <w:pPr>
        <w:pBdr>
          <w:top w:val="single" w:color="404040" w:sz="4" w:space="12"/>
          <w:bottom w:val="single" w:color="404040" w:sz="4" w:space="12"/>
        </w:pBdr>
        <w:spacing w:after="200" w:before="200"/>
        <w:jc w:val="center"/>
      </w:pPr>
      <w:r>
        <w:rPr>
          <w:rFonts w:ascii="Calibri" w:cs="Calibri" w:eastAsia="Calibri" w:hAnsi="Calibri"/>
          <w:i/>
          <w:iCs/>
          <w:color w:val="595959"/>
          <w:sz w:val="22"/>
          <w:szCs w:val="22"/>
        </w:rPr>
        <w:t xml:space="preserve">A controlled-access platform for protecting unpublished university research from insider leaks</w:t>
      </w:r>
    </w:p>
    <w:p>
      <w:pPr>
        <w:spacing w:before="1600"/>
      </w:pPr>
    </w:p>
    <w:p>
      <w:pPr>
        <w:spacing w:after="100"/>
        <w:jc w:val="center"/>
      </w:pPr>
      <w:r>
        <w:rPr>
          <w:rFonts w:ascii="Calibri" w:cs="Calibri" w:eastAsia="Calibri" w:hAnsi="Calibri"/>
          <w:color w:val="595959"/>
          <w:sz w:val="20"/>
          <w:szCs w:val="20"/>
        </w:rPr>
        <w:t xml:space="preserve">Prepared for: ICSC 2026 Universities Hackathon — Track F: Education &amp; Campus Systems</w:t>
      </w:r>
    </w:p>
    <w:p>
      <w:pPr>
        <w:spacing w:after="100"/>
        <w:jc w:val="center"/>
      </w:pPr>
      <w:r>
        <w:rPr>
          <w:rFonts w:ascii="Calibri" w:cs="Calibri" w:eastAsia="Calibri" w:hAnsi="Calibri"/>
          <w:color w:val="595959"/>
          <w:sz w:val="20"/>
          <w:szCs w:val="20"/>
        </w:rPr>
        <w:t xml:space="preserve">Challenge F1 — Protecting University Research</w:t>
      </w:r>
    </w:p>
    <w:p>
      <w:pPr>
        <w:spacing w:after="100"/>
        <w:jc w:val="center"/>
      </w:pPr>
      <w:r>
        <w:rPr>
          <w:rFonts w:ascii="Calibri" w:cs="Calibri" w:eastAsia="Calibri" w:hAnsi="Calibri"/>
          <w:color w:val="595959"/>
          <w:sz w:val="20"/>
          <w:szCs w:val="20"/>
        </w:rPr>
        <w:t xml:space="preserve">Prepared by: Jamil Muhammad Abdullahi — Bayero University Kano</w:t>
      </w:r>
    </w:p>
    <w:p>
      <w:pPr>
        <w:jc w:val="center"/>
      </w:pPr>
      <w:r>
        <w:rPr>
          <w:rFonts w:ascii="Calibri" w:cs="Calibri" w:eastAsia="Calibri" w:hAnsi="Calibri"/>
          <w:color w:val="595959"/>
          <w:sz w:val="20"/>
          <w:szCs w:val="20"/>
        </w:rPr>
        <w:t xml:space="preserve">Version 1.0 — September 2026</w:t>
      </w:r>
    </w:p>
    <w:p>
      <w:pPr>
        <w:sectPr>
          <w:pgSz w:w="12240" w:h="15840" w:orient="portrait"/>
          <w:pgMar w:top="1440" w:right="1440" w:bottom="1440" w:left="1440" w:header="708" w:footer="708" w:gutter="0"/>
          <w:pgNumType/>
          <w:docGrid w:linePitch="360"/>
        </w:sectPr>
      </w:pPr>
    </w:p>
    <w:p>
      <w:pPr>
        <w:pStyle w:val="Heading1"/>
        <w:pBdr>
          <w:bottom w:val="single" w:color="404040" w:sz="6" w:space="6"/>
        </w:pBdr>
        <w:spacing w:after="160" w:before="360"/>
      </w:pPr>
      <w:r>
        <w:t xml:space="preserve">Document Control</w:t>
      </w:r>
    </w:p>
    <w:tbl>
      <w:tblPr>
        <w:tblW w:type="dxa" w:w="9200"/>
        <w:tblBorders>
          <w:top w:val="single" w:color="404040" w:sz="4"/>
          <w:left w:val="single" w:color="404040" w:sz="4"/>
          <w:bottom w:val="single" w:color="404040" w:sz="4"/>
          <w:right w:val="single" w:color="404040" w:sz="4"/>
          <w:insideH w:val="single" w:color="BFBFBF" w:sz="2"/>
          <w:insideV w:val="single" w:color="BFBFBF" w:sz="2"/>
        </w:tblBorders>
      </w:tblPr>
      <w:tblGrid>
        <w:gridCol w:w="3200"/>
        <w:gridCol w:w="6000"/>
      </w:tblGrid>
      <w:tr>
        <w:trPr>
          <w:tblHeader/>
        </w:trPr>
        <w:tc>
          <w:tcPr>
            <w:tcW w:type="dxa" w:w="32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Field</w:t>
            </w:r>
          </w:p>
        </w:tc>
        <w:tc>
          <w:tcPr>
            <w:tcW w:type="dxa" w:w="60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Detail</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Document title</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SeVR 1.0 Project Charter</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Project name</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Scoped Enclave for Varsity Research (SeVR)</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Version</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1.0</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Status</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Draft — for review</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Prepared by</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Jamil Muhammad Abdullahi</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Institution</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Bayero University Kano</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Related challenge</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ICSC 2026 Universities Hackathon, Track F1 — Protecting University Research</w:t>
            </w:r>
          </w:p>
        </w:tc>
      </w:tr>
    </w:tbl>
    <w:p>
      <w:pPr>
        <w:spacing w:before="500"/>
      </w:pPr>
    </w:p>
    <w:p>
      <w:pPr>
        <w:pStyle w:val="Heading1"/>
        <w:pBdr>
          <w:bottom w:val="single" w:color="404040" w:sz="6" w:space="6"/>
        </w:pBdr>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Bdr>
          <w:bottom w:val="single" w:color="404040" w:sz="6" w:space="6"/>
        </w:pBdr>
        <w:spacing w:after="160" w:before="360"/>
      </w:pPr>
      <w:r>
        <w:t xml:space="preserve">1. Executive Summary</w:t>
      </w:r>
    </w:p>
    <w:p>
      <w:pPr>
        <w:spacing w:after="200" w:line="300"/>
      </w:pPr>
      <w:r>
        <w:rPr>
          <w:rFonts w:ascii="Calibri" w:cs="Calibri" w:eastAsia="Calibri" w:hAnsi="Calibri"/>
          <w:i w:val="false"/>
          <w:iCs w:val="false"/>
          <w:color w:val="1A1A1A"/>
          <w:sz w:val="22"/>
          <w:szCs w:val="22"/>
        </w:rPr>
        <w:t xml:space="preserve">Scoped Enclave for Varsity Research (SeVR) is a controlled-access platform for protecting unpublished university research — draft findings, patent-pending methods, and long-collected datasets — from premature leakage. SeVR does not attempt to make research files impossible to copy; that goal is unreachable against a determined insider with a camera phone. Instead, it narrows access to the smallest group that needs it, makes departure from that group revoke access automatically, detects the behavioural patterns that precede a leak, and gives every external release of a file a traceable, signed record.</w:t>
      </w:r>
    </w:p>
    <w:p>
      <w:pPr>
        <w:spacing w:after="200" w:line="300"/>
      </w:pPr>
      <w:r>
        <w:rPr>
          <w:rFonts w:ascii="Calibri" w:cs="Calibri" w:eastAsia="Calibri" w:hAnsi="Calibri"/>
          <w:i w:val="false"/>
          <w:iCs w:val="false"/>
          <w:color w:val="1A1A1A"/>
          <w:sz w:val="22"/>
          <w:szCs w:val="22"/>
        </w:rPr>
        <w:t xml:space="preserve">The platform is built as a policy and detection layer over Nextcloud, an open-source file collaboration server, rather than as a bespoke storage system. This keeps the engineering effort focused on the parts of the problem that are actually unsolved on campus today: scoped access that expires on its own, behavioural leak detection, and accountable external sharing.</w:t>
      </w:r>
    </w:p>
    <w:p>
      <w:pPr>
        <w:pStyle w:val="Heading1"/>
        <w:pBdr>
          <w:bottom w:val="single" w:color="404040" w:sz="6" w:space="6"/>
        </w:pBdr>
        <w:spacing w:after="160" w:before="360"/>
      </w:pPr>
      <w:r>
        <w:t xml:space="preserve">2. Background</w:t>
      </w:r>
    </w:p>
    <w:p>
      <w:pPr>
        <w:spacing w:after="200" w:line="300"/>
      </w:pPr>
      <w:r>
        <w:rPr>
          <w:rFonts w:ascii="Calibri" w:cs="Calibri" w:eastAsia="Calibri" w:hAnsi="Calibri"/>
          <w:i w:val="false"/>
          <w:iCs w:val="false"/>
          <w:color w:val="1A1A1A"/>
          <w:sz w:val="22"/>
          <w:szCs w:val="22"/>
        </w:rPr>
        <w:t xml:space="preserve">University laboratories in Nigeria, and elsewhere, hold research whose value depends on confidentiality until publication or patent filing. In practice, this material is protected by very little: shared drives with permissions accumulated over years, supervisors’ personal cloud accounts, students’ laptops, and WhatsApp groups that are never deleted. Research is inherently collaborative and mobile — files are forwarded, copied, and carried on flash drives as a matter of routine.</w:t>
      </w:r>
    </w:p>
    <w:p>
      <w:pPr>
        <w:spacing w:after="200" w:line="300"/>
      </w:pPr>
      <w:r>
        <w:rPr>
          <w:rFonts w:ascii="Calibri" w:cs="Calibri" w:eastAsia="Calibri" w:hAnsi="Calibri"/>
          <w:i w:val="false"/>
          <w:iCs w:val="false"/>
          <w:color w:val="1A1A1A"/>
          <w:sz w:val="22"/>
          <w:szCs w:val="22"/>
        </w:rPr>
        <w:t xml:space="preserve">Two structural conditions make this worse. First, postgraduate students and research assistants turn over every academic session, and access granted to them is rarely revoked when they leave. Second, any control strict enough to meaningfully reduce risk is also strict enough that a researcher facing a deadline will route around it — typically by emailing a copy to a personal account. A workable solution therefore has to compete with convenience, not just with attackers.</w:t>
      </w:r>
    </w:p>
    <w:p>
      <w:pPr>
        <w:pStyle w:val="Heading1"/>
        <w:pBdr>
          <w:bottom w:val="single" w:color="404040" w:sz="6" w:space="6"/>
        </w:pBdr>
        <w:spacing w:after="160" w:before="360"/>
      </w:pPr>
      <w:r>
        <w:t xml:space="preserve">3. Problem Statement</w:t>
      </w:r>
    </w:p>
    <w:p>
      <w:pPr>
        <w:spacing w:after="200" w:line="300"/>
      </w:pPr>
      <w:r>
        <w:rPr>
          <w:rFonts w:ascii="Calibri" w:cs="Calibri" w:eastAsia="Calibri" w:hAnsi="Calibri"/>
          <w:i w:val="false"/>
          <w:iCs w:val="false"/>
          <w:color w:val="1A1A1A"/>
          <w:sz w:val="22"/>
          <w:szCs w:val="22"/>
        </w:rPr>
        <w:t xml:space="preserve">There is no low-friction way for a Nigerian university lab to know who currently has access to its unpublished research, to have that access expire automatically when someone leaves the group, to notice a leak in progress rather than after publication elsewhere, or to share a file externally under recorded terms without exposing the whole archive that contains it.</w:t>
      </w:r>
    </w:p>
    <w:p>
      <w:pPr>
        <w:pStyle w:val="Heading1"/>
        <w:pBdr>
          <w:bottom w:val="single" w:color="404040" w:sz="6" w:space="6"/>
        </w:pBdr>
        <w:spacing w:after="160" w:before="360"/>
      </w:pPr>
      <w:r>
        <w:t xml:space="preserve">4. Objectives</w:t>
      </w:r>
    </w:p>
    <w:p>
      <w:pPr>
        <w:pStyle w:val="ListParagraph"/>
        <w:numPr>
          <w:ilvl w:val="0"/>
          <w:numId w:val="2"/>
        </w:numPr>
        <w:spacing w:after="100" w:line="280"/>
      </w:pPr>
      <w:r>
        <w:rPr>
          <w:rFonts w:ascii="Calibri" w:cs="Calibri" w:eastAsia="Calibri" w:hAnsi="Calibri"/>
          <w:color w:val="1A1A1A"/>
          <w:sz w:val="22"/>
          <w:szCs w:val="22"/>
        </w:rPr>
        <w:t xml:space="preserve">Design a project-scoped access model in which permissions are tied to lab or project membership and expire automatically when that membership ends.</w:t>
      </w:r>
    </w:p>
    <w:p>
      <w:pPr>
        <w:pStyle w:val="ListParagraph"/>
        <w:numPr>
          <w:ilvl w:val="0"/>
          <w:numId w:val="2"/>
        </w:numPr>
        <w:spacing w:after="100" w:line="280"/>
      </w:pPr>
      <w:r>
        <w:rPr>
          <w:rFonts w:ascii="Calibri" w:cs="Calibri" w:eastAsia="Calibri" w:hAnsi="Calibri"/>
          <w:color w:val="1A1A1A"/>
          <w:sz w:val="22"/>
          <w:szCs w:val="22"/>
        </w:rPr>
        <w:t xml:space="preserve">Implement a detection layer that flags realistic leak precursors, including abnormal download volume ahead of a departure and files sent to non-institutional destinations.</w:t>
      </w:r>
    </w:p>
    <w:p>
      <w:pPr>
        <w:pStyle w:val="ListParagraph"/>
        <w:numPr>
          <w:ilvl w:val="0"/>
          <w:numId w:val="2"/>
        </w:numPr>
        <w:spacing w:after="100" w:line="280"/>
      </w:pPr>
      <w:r>
        <w:rPr>
          <w:rFonts w:ascii="Calibri" w:cs="Calibri" w:eastAsia="Calibri" w:hAnsi="Calibri"/>
          <w:color w:val="1A1A1A"/>
          <w:sz w:val="22"/>
          <w:szCs w:val="22"/>
        </w:rPr>
        <w:t xml:space="preserve">Implement a controlled external-sharing workflow that produces a signed, tamper-evident record of what was shared, with whom, and under what expiry.</w:t>
      </w:r>
    </w:p>
    <w:p>
      <w:pPr>
        <w:pStyle w:val="ListParagraph"/>
        <w:numPr>
          <w:ilvl w:val="0"/>
          <w:numId w:val="2"/>
        </w:numPr>
        <w:spacing w:after="100" w:line="280"/>
      </w:pPr>
      <w:r>
        <w:rPr>
          <w:rFonts w:ascii="Calibri" w:cs="Calibri" w:eastAsia="Calibri" w:hAnsi="Calibri"/>
          <w:color w:val="1A1A1A"/>
          <w:sz w:val="22"/>
          <w:szCs w:val="22"/>
        </w:rPr>
        <w:t xml:space="preserve">Apply per-copy watermarking so that a leaked file can be traced back to the account it was accessed from.</w:t>
      </w:r>
    </w:p>
    <w:p>
      <w:pPr>
        <w:pStyle w:val="ListParagraph"/>
        <w:numPr>
          <w:ilvl w:val="0"/>
          <w:numId w:val="2"/>
        </w:numPr>
        <w:spacing w:after="100" w:line="280"/>
      </w:pPr>
      <w:r>
        <w:rPr>
          <w:rFonts w:ascii="Calibri" w:cs="Calibri" w:eastAsia="Calibri" w:hAnsi="Calibri"/>
          <w:color w:val="1A1A1A"/>
          <w:sz w:val="22"/>
          <w:szCs w:val="22"/>
        </w:rPr>
        <w:t xml:space="preserve">Evaluate the prototype with real student users and report where the controls were bypassed or found irritating, not only where they succeeded.</w:t>
      </w:r>
    </w:p>
    <w:p>
      <w:pPr>
        <w:pStyle w:val="ListParagraph"/>
        <w:numPr>
          <w:ilvl w:val="0"/>
          <w:numId w:val="2"/>
        </w:numPr>
        <w:spacing w:after="100" w:line="280"/>
      </w:pPr>
      <w:r>
        <w:rPr>
          <w:rFonts w:ascii="Calibri" w:cs="Calibri" w:eastAsia="Calibri" w:hAnsi="Calibri"/>
          <w:color w:val="1A1A1A"/>
          <w:sz w:val="22"/>
          <w:szCs w:val="22"/>
        </w:rPr>
        <w:t xml:space="preserve">Define a defensible offline posture, stating plainly what protection is and is not available during a power or network outage.</w:t>
      </w:r>
    </w:p>
    <w:p>
      <w:pPr>
        <w:pStyle w:val="Heading1"/>
        <w:pBdr>
          <w:bottom w:val="single" w:color="404040" w:sz="6" w:space="6"/>
        </w:pBdr>
        <w:spacing w:after="160" w:before="360"/>
      </w:pPr>
      <w:r>
        <w:t xml:space="preserve">5. Scope</w:t>
      </w:r>
    </w:p>
    <w:p>
      <w:pPr>
        <w:pStyle w:val="Heading2"/>
        <w:spacing w:after="100" w:before="200"/>
      </w:pPr>
      <w:r>
        <w:t xml:space="preserve">In scope</w:t>
      </w:r>
    </w:p>
    <w:p>
      <w:pPr>
        <w:pStyle w:val="ListParagraph"/>
        <w:numPr>
          <w:ilvl w:val="0"/>
          <w:numId w:val="3"/>
        </w:numPr>
        <w:spacing w:after="100" w:line="280"/>
      </w:pPr>
      <w:r>
        <w:rPr>
          <w:rFonts w:ascii="Calibri" w:cs="Calibri" w:eastAsia="Calibri" w:hAnsi="Calibri"/>
          <w:color w:val="1A1A1A"/>
          <w:sz w:val="22"/>
          <w:szCs w:val="22"/>
        </w:rPr>
        <w:t xml:space="preserve">A working prototype built on Nextcloud, with a policy layer enforcing project-scoped access.</w:t>
      </w:r>
    </w:p>
    <w:p>
      <w:pPr>
        <w:pStyle w:val="ListParagraph"/>
        <w:numPr>
          <w:ilvl w:val="0"/>
          <w:numId w:val="3"/>
        </w:numPr>
        <w:spacing w:after="100" w:line="280"/>
      </w:pPr>
      <w:r>
        <w:rPr>
          <w:rFonts w:ascii="Calibri" w:cs="Calibri" w:eastAsia="Calibri" w:hAnsi="Calibri"/>
          <w:color w:val="1A1A1A"/>
          <w:sz w:val="22"/>
          <w:szCs w:val="22"/>
        </w:rPr>
        <w:t xml:space="preserve">A synthetic activity-log dataset with labelled leak and non-leak events, generated by the project team.</w:t>
      </w:r>
    </w:p>
    <w:p>
      <w:pPr>
        <w:pStyle w:val="ListParagraph"/>
        <w:numPr>
          <w:ilvl w:val="0"/>
          <w:numId w:val="3"/>
        </w:numPr>
        <w:spacing w:after="100" w:line="280"/>
      </w:pPr>
      <w:r>
        <w:rPr>
          <w:rFonts w:ascii="Calibri" w:cs="Calibri" w:eastAsia="Calibri" w:hAnsi="Calibri"/>
          <w:color w:val="1A1A1A"/>
          <w:sz w:val="22"/>
          <w:szCs w:val="22"/>
        </w:rPr>
        <w:t xml:space="preserve">At least two working detectors: pre-departure mass download, and external-domain transfer.</w:t>
      </w:r>
    </w:p>
    <w:p>
      <w:pPr>
        <w:pStyle w:val="ListParagraph"/>
        <w:numPr>
          <w:ilvl w:val="0"/>
          <w:numId w:val="3"/>
        </w:numPr>
        <w:spacing w:after="100" w:line="280"/>
      </w:pPr>
      <w:r>
        <w:rPr>
          <w:rFonts w:ascii="Calibri" w:cs="Calibri" w:eastAsia="Calibri" w:hAnsi="Calibri"/>
          <w:color w:val="1A1A1A"/>
          <w:sz w:val="22"/>
          <w:szCs w:val="22"/>
        </w:rPr>
        <w:t xml:space="preserve">A controlled external-sharing flow producing a signed, time-boxed, revocable record.</w:t>
      </w:r>
    </w:p>
    <w:p>
      <w:pPr>
        <w:pStyle w:val="ListParagraph"/>
        <w:numPr>
          <w:ilvl w:val="0"/>
          <w:numId w:val="3"/>
        </w:numPr>
        <w:spacing w:after="100" w:line="280"/>
      </w:pPr>
      <w:r>
        <w:rPr>
          <w:rFonts w:ascii="Calibri" w:cs="Calibri" w:eastAsia="Calibri" w:hAnsi="Calibri"/>
          <w:color w:val="1A1A1A"/>
          <w:sz w:val="22"/>
          <w:szCs w:val="22"/>
        </w:rPr>
        <w:t xml:space="preserve">Per-copy watermarking for shared documents and images.</w:t>
      </w:r>
    </w:p>
    <w:p>
      <w:pPr>
        <w:pStyle w:val="ListParagraph"/>
        <w:numPr>
          <w:ilvl w:val="0"/>
          <w:numId w:val="3"/>
        </w:numPr>
        <w:spacing w:after="100" w:line="280"/>
      </w:pPr>
      <w:r>
        <w:rPr>
          <w:rFonts w:ascii="Calibri" w:cs="Calibri" w:eastAsia="Calibri" w:hAnsi="Calibri"/>
          <w:color w:val="1A1A1A"/>
          <w:sz w:val="22"/>
          <w:szCs w:val="22"/>
        </w:rPr>
        <w:t xml:space="preserve">A short usability evaluation with a small group of student testers.</w:t>
      </w:r>
    </w:p>
    <w:p>
      <w:pPr>
        <w:pStyle w:val="Heading2"/>
        <w:spacing w:after="100" w:before="200"/>
      </w:pPr>
      <w:r>
        <w:t xml:space="preserve">Out of scope</w:t>
      </w:r>
    </w:p>
    <w:p>
      <w:pPr>
        <w:pStyle w:val="ListParagraph"/>
        <w:numPr>
          <w:ilvl w:val="0"/>
          <w:numId w:val="3"/>
        </w:numPr>
        <w:spacing w:after="100" w:line="280"/>
      </w:pPr>
      <w:r>
        <w:rPr>
          <w:rFonts w:ascii="Calibri" w:cs="Calibri" w:eastAsia="Calibri" w:hAnsi="Calibri"/>
          <w:color w:val="1A1A1A"/>
          <w:sz w:val="22"/>
          <w:szCs w:val="22"/>
        </w:rPr>
        <w:t xml:space="preserve">Preventing screenshotting, photographing a screen, or other physical-layer capture of displayed content.</w:t>
      </w:r>
    </w:p>
    <w:p>
      <w:pPr>
        <w:pStyle w:val="ListParagraph"/>
        <w:numPr>
          <w:ilvl w:val="0"/>
          <w:numId w:val="3"/>
        </w:numPr>
        <w:spacing w:after="100" w:line="280"/>
      </w:pPr>
      <w:r>
        <w:rPr>
          <w:rFonts w:ascii="Calibri" w:cs="Calibri" w:eastAsia="Calibri" w:hAnsi="Calibri"/>
          <w:color w:val="1A1A1A"/>
          <w:sz w:val="22"/>
          <w:szCs w:val="22"/>
        </w:rPr>
        <w:t xml:space="preserve">Replacing the university’s existing identity provider, learning management system, or research data repository.</w:t>
      </w:r>
    </w:p>
    <w:p>
      <w:pPr>
        <w:pStyle w:val="ListParagraph"/>
        <w:numPr>
          <w:ilvl w:val="0"/>
          <w:numId w:val="3"/>
        </w:numPr>
        <w:spacing w:after="100" w:line="280"/>
      </w:pPr>
      <w:r>
        <w:rPr>
          <w:rFonts w:ascii="Calibri" w:cs="Calibri" w:eastAsia="Calibri" w:hAnsi="Calibri"/>
          <w:color w:val="1A1A1A"/>
          <w:sz w:val="22"/>
          <w:szCs w:val="22"/>
        </w:rPr>
        <w:t xml:space="preserve">Production-grade deployment, load testing, or multi-institution rollout.</w:t>
      </w:r>
    </w:p>
    <w:p>
      <w:pPr>
        <w:pStyle w:val="ListParagraph"/>
        <w:numPr>
          <w:ilvl w:val="0"/>
          <w:numId w:val="3"/>
        </w:numPr>
        <w:spacing w:after="100" w:line="280"/>
      </w:pPr>
      <w:r>
        <w:rPr>
          <w:rFonts w:ascii="Calibri" w:cs="Calibri" w:eastAsia="Calibri" w:hAnsi="Calibri"/>
          <w:color w:val="1A1A1A"/>
          <w:sz w:val="22"/>
          <w:szCs w:val="22"/>
        </w:rPr>
        <w:t xml:space="preserve">Legal enforceability of the signed sharing record in any specific jurisdiction.</w:t>
      </w:r>
    </w:p>
    <w:p>
      <w:pPr>
        <w:pStyle w:val="Heading1"/>
        <w:pBdr>
          <w:bottom w:val="single" w:color="404040" w:sz="6" w:space="6"/>
        </w:pBdr>
        <w:spacing w:after="160" w:before="360"/>
      </w:pPr>
      <w:r>
        <w:t xml:space="preserve">6. Stakeholders</w:t>
      </w:r>
    </w:p>
    <w:tbl>
      <w:tblPr>
        <w:tblW w:type="dxa" w:w="9200"/>
        <w:tblBorders>
          <w:top w:val="single" w:color="404040" w:sz="4"/>
          <w:left w:val="single" w:color="404040" w:sz="4"/>
          <w:bottom w:val="single" w:color="404040" w:sz="4"/>
          <w:right w:val="single" w:color="404040" w:sz="4"/>
          <w:insideH w:val="single" w:color="BFBFBF" w:sz="2"/>
          <w:insideV w:val="single" w:color="BFBFBF" w:sz="2"/>
        </w:tblBorders>
      </w:tblPr>
      <w:tblGrid>
        <w:gridCol w:w="3400"/>
        <w:gridCol w:w="5800"/>
      </w:tblGrid>
      <w:tr>
        <w:trPr>
          <w:tblHeader/>
        </w:trPr>
        <w:tc>
          <w:tcPr>
            <w:tcW w:type="dxa" w:w="34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Stakeholder</w:t>
            </w:r>
          </w:p>
        </w:tc>
        <w:tc>
          <w:tcPr>
            <w:tcW w:type="dxa" w:w="58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Interest in the project</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Principal investigators / supervisors</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Need assurance that unpublished work is not exposed before filing or publication, without losing the ability to collaborate freely</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Postgraduate students &amp; research assistants</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Primary daily users; adoption depends on the system not slowing down normal work</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Departing lab members</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Access should end cleanly on departure without a manual request to IT</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External collaborators / partner institutions</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Need a straightforward, recorded way to receive a file under agreed terms</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University IT unit</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Small, stretched teams; the system must not create new support burden</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Hackathon evaluators (ICSC 2026)</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Assess technical soundness, realism of the threat model, and honesty about limitations</w:t>
            </w:r>
          </w:p>
        </w:tc>
      </w:tr>
    </w:tbl>
    <w:p>
      <w:pPr>
        <w:pStyle w:val="Heading1"/>
        <w:pBdr>
          <w:bottom w:val="single" w:color="404040" w:sz="6" w:space="6"/>
        </w:pBdr>
        <w:spacing w:after="160" w:before="360"/>
      </w:pPr>
      <w:r>
        <w:t xml:space="preserve">7. System Overview</w:t>
      </w:r>
    </w:p>
    <w:p>
      <w:pPr>
        <w:spacing w:after="200" w:line="300"/>
      </w:pPr>
      <w:r>
        <w:rPr>
          <w:rFonts w:ascii="Calibri" w:cs="Calibri" w:eastAsia="Calibri" w:hAnsi="Calibri"/>
          <w:i w:val="false"/>
          <w:iCs w:val="false"/>
          <w:color w:val="1A1A1A"/>
          <w:sz w:val="22"/>
          <w:szCs w:val="22"/>
        </w:rPr>
        <w:t xml:space="preserve">SeVR is composed of four functional layers, described below. Full technical detail, including the technology stack and applicable standards, is provided in the companion architecture note.</w:t>
      </w:r>
    </w:p>
    <w:p>
      <w:pPr>
        <w:pStyle w:val="Heading2"/>
        <w:spacing w:after="100" w:before="200"/>
      </w:pPr>
      <w:r>
        <w:t xml:space="preserve">7.1 Vault layer</w:t>
      </w:r>
    </w:p>
    <w:p>
      <w:pPr>
        <w:spacing w:after="200" w:line="300"/>
      </w:pPr>
      <w:r>
        <w:rPr>
          <w:rFonts w:ascii="Calibri" w:cs="Calibri" w:eastAsia="Calibri" w:hAnsi="Calibri"/>
          <w:i w:val="false"/>
          <w:iCs w:val="false"/>
          <w:color w:val="1A1A1A"/>
          <w:sz w:val="22"/>
          <w:szCs w:val="22"/>
        </w:rPr>
        <w:t xml:space="preserve">A Nextcloud instance holds research files, organised by project rather than by department. Membership of a project determines access; leaving the project revokes it. Files carry a sensitivity label so that supervisors can indicate, in plain terms, what may leave the project and what may not.</w:t>
      </w:r>
    </w:p>
    <w:p>
      <w:pPr>
        <w:pStyle w:val="Heading2"/>
        <w:spacing w:after="100" w:before="200"/>
      </w:pPr>
      <w:r>
        <w:t xml:space="preserve">7.2 Detection layer</w:t>
      </w:r>
    </w:p>
    <w:p>
      <w:pPr>
        <w:spacing w:after="200" w:line="300"/>
      </w:pPr>
      <w:r>
        <w:rPr>
          <w:rFonts w:ascii="Calibri" w:cs="Calibri" w:eastAsia="Calibri" w:hAnsi="Calibri"/>
          <w:i w:val="false"/>
          <w:iCs w:val="false"/>
          <w:color w:val="1A1A1A"/>
          <w:sz w:val="22"/>
          <w:szCs w:val="22"/>
        </w:rPr>
        <w:t xml:space="preserve">Activity logs from the vault are analysed against each user’s own historical baseline. A sudden spike in download volume, access outside a user’s usual project scope, or a transfer to a non-institutional domain is flagged for review rather than blocked outright, since blocking a legitimate action can itself cause harm.</w:t>
      </w:r>
    </w:p>
    <w:p>
      <w:pPr>
        <w:pStyle w:val="Heading2"/>
        <w:spacing w:after="100" w:before="200"/>
      </w:pPr>
      <w:r>
        <w:t xml:space="preserve">7.3 Controlled sharing layer</w:t>
      </w:r>
    </w:p>
    <w:p>
      <w:pPr>
        <w:spacing w:after="200" w:line="300"/>
      </w:pPr>
      <w:r>
        <w:rPr>
          <w:rFonts w:ascii="Calibri" w:cs="Calibri" w:eastAsia="Calibri" w:hAnsi="Calibri"/>
          <w:i w:val="false"/>
          <w:iCs w:val="false"/>
          <w:color w:val="1A1A1A"/>
          <w:sz w:val="22"/>
          <w:szCs w:val="22"/>
        </w:rPr>
        <w:t xml:space="preserve">External sharing is handled through time-boxed, revocable links rather than raw file transfer. Every share is recorded — who shared, what, with whom, and until when — and the record is signed so it cannot be altered after the fact.</w:t>
      </w:r>
    </w:p>
    <w:p>
      <w:pPr>
        <w:pStyle w:val="Heading2"/>
        <w:spacing w:after="100" w:before="200"/>
      </w:pPr>
      <w:r>
        <w:t xml:space="preserve">7.4 Accountability layer</w:t>
      </w:r>
    </w:p>
    <w:p>
      <w:pPr>
        <w:spacing w:after="200" w:line="300"/>
      </w:pPr>
      <w:r>
        <w:rPr>
          <w:rFonts w:ascii="Calibri" w:cs="Calibri" w:eastAsia="Calibri" w:hAnsi="Calibri"/>
          <w:i w:val="false"/>
          <w:iCs w:val="false"/>
          <w:color w:val="1A1A1A"/>
          <w:sz w:val="22"/>
          <w:szCs w:val="22"/>
        </w:rPr>
        <w:t xml:space="preserve">All significant actions — access, share, revoke, alert — are written to a hash-chained log, so that tampering with the log after the fact is itself detectable.</w:t>
      </w:r>
    </w:p>
    <w:p>
      <w:pPr>
        <w:pStyle w:val="Heading1"/>
        <w:pBdr>
          <w:bottom w:val="single" w:color="404040" w:sz="6" w:space="6"/>
        </w:pBdr>
        <w:spacing w:after="160" w:before="360"/>
      </w:pPr>
      <w:r>
        <w:t xml:space="preserve">8. The .sevr Container Format</w:t>
      </w:r>
    </w:p>
    <w:p>
      <w:pPr>
        <w:spacing w:after="200" w:line="300"/>
      </w:pPr>
      <w:r>
        <w:rPr>
          <w:rFonts w:ascii="Calibri" w:cs="Calibri" w:eastAsia="Calibri" w:hAnsi="Calibri"/>
          <w:i w:val="false"/>
          <w:iCs w:val="false"/>
          <w:color w:val="1A1A1A"/>
          <w:sz w:val="22"/>
          <w:szCs w:val="22"/>
        </w:rPr>
        <w:t xml:space="preserve">SeVR introduces its own container format, .sevr, for documents that must stop being readable after a defined point — for example, a draft shared with an external reviewer under a two-week embargo. The design follows a single governing principle: a file cannot be reliably erased once it has left the vault, but it can be rendered permanently meaningless by destroying the key that gives its bits significance. This is known as cryptographic erasure (NIST SP 800-88 Rev.1) and is the same principle behind the Ephemerizer key-expiry service (Perlman, 2005) and the Vanish self-destructing data system (Geambasu et al., 2009). A .sevr file is never itself deleted, wiped, or scrambled on the holder’s device; it becomes unopenable because the key required to open it no longer exists anywhere.</w:t>
      </w:r>
    </w:p>
    <w:p>
      <w:pPr>
        <w:pStyle w:val="Heading2"/>
        <w:spacing w:after="100" w:before="200"/>
      </w:pPr>
      <w:r>
        <w:t xml:space="preserve">8.1 Container structure</w:t>
      </w:r>
    </w:p>
    <w:p>
      <w:pPr>
        <w:spacing w:after="200" w:line="300"/>
      </w:pPr>
      <w:r>
        <w:rPr>
          <w:rFonts w:ascii="Calibri" w:cs="Calibri" w:eastAsia="Calibri" w:hAnsi="Calibri"/>
          <w:i w:val="false"/>
          <w:iCs w:val="false"/>
          <w:color w:val="1A1A1A"/>
          <w:sz w:val="22"/>
          <w:szCs w:val="22"/>
        </w:rPr>
        <w:t xml:space="preserve">Each .sevr file is a single package containing a plaintext header, an encrypted payload, and a signature. No part of the payload is ever written to disk unencrypted.</w:t>
      </w:r>
    </w:p>
    <w:tbl>
      <w:tblPr>
        <w:tblW w:type="dxa" w:w="9200"/>
        <w:tblBorders>
          <w:top w:val="single" w:color="404040" w:sz="4"/>
          <w:left w:val="single" w:color="404040" w:sz="4"/>
          <w:bottom w:val="single" w:color="404040" w:sz="4"/>
          <w:right w:val="single" w:color="404040" w:sz="4"/>
          <w:insideH w:val="single" w:color="BFBFBF" w:sz="2"/>
          <w:insideV w:val="single" w:color="BFBFBF" w:sz="2"/>
        </w:tblBorders>
      </w:tblPr>
      <w:tblGrid>
        <w:gridCol w:w="3200"/>
        <w:gridCol w:w="6000"/>
      </w:tblGrid>
      <w:tr>
        <w:trPr>
          <w:tblHeader/>
        </w:trPr>
        <w:tc>
          <w:tcPr>
            <w:tcW w:type="dxa" w:w="32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Field</w:t>
            </w:r>
          </w:p>
        </w:tc>
        <w:tc>
          <w:tcPr>
            <w:tcW w:type="dxa" w:w="60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Purpose</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file_id</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Unique identifier used to request the decryption key from the key broker</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project_id</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Ties the file to its project scope under the ABAC access model</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tlp_label</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Traffic Light Protocol sensitivity marking, set by the file owner</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created_at / expires_at</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Defines the validity window of the encryption key</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broker_url</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Endpoint the viewer must contact to request the key at open time</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payload</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Document body, encrypted with AES-256-GCM</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signature</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Ed25519 signature over the header and payload hash, detecting any post-issue alteration</w:t>
            </w:r>
          </w:p>
        </w:tc>
      </w:tr>
    </w:tbl>
    <w:p>
      <w:pPr>
        <w:pStyle w:val="Heading2"/>
        <w:spacing w:after="100" w:before="200"/>
      </w:pPr>
      <w:r>
        <w:t xml:space="preserve">8.2 Lifecycle</w:t>
      </w:r>
    </w:p>
    <w:p>
      <w:pPr>
        <w:pStyle w:val="ListParagraph"/>
        <w:numPr>
          <w:ilvl w:val="0"/>
          <w:numId w:val="4"/>
        </w:numPr>
        <w:spacing w:after="100" w:line="280"/>
      </w:pPr>
      <w:r>
        <w:rPr>
          <w:rFonts w:ascii="Calibri" w:cs="Calibri" w:eastAsia="Calibri" w:hAnsi="Calibri"/>
          <w:color w:val="1A1A1A"/>
          <w:sz w:val="22"/>
          <w:szCs w:val="22"/>
        </w:rPr>
        <w:t xml:space="preserve">Encode — the SeVR client encrypts the document with a freshly generated key and writes the .sevr container, setting expires_at according to the owner’s instruction.</w:t>
      </w:r>
    </w:p>
    <w:p>
      <w:pPr>
        <w:pStyle w:val="ListParagraph"/>
        <w:numPr>
          <w:ilvl w:val="0"/>
          <w:numId w:val="4"/>
        </w:numPr>
        <w:spacing w:after="100" w:line="280"/>
      </w:pPr>
      <w:r>
        <w:rPr>
          <w:rFonts w:ascii="Calibri" w:cs="Calibri" w:eastAsia="Calibri" w:hAnsi="Calibri"/>
          <w:color w:val="1A1A1A"/>
          <w:sz w:val="22"/>
          <w:szCs w:val="22"/>
        </w:rPr>
        <w:t xml:space="preserve">Key escrow — the key is sent to the key broker over TLS 1.3 and stored against file_id; it is never embedded in the container itself.</w:t>
      </w:r>
    </w:p>
    <w:p>
      <w:pPr>
        <w:pStyle w:val="ListParagraph"/>
        <w:numPr>
          <w:ilvl w:val="0"/>
          <w:numId w:val="4"/>
        </w:numPr>
        <w:spacing w:after="100" w:line="280"/>
      </w:pPr>
      <w:r>
        <w:rPr>
          <w:rFonts w:ascii="Calibri" w:cs="Calibri" w:eastAsia="Calibri" w:hAnsi="Calibri"/>
          <w:color w:val="1A1A1A"/>
          <w:sz w:val="22"/>
          <w:szCs w:val="22"/>
        </w:rPr>
        <w:t xml:space="preserve">Store or share — the .sevr file itself can be freely copied, emailed, or carried on a flash drive. This is safe because the file alone cannot be opened.</w:t>
      </w:r>
    </w:p>
    <w:p>
      <w:pPr>
        <w:pStyle w:val="ListParagraph"/>
        <w:numPr>
          <w:ilvl w:val="0"/>
          <w:numId w:val="4"/>
        </w:numPr>
        <w:spacing w:after="100" w:line="280"/>
      </w:pPr>
      <w:r>
        <w:rPr>
          <w:rFonts w:ascii="Calibri" w:cs="Calibri" w:eastAsia="Calibri" w:hAnsi="Calibri"/>
          <w:color w:val="1A1A1A"/>
          <w:sz w:val="22"/>
          <w:szCs w:val="22"/>
        </w:rPr>
        <w:t xml:space="preserve">Open request — a viewer presents the reader’s identity token and file_id to the broker.</w:t>
      </w:r>
    </w:p>
    <w:p>
      <w:pPr>
        <w:pStyle w:val="ListParagraph"/>
        <w:numPr>
          <w:ilvl w:val="0"/>
          <w:numId w:val="4"/>
        </w:numPr>
        <w:spacing w:after="100" w:line="280"/>
      </w:pPr>
      <w:r>
        <w:rPr>
          <w:rFonts w:ascii="Calibri" w:cs="Calibri" w:eastAsia="Calibri" w:hAnsi="Calibri"/>
          <w:color w:val="1A1A1A"/>
          <w:sz w:val="22"/>
          <w:szCs w:val="22"/>
        </w:rPr>
        <w:t xml:space="preserve">Policy check — the broker verifies project membership, TLP label permissions, and that the current time is before expires_at, consistent with the access rules described in Section 7.1.</w:t>
      </w:r>
    </w:p>
    <w:p>
      <w:pPr>
        <w:pStyle w:val="ListParagraph"/>
        <w:numPr>
          <w:ilvl w:val="0"/>
          <w:numId w:val="4"/>
        </w:numPr>
        <w:spacing w:after="100" w:line="280"/>
      </w:pPr>
      <w:r>
        <w:rPr>
          <w:rFonts w:ascii="Calibri" w:cs="Calibri" w:eastAsia="Calibri" w:hAnsi="Calibri"/>
          <w:color w:val="1A1A1A"/>
          <w:sz w:val="22"/>
          <w:szCs w:val="22"/>
        </w:rPr>
        <w:t xml:space="preserve">Trusted rendering — on success, the broker returns the key for a single session; the viewer decrypts into memory only and never writes plaintext to disk.</w:t>
      </w:r>
    </w:p>
    <w:p>
      <w:pPr>
        <w:pStyle w:val="ListParagraph"/>
        <w:numPr>
          <w:ilvl w:val="0"/>
          <w:numId w:val="4"/>
        </w:numPr>
        <w:spacing w:after="100" w:line="280"/>
      </w:pPr>
      <w:r>
        <w:rPr>
          <w:rFonts w:ascii="Calibri" w:cs="Calibri" w:eastAsia="Calibri" w:hAnsi="Calibri"/>
          <w:color w:val="1A1A1A"/>
          <w:sz w:val="22"/>
          <w:szCs w:val="22"/>
        </w:rPr>
        <w:t xml:space="preserve">Expiry — once expires_at passes, the broker deletes its copy of the key. The .sevr file continues to exist, unchanged, but no request for its key can ever succeed again.</w:t>
      </w:r>
    </w:p>
    <w:p>
      <w:pPr>
        <w:pStyle w:val="Heading2"/>
        <w:spacing w:after="100" w:before="200"/>
      </w:pPr>
      <w:r>
        <w:t xml:space="preserve">8.3 What .sevr guarantees, and what it does not</w:t>
      </w:r>
    </w:p>
    <w:p>
      <w:pPr>
        <w:pStyle w:val="ListParagraph"/>
        <w:numPr>
          <w:ilvl w:val="0"/>
          <w:numId w:val="3"/>
        </w:numPr>
        <w:spacing w:after="100" w:line="280"/>
      </w:pPr>
      <w:r>
        <w:rPr>
          <w:rFonts w:ascii="Calibri" w:cs="Calibri" w:eastAsia="Calibri" w:hAnsi="Calibri"/>
          <w:color w:val="1A1A1A"/>
          <w:sz w:val="22"/>
          <w:szCs w:val="22"/>
        </w:rPr>
        <w:t xml:space="preserve">Guarantees that a file past its expiry cannot be decrypted by SeVR’s own viewer, on any device, once the broker has deleted the key — including devices that were never online at expiry time, since they hold ciphertext, not the key.</w:t>
      </w:r>
    </w:p>
    <w:p>
      <w:pPr>
        <w:pStyle w:val="ListParagraph"/>
        <w:numPr>
          <w:ilvl w:val="0"/>
          <w:numId w:val="3"/>
        </w:numPr>
        <w:spacing w:after="100" w:line="280"/>
      </w:pPr>
      <w:r>
        <w:rPr>
          <w:rFonts w:ascii="Calibri" w:cs="Calibri" w:eastAsia="Calibri" w:hAnsi="Calibri"/>
          <w:color w:val="1A1A1A"/>
          <w:sz w:val="22"/>
          <w:szCs w:val="22"/>
        </w:rPr>
        <w:t xml:space="preserve">Guarantees that a copied or forwarded .sevr file confers no advantage to the holder; possession of the container is not possession of the content.</w:t>
      </w:r>
    </w:p>
    <w:p>
      <w:pPr>
        <w:pStyle w:val="ListParagraph"/>
        <w:numPr>
          <w:ilvl w:val="0"/>
          <w:numId w:val="3"/>
        </w:numPr>
        <w:spacing w:after="100" w:line="280"/>
      </w:pPr>
      <w:r>
        <w:rPr>
          <w:rFonts w:ascii="Calibri" w:cs="Calibri" w:eastAsia="Calibri" w:hAnsi="Calibri"/>
          <w:color w:val="1A1A1A"/>
          <w:sz w:val="22"/>
          <w:szCs w:val="22"/>
        </w:rPr>
        <w:t xml:space="preserve">Guarantees that any change to the header or payload after issue is detectable via the signature.</w:t>
      </w:r>
    </w:p>
    <w:p>
      <w:pPr>
        <w:pStyle w:val="ListParagraph"/>
        <w:numPr>
          <w:ilvl w:val="0"/>
          <w:numId w:val="3"/>
        </w:numPr>
        <w:spacing w:after="100" w:line="280"/>
      </w:pPr>
      <w:r>
        <w:rPr>
          <w:rFonts w:ascii="Calibri" w:cs="Calibri" w:eastAsia="Calibri" w:hAnsi="Calibri"/>
          <w:color w:val="1A1A1A"/>
          <w:sz w:val="22"/>
          <w:szCs w:val="22"/>
        </w:rPr>
        <w:t xml:space="preserve">Does not guarantee against a reader who exports, screenshots, or retypes the content while the file is still validly open — the analogue hole applies to .sevr as it does to every enforcement scheme of this kind. Watermarking, described in Section 7, is SeVR’s answer to that residual risk.</w:t>
      </w:r>
    </w:p>
    <w:p>
      <w:pPr>
        <w:pStyle w:val="ListParagraph"/>
        <w:numPr>
          <w:ilvl w:val="0"/>
          <w:numId w:val="3"/>
        </w:numPr>
        <w:spacing w:after="100" w:line="280"/>
      </w:pPr>
      <w:r>
        <w:rPr>
          <w:rFonts w:ascii="Calibri" w:cs="Calibri" w:eastAsia="Calibri" w:hAnsi="Calibri"/>
          <w:color w:val="1A1A1A"/>
          <w:sz w:val="22"/>
          <w:szCs w:val="22"/>
        </w:rPr>
        <w:t xml:space="preserve">Does not guarantee real-time expiry enforcement while a device is offline; an offline grace period, if enabled, is a stated policy trade-off, not a technical guarantee, and is disclosed to the file owner at encode time.</w:t>
      </w:r>
    </w:p>
    <w:p>
      <w:pPr>
        <w:pStyle w:val="Heading1"/>
        <w:pBdr>
          <w:bottom w:val="single" w:color="404040" w:sz="6" w:space="6"/>
        </w:pBdr>
        <w:spacing w:after="160" w:before="360"/>
      </w:pPr>
      <w:r>
        <w:t xml:space="preserve">9. Standards and Protocols Applied</w:t>
      </w:r>
    </w:p>
    <w:p>
      <w:pPr>
        <w:spacing w:after="200" w:line="300"/>
      </w:pPr>
      <w:r>
        <w:rPr>
          <w:rFonts w:ascii="Calibri" w:cs="Calibri" w:eastAsia="Calibri" w:hAnsi="Calibri"/>
          <w:i w:val="false"/>
          <w:iCs w:val="false"/>
          <w:color w:val="1A1A1A"/>
          <w:sz w:val="22"/>
          <w:szCs w:val="22"/>
        </w:rPr>
        <w:t xml:space="preserve">SeVR draws on established security standards rather than inventing new ones. Each is applied to a specific part of the system:</w:t>
      </w:r>
    </w:p>
    <w:tbl>
      <w:tblPr>
        <w:tblW w:type="dxa" w:w="9200"/>
        <w:tblBorders>
          <w:top w:val="single" w:color="404040" w:sz="4"/>
          <w:left w:val="single" w:color="404040" w:sz="4"/>
          <w:bottom w:val="single" w:color="404040" w:sz="4"/>
          <w:right w:val="single" w:color="404040" w:sz="4"/>
          <w:insideH w:val="single" w:color="BFBFBF" w:sz="2"/>
          <w:insideV w:val="single" w:color="BFBFBF" w:sz="2"/>
        </w:tblBorders>
      </w:tblPr>
      <w:tblGrid>
        <w:gridCol w:w="4200"/>
        <w:gridCol w:w="5000"/>
      </w:tblGrid>
      <w:tr>
        <w:trPr>
          <w:tblHeader/>
        </w:trPr>
        <w:tc>
          <w:tcPr>
            <w:tcW w:type="dxa" w:w="42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Standard / Protocol</w:t>
            </w:r>
          </w:p>
        </w:tc>
        <w:tc>
          <w:tcPr>
            <w:tcW w:type="dxa" w:w="50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Applied to</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OAuth 2.0 / OpenID Connect</w:t>
            </w:r>
          </w:p>
        </w:tc>
        <w:tc>
          <w:tcPr>
            <w:tcW w:type="dxa" w:w="5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Authentication and scoped tokens for internal and external users</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NIST SP 800-207 (Zero Trust Architecture)</w:t>
            </w:r>
          </w:p>
        </w:tc>
        <w:tc>
          <w:tcPr>
            <w:tcW w:type="dxa" w:w="5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Governing principle for re-verifying access by context, not network location</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RBAC, extended with attributes (NIST SP 800-162)</w:t>
            </w:r>
          </w:p>
        </w:tc>
        <w:tc>
          <w:tcPr>
            <w:tcW w:type="dxa" w:w="5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Project-scoped, self-expiring permission model</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TLS 1.3 / HTTPS</w:t>
            </w:r>
          </w:p>
        </w:tc>
        <w:tc>
          <w:tcPr>
            <w:tcW w:type="dxa" w:w="5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Transport security for all client–server traffic</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WebDAV</w:t>
            </w:r>
          </w:p>
        </w:tc>
        <w:tc>
          <w:tcPr>
            <w:tcW w:type="dxa" w:w="5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File synchronisation and access via the vault layer</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SHA-256 and hash chaining</w:t>
            </w:r>
          </w:p>
        </w:tc>
        <w:tc>
          <w:tcPr>
            <w:tcW w:type="dxa" w:w="5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File-version integrity and tamper-evident audit logging</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X.509 / digital signatures</w:t>
            </w:r>
          </w:p>
        </w:tc>
        <w:tc>
          <w:tcPr>
            <w:tcW w:type="dxa" w:w="5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Signed, non-repudiable external-share records</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Traffic Light Protocol (TLP)</w:t>
            </w:r>
          </w:p>
        </w:tc>
        <w:tc>
          <w:tcPr>
            <w:tcW w:type="dxa" w:w="5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Plain-language sensitivity labelling for supervisors</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ISO/IEC 27001 / 27002</w:t>
            </w:r>
          </w:p>
        </w:tc>
        <w:tc>
          <w:tcPr>
            <w:tcW w:type="dxa" w:w="5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Least-privilege and need-to-know principles underlying the access model</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MITRE ATT&amp;CK (insider-threat techniques)</w:t>
            </w:r>
          </w:p>
        </w:tc>
        <w:tc>
          <w:tcPr>
            <w:tcW w:type="dxa" w:w="5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Vocabulary for classifying detected leak patterns</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Nigeria Data Protection Regulation (NDPR, 2019)</w:t>
            </w:r>
          </w:p>
        </w:tc>
        <w:tc>
          <w:tcPr>
            <w:tcW w:type="dxa" w:w="5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Handling of any personal data contained within research datasets</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AES-256-GCM</w:t>
            </w:r>
          </w:p>
        </w:tc>
        <w:tc>
          <w:tcPr>
            <w:tcW w:type="dxa" w:w="5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Authenticated encryption of the .sevr payload</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Ed25519 digital signatures</w:t>
            </w:r>
          </w:p>
        </w:tc>
        <w:tc>
          <w:tcPr>
            <w:tcW w:type="dxa" w:w="5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Tamper-evidence for .sevr container headers</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NIST SP 800-88 Rev.1 (Media Sanitization)</w:t>
            </w:r>
          </w:p>
        </w:tc>
        <w:tc>
          <w:tcPr>
            <w:tcW w:type="dxa" w:w="5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Cryptographic-erasure principle underlying .sevr key expiry</w:t>
            </w:r>
          </w:p>
        </w:tc>
      </w:tr>
    </w:tbl>
    <w:p>
      <w:pPr>
        <w:pStyle w:val="Heading1"/>
        <w:pBdr>
          <w:bottom w:val="single" w:color="404040" w:sz="6" w:space="6"/>
        </w:pBdr>
        <w:spacing w:after="160" w:before="360"/>
      </w:pPr>
      <w:r>
        <w:t xml:space="preserve">10. Technology Stack</w:t>
      </w:r>
    </w:p>
    <w:tbl>
      <w:tblPr>
        <w:tblW w:type="dxa" w:w="9200"/>
        <w:tblBorders>
          <w:top w:val="single" w:color="404040" w:sz="4"/>
          <w:left w:val="single" w:color="404040" w:sz="4"/>
          <w:bottom w:val="single" w:color="404040" w:sz="4"/>
          <w:right w:val="single" w:color="404040" w:sz="4"/>
          <w:insideH w:val="single" w:color="BFBFBF" w:sz="2"/>
          <w:insideV w:val="single" w:color="BFBFBF" w:sz="2"/>
        </w:tblBorders>
      </w:tblPr>
      <w:tblGrid>
        <w:gridCol w:w="3400"/>
        <w:gridCol w:w="5800"/>
      </w:tblGrid>
      <w:tr>
        <w:trPr>
          <w:tblHeader/>
        </w:trPr>
        <w:tc>
          <w:tcPr>
            <w:tcW w:type="dxa" w:w="34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Layer</w:t>
            </w:r>
          </w:p>
        </w:tc>
        <w:tc>
          <w:tcPr>
            <w:tcW w:type="dxa" w:w="58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Technology</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File vault</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Nextcloud (self-hosted via Docker)</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API / policy gateway</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Python, FastAPI</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Identity provider</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Keycloak (OAuth 2.0 / OIDC)</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Database</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PostgreSQL</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Detection engine</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Python, pandas, scikit-learn</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Watermarking</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python-docx / pikepdf, Pillow</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Encryption / signing (.sevr)</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Python cryptography library — AES-256-GCM, Ed25519</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Key broker</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FastAPI service backed by PostgreSQL, separate from the vault</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Frontend</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React</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Reverse proxy / TLS</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Nginx</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Containerisation</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Docker, Docker Compose</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Diagrams</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draw.io</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Version control</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Git</w:t>
            </w:r>
          </w:p>
        </w:tc>
      </w:tr>
    </w:tbl>
    <w:p>
      <w:pPr>
        <w:pStyle w:val="Heading1"/>
        <w:pBdr>
          <w:bottom w:val="single" w:color="404040" w:sz="6" w:space="6"/>
        </w:pBdr>
        <w:spacing w:after="160" w:before="360"/>
      </w:pPr>
      <w:r>
        <w:t xml:space="preserve">11. Deliverables</w:t>
      </w:r>
    </w:p>
    <w:p>
      <w:pPr>
        <w:pStyle w:val="ListParagraph"/>
        <w:numPr>
          <w:ilvl w:val="0"/>
          <w:numId w:val="5"/>
        </w:numPr>
        <w:spacing w:after="100" w:line="280"/>
      </w:pPr>
      <w:r>
        <w:rPr>
          <w:rFonts w:ascii="Calibri" w:cs="Calibri" w:eastAsia="Calibri" w:hAnsi="Calibri"/>
          <w:color w:val="1A1A1A"/>
          <w:sz w:val="22"/>
          <w:szCs w:val="22"/>
        </w:rPr>
        <w:t xml:space="preserve">A working SeVR prototype, deployable via a single Docker Compose file.</w:t>
      </w:r>
    </w:p>
    <w:p>
      <w:pPr>
        <w:pStyle w:val="ListParagraph"/>
        <w:numPr>
          <w:ilvl w:val="0"/>
          <w:numId w:val="5"/>
        </w:numPr>
        <w:spacing w:after="100" w:line="280"/>
      </w:pPr>
      <w:r>
        <w:rPr>
          <w:rFonts w:ascii="Calibri" w:cs="Calibri" w:eastAsia="Calibri" w:hAnsi="Calibri"/>
          <w:color w:val="1A1A1A"/>
          <w:sz w:val="22"/>
          <w:szCs w:val="22"/>
        </w:rPr>
        <w:t xml:space="preserve">A synthetic, labelled activity-log dataset with documented generation method.</w:t>
      </w:r>
    </w:p>
    <w:p>
      <w:pPr>
        <w:pStyle w:val="ListParagraph"/>
        <w:numPr>
          <w:ilvl w:val="0"/>
          <w:numId w:val="5"/>
        </w:numPr>
        <w:spacing w:after="100" w:line="280"/>
      </w:pPr>
      <w:r>
        <w:rPr>
          <w:rFonts w:ascii="Calibri" w:cs="Calibri" w:eastAsia="Calibri" w:hAnsi="Calibri"/>
          <w:color w:val="1A1A1A"/>
          <w:sz w:val="22"/>
          <w:szCs w:val="22"/>
        </w:rPr>
        <w:t xml:space="preserve">At least two working leak detectors, evaluated with stated precision and false-alarm figures.</w:t>
      </w:r>
    </w:p>
    <w:p>
      <w:pPr>
        <w:pStyle w:val="ListParagraph"/>
        <w:numPr>
          <w:ilvl w:val="0"/>
          <w:numId w:val="5"/>
        </w:numPr>
        <w:spacing w:after="100" w:line="280"/>
      </w:pPr>
      <w:r>
        <w:rPr>
          <w:rFonts w:ascii="Calibri" w:cs="Calibri" w:eastAsia="Calibri" w:hAnsi="Calibri"/>
          <w:color w:val="1A1A1A"/>
          <w:sz w:val="22"/>
          <w:szCs w:val="22"/>
        </w:rPr>
        <w:t xml:space="preserve">A controlled external-sharing flow with signed audit records.</w:t>
      </w:r>
    </w:p>
    <w:p>
      <w:pPr>
        <w:pStyle w:val="ListParagraph"/>
        <w:numPr>
          <w:ilvl w:val="0"/>
          <w:numId w:val="5"/>
        </w:numPr>
        <w:spacing w:after="100" w:line="280"/>
      </w:pPr>
      <w:r>
        <w:rPr>
          <w:rFonts w:ascii="Calibri" w:cs="Calibri" w:eastAsia="Calibri" w:hAnsi="Calibri"/>
          <w:color w:val="1A1A1A"/>
          <w:sz w:val="22"/>
          <w:szCs w:val="22"/>
        </w:rPr>
        <w:t xml:space="preserve">Per-copy watermarking demonstrated on at least one document type and one image type.</w:t>
      </w:r>
    </w:p>
    <w:p>
      <w:pPr>
        <w:pStyle w:val="ListParagraph"/>
        <w:numPr>
          <w:ilvl w:val="0"/>
          <w:numId w:val="5"/>
        </w:numPr>
        <w:spacing w:after="100" w:line="280"/>
      </w:pPr>
      <w:r>
        <w:rPr>
          <w:rFonts w:ascii="Calibri" w:cs="Calibri" w:eastAsia="Calibri" w:hAnsi="Calibri"/>
          <w:color w:val="1A1A1A"/>
          <w:sz w:val="22"/>
          <w:szCs w:val="22"/>
        </w:rPr>
        <w:t xml:space="preserve">The .sevr container format specification, with a reference encoder and viewer, and a working key broker.</w:t>
      </w:r>
    </w:p>
    <w:p>
      <w:pPr>
        <w:pStyle w:val="ListParagraph"/>
        <w:numPr>
          <w:ilvl w:val="0"/>
          <w:numId w:val="5"/>
        </w:numPr>
        <w:spacing w:after="100" w:line="280"/>
      </w:pPr>
      <w:r>
        <w:rPr>
          <w:rFonts w:ascii="Calibri" w:cs="Calibri" w:eastAsia="Calibri" w:hAnsi="Calibri"/>
          <w:color w:val="1A1A1A"/>
          <w:sz w:val="22"/>
          <w:szCs w:val="22"/>
        </w:rPr>
        <w:t xml:space="preserve">A usability test report from a small group of student testers, including friction points found.</w:t>
      </w:r>
    </w:p>
    <w:p>
      <w:pPr>
        <w:pStyle w:val="ListParagraph"/>
        <w:numPr>
          <w:ilvl w:val="0"/>
          <w:numId w:val="5"/>
        </w:numPr>
        <w:spacing w:after="100" w:line="280"/>
      </w:pPr>
      <w:r>
        <w:rPr>
          <w:rFonts w:ascii="Calibri" w:cs="Calibri" w:eastAsia="Calibri" w:hAnsi="Calibri"/>
          <w:color w:val="1A1A1A"/>
          <w:sz w:val="22"/>
          <w:szCs w:val="22"/>
        </w:rPr>
        <w:t xml:space="preserve">This charter and an accompanying architecture diagram.</w:t>
      </w:r>
    </w:p>
    <w:p>
      <w:pPr>
        <w:pStyle w:val="Heading1"/>
        <w:pBdr>
          <w:bottom w:val="single" w:color="404040" w:sz="6" w:space="6"/>
        </w:pBdr>
        <w:spacing w:after="160" w:before="360"/>
      </w:pPr>
      <w:r>
        <w:t xml:space="preserve">12. Success Criteria</w:t>
      </w:r>
    </w:p>
    <w:p>
      <w:pPr>
        <w:pStyle w:val="ListParagraph"/>
        <w:numPr>
          <w:ilvl w:val="0"/>
          <w:numId w:val="3"/>
        </w:numPr>
        <w:spacing w:after="100" w:line="280"/>
      </w:pPr>
      <w:r>
        <w:rPr>
          <w:rFonts w:ascii="Calibri" w:cs="Calibri" w:eastAsia="Calibri" w:hAnsi="Calibri"/>
          <w:color w:val="1A1A1A"/>
          <w:sz w:val="22"/>
          <w:szCs w:val="22"/>
        </w:rPr>
        <w:t xml:space="preserve">Access to a project’s files is demonstrably removed the moment a test user is marked as having left the project.</w:t>
      </w:r>
    </w:p>
    <w:p>
      <w:pPr>
        <w:pStyle w:val="ListParagraph"/>
        <w:numPr>
          <w:ilvl w:val="0"/>
          <w:numId w:val="3"/>
        </w:numPr>
        <w:spacing w:after="100" w:line="280"/>
      </w:pPr>
      <w:r>
        <w:rPr>
          <w:rFonts w:ascii="Calibri" w:cs="Calibri" w:eastAsia="Calibri" w:hAnsi="Calibri"/>
          <w:color w:val="1A1A1A"/>
          <w:sz w:val="22"/>
          <w:szCs w:val="22"/>
        </w:rPr>
        <w:t xml:space="preserve">The mass-download detector correctly flags a simulated pre-departure download spike without flagging normal end-of-term activity.</w:t>
      </w:r>
    </w:p>
    <w:p>
      <w:pPr>
        <w:pStyle w:val="ListParagraph"/>
        <w:numPr>
          <w:ilvl w:val="0"/>
          <w:numId w:val="3"/>
        </w:numPr>
        <w:spacing w:after="100" w:line="280"/>
      </w:pPr>
      <w:r>
        <w:rPr>
          <w:rFonts w:ascii="Calibri" w:cs="Calibri" w:eastAsia="Calibri" w:hAnsi="Calibri"/>
          <w:color w:val="1A1A1A"/>
          <w:sz w:val="22"/>
          <w:szCs w:val="22"/>
        </w:rPr>
        <w:t xml:space="preserve">An external share produces a signed record that a third party can verify without the sharer’s cooperation.</w:t>
      </w:r>
    </w:p>
    <w:p>
      <w:pPr>
        <w:pStyle w:val="ListParagraph"/>
        <w:numPr>
          <w:ilvl w:val="0"/>
          <w:numId w:val="3"/>
        </w:numPr>
        <w:spacing w:after="100" w:line="280"/>
      </w:pPr>
      <w:r>
        <w:rPr>
          <w:rFonts w:ascii="Calibri" w:cs="Calibri" w:eastAsia="Calibri" w:hAnsi="Calibri"/>
          <w:color w:val="1A1A1A"/>
          <w:sz w:val="22"/>
          <w:szCs w:val="22"/>
        </w:rPr>
        <w:t xml:space="preserve">A deliberately altered log entry is detectably broken by the hash chain.</w:t>
      </w:r>
    </w:p>
    <w:p>
      <w:pPr>
        <w:pStyle w:val="ListParagraph"/>
        <w:numPr>
          <w:ilvl w:val="0"/>
          <w:numId w:val="3"/>
        </w:numPr>
        <w:spacing w:after="100" w:line="280"/>
      </w:pPr>
      <w:r>
        <w:rPr>
          <w:rFonts w:ascii="Calibri" w:cs="Calibri" w:eastAsia="Calibri" w:hAnsi="Calibri"/>
          <w:color w:val="1A1A1A"/>
          <w:sz w:val="22"/>
          <w:szCs w:val="22"/>
        </w:rPr>
        <w:t xml:space="preserve">A .sevr file whose key has been deleted after expiry is confirmed unopenable by the reference viewer, including a copy of the container that was never online after expiry.</w:t>
      </w:r>
    </w:p>
    <w:p>
      <w:pPr>
        <w:pStyle w:val="ListParagraph"/>
        <w:numPr>
          <w:ilvl w:val="0"/>
          <w:numId w:val="3"/>
        </w:numPr>
        <w:spacing w:after="100" w:line="280"/>
      </w:pPr>
      <w:r>
        <w:rPr>
          <w:rFonts w:ascii="Calibri" w:cs="Calibri" w:eastAsia="Calibri" w:hAnsi="Calibri"/>
          <w:color w:val="1A1A1A"/>
          <w:sz w:val="22"/>
          <w:szCs w:val="22"/>
        </w:rPr>
        <w:t xml:space="preserve">At least one genuine usability problem is identified and reported honestly, per student testing.</w:t>
      </w:r>
    </w:p>
    <w:p>
      <w:pPr>
        <w:pStyle w:val="Heading1"/>
        <w:pBdr>
          <w:bottom w:val="single" w:color="404040" w:sz="6" w:space="6"/>
        </w:pBdr>
        <w:spacing w:after="160" w:before="360"/>
      </w:pPr>
      <w:r>
        <w:t xml:space="preserve">13. Risks and Assumptions</w:t>
      </w:r>
    </w:p>
    <w:tbl>
      <w:tblPr>
        <w:tblW w:type="dxa" w:w="9200"/>
        <w:tblBorders>
          <w:top w:val="single" w:color="404040" w:sz="4"/>
          <w:left w:val="single" w:color="404040" w:sz="4"/>
          <w:bottom w:val="single" w:color="404040" w:sz="4"/>
          <w:right w:val="single" w:color="404040" w:sz="4"/>
          <w:insideH w:val="single" w:color="BFBFBF" w:sz="2"/>
          <w:insideV w:val="single" w:color="BFBFBF" w:sz="2"/>
        </w:tblBorders>
      </w:tblPr>
      <w:tblGrid>
        <w:gridCol w:w="3400"/>
        <w:gridCol w:w="5800"/>
      </w:tblGrid>
      <w:tr>
        <w:trPr>
          <w:tblHeader/>
        </w:trPr>
        <w:tc>
          <w:tcPr>
            <w:tcW w:type="dxa" w:w="34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Risk / assumption</w:t>
            </w:r>
          </w:p>
        </w:tc>
        <w:tc>
          <w:tcPr>
            <w:tcW w:type="dxa" w:w="5800"/>
            <w:shd w:fill="F2F2F2" w:val="clear"/>
            <w:tcMar>
              <w:top w:type="dxa" w:w="80"/>
              <w:left w:type="dxa" w:w="120"/>
              <w:bottom w:type="dxa" w:w="80"/>
              <w:right w:type="dxa" w:w="120"/>
            </w:tcMar>
            <w:vAlign w:val="center"/>
          </w:tcPr>
          <w:p>
            <w:pPr>
              <w:jc w:val="left"/>
            </w:pPr>
            <w:r>
              <w:rPr>
                <w:rFonts w:ascii="Calibri" w:cs="Calibri" w:eastAsia="Calibri" w:hAnsi="Calibri"/>
                <w:b/>
                <w:bCs/>
                <w:color w:val="1A1A1A"/>
                <w:sz w:val="20"/>
                <w:szCs w:val="20"/>
              </w:rPr>
              <w:t xml:space="preserve">Response</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Detection thresholds tuned on synthetic data may not generalise to real behaviour</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State this limitation explicitly; tune conservatively to favour fewer false alarms</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Users will attempt to bypass controls under deadline pressure</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Usability testing is treated as a required deliverable, not an afterthought</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Power and network outages are routine, not exceptional</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Nextcloud client offline sync is used; the charter states plainly that real-time detection has a delay window while offline</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 hardware security boundary is not being built</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“Enclave” in the project name refers to a logical, policy-defined access boundary, not hardware-isolated execution</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No production personal or institutional data is available</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All test data, including activity logs and sample research files, is synthetic or self-generated</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 .sevr file already decrypted and exported before expiry cannot be recalled</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Disclosed as a stated limitation, not claimed as covered; watermarking provides attribution for this case instead of prevention</w:t>
            </w:r>
          </w:p>
        </w:tc>
      </w:tr>
      <w:tr>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An offline grace period, if enabled, weakens real-time expiry enforcement</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Grace period is owner-configurable and disclosed at encode time rather than assumed</w:t>
            </w:r>
          </w:p>
        </w:tc>
      </w:tr>
    </w:tbl>
    <w:p>
      <w:pPr>
        <w:pStyle w:val="Heading1"/>
        <w:pBdr>
          <w:bottom w:val="single" w:color="404040" w:sz="6" w:space="6"/>
        </w:pBdr>
        <w:spacing w:after="160" w:before="360"/>
      </w:pPr>
      <w:r>
        <w:t xml:space="preserve">14. Limitations</w:t>
      </w:r>
    </w:p>
    <w:p>
      <w:pPr>
        <w:spacing w:after="200" w:line="300"/>
      </w:pPr>
      <w:r>
        <w:rPr>
          <w:rFonts w:ascii="Calibri" w:cs="Calibri" w:eastAsia="Calibri" w:hAnsi="Calibri"/>
          <w:i w:val="false"/>
          <w:iCs w:val="false"/>
          <w:color w:val="1A1A1A"/>
          <w:sz w:val="22"/>
          <w:szCs w:val="22"/>
        </w:rPr>
        <w:t xml:space="preserve">SeVR cannot prevent a user from photographing a screen, memorising content, or otherwise capturing information outside the digital layer it controls. The .sevr format follows the same boundary: it guarantees that a file becomes unopenable after its key is destroyed, not that every copy or export made before that point ceases to exist. SeVR does not replace an institution’s identity provider or research data repository, and it is not evaluated at production scale. Its value lies in narrowing the window and the group within which a leak can occur, and in making a leak, once it happens, attributable and provable rather than untraceable.</w:t>
      </w:r>
    </w:p>
    <w:p>
      <w:pPr>
        <w:pStyle w:val="Heading1"/>
        <w:pBdr>
          <w:bottom w:val="single" w:color="404040" w:sz="6" w:space="6"/>
        </w:pBdr>
        <w:spacing w:after="160" w:before="360"/>
      </w:pPr>
      <w:r>
        <w:t xml:space="preserve">14. References</w:t>
      </w:r>
    </w:p>
    <w:p>
      <w:pPr>
        <w:spacing w:after="100" w:line="300"/>
      </w:pPr>
      <w:r>
        <w:rPr>
          <w:rFonts w:ascii="Calibri" w:cs="Calibri" w:eastAsia="Calibri" w:hAnsi="Calibri"/>
          <w:i w:val="false"/>
          <w:iCs w:val="false"/>
          <w:color w:val="1A1A1A"/>
          <w:sz w:val="22"/>
          <w:szCs w:val="22"/>
        </w:rPr>
        <w:t xml:space="preserve">International Organization for Standardization. (2013). Information technology — Security techniques — Information security management systems — Requirements (ISO/IEC 27001:2013). ISO.</w:t>
      </w:r>
    </w:p>
    <w:p>
      <w:pPr>
        <w:spacing w:after="100" w:line="300"/>
      </w:pPr>
      <w:r>
        <w:rPr>
          <w:rFonts w:ascii="Calibri" w:cs="Calibri" w:eastAsia="Calibri" w:hAnsi="Calibri"/>
          <w:i w:val="false"/>
          <w:iCs w:val="false"/>
          <w:color w:val="1A1A1A"/>
          <w:sz w:val="22"/>
          <w:szCs w:val="22"/>
        </w:rPr>
        <w:t xml:space="preserve">International Organization for Standardization. (2022). Information security, cybersecurity and privacy protection — Information security controls (ISO/IEC 27002:2022). ISO.</w:t>
      </w:r>
    </w:p>
    <w:p>
      <w:pPr>
        <w:spacing w:after="100" w:line="300"/>
      </w:pPr>
      <w:r>
        <w:rPr>
          <w:rFonts w:ascii="Calibri" w:cs="Calibri" w:eastAsia="Calibri" w:hAnsi="Calibri"/>
          <w:i w:val="false"/>
          <w:iCs w:val="false"/>
          <w:color w:val="1A1A1A"/>
          <w:sz w:val="22"/>
          <w:szCs w:val="22"/>
        </w:rPr>
        <w:t xml:space="preserve">National Institute of Standards and Technology. (2020). Zero trust architecture (NIST Special Publication 800-207). U.S. Department of Commerce. https://doi.org/10.6028/NIST.SP.800-207</w:t>
      </w:r>
    </w:p>
    <w:p>
      <w:pPr>
        <w:spacing w:after="100" w:line="300"/>
      </w:pPr>
      <w:r>
        <w:rPr>
          <w:rFonts w:ascii="Calibri" w:cs="Calibri" w:eastAsia="Calibri" w:hAnsi="Calibri"/>
          <w:i w:val="false"/>
          <w:iCs w:val="false"/>
          <w:color w:val="1A1A1A"/>
          <w:sz w:val="22"/>
          <w:szCs w:val="22"/>
        </w:rPr>
        <w:t xml:space="preserve">National Institute of Standards and Technology. (2014). Guide to attribute based access control (ABAC) definition and considerations (NIST Special Publication 800-162). U.S. Department of Commerce.</w:t>
      </w:r>
    </w:p>
    <w:p>
      <w:pPr>
        <w:spacing w:after="100" w:line="300"/>
      </w:pPr>
      <w:r>
        <w:rPr>
          <w:rFonts w:ascii="Calibri" w:cs="Calibri" w:eastAsia="Calibri" w:hAnsi="Calibri"/>
          <w:i w:val="false"/>
          <w:iCs w:val="false"/>
          <w:color w:val="1A1A1A"/>
          <w:sz w:val="22"/>
          <w:szCs w:val="22"/>
        </w:rPr>
        <w:t xml:space="preserve">National Institute of Standards and Technology. (2024). Cybersecurity framework (CSF) 2.0. U.S. Department of Commerce.</w:t>
      </w:r>
    </w:p>
    <w:p>
      <w:pPr>
        <w:spacing w:after="100" w:line="300"/>
      </w:pPr>
      <w:r>
        <w:rPr>
          <w:rFonts w:ascii="Calibri" w:cs="Calibri" w:eastAsia="Calibri" w:hAnsi="Calibri"/>
          <w:i w:val="false"/>
          <w:iCs w:val="false"/>
          <w:color w:val="1A1A1A"/>
          <w:sz w:val="22"/>
          <w:szCs w:val="22"/>
        </w:rPr>
        <w:t xml:space="preserve">Nigeria Data Protection Commission. (2019). Nigeria Data Protection Regulation (NDPR).</w:t>
      </w:r>
    </w:p>
    <w:p>
      <w:pPr>
        <w:spacing w:after="100" w:line="300"/>
      </w:pPr>
      <w:r>
        <w:rPr>
          <w:rFonts w:ascii="Calibri" w:cs="Calibri" w:eastAsia="Calibri" w:hAnsi="Calibri"/>
          <w:i w:val="false"/>
          <w:iCs w:val="false"/>
          <w:color w:val="1A1A1A"/>
          <w:sz w:val="22"/>
          <w:szCs w:val="22"/>
        </w:rPr>
        <w:t xml:space="preserve">National Institute of Standards and Technology. (2014). Guidelines for media sanitization (NIST Special Publication 800-88, Revision 1). U.S. Department of Commerce.</w:t>
      </w:r>
    </w:p>
    <w:p>
      <w:pPr>
        <w:spacing w:after="100" w:line="300"/>
      </w:pPr>
      <w:r>
        <w:rPr>
          <w:rFonts w:ascii="Calibri" w:cs="Calibri" w:eastAsia="Calibri" w:hAnsi="Calibri"/>
          <w:i w:val="false"/>
          <w:iCs w:val="false"/>
          <w:color w:val="1A1A1A"/>
          <w:sz w:val="22"/>
          <w:szCs w:val="22"/>
        </w:rPr>
        <w:t xml:space="preserve">Perlman, R. (2005). The Ephemerizer: Making data disappear. Sun Microsystems Technical Report.</w:t>
      </w:r>
    </w:p>
    <w:p>
      <w:pPr>
        <w:spacing w:after="100" w:line="300"/>
      </w:pPr>
      <w:r>
        <w:rPr>
          <w:rFonts w:ascii="Calibri" w:cs="Calibri" w:eastAsia="Calibri" w:hAnsi="Calibri"/>
          <w:i w:val="false"/>
          <w:iCs w:val="false"/>
          <w:color w:val="1A1A1A"/>
          <w:sz w:val="22"/>
          <w:szCs w:val="22"/>
        </w:rPr>
        <w:t xml:space="preserve">Geambasu, R., Kohno, T., Levy, A., &amp; Levy, H. M. (2009). Vanish: Increasing data privacy with self-destructing data. In Proceedings of the 18th USENIX Security Symposium.</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SeVR 1.0 — Project Charter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SeVR 1.0 — Project Charter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2E3A46"/>
      <w:sz w:val="56"/>
      <w:szCs w:val="56"/>
    </w:rPr>
  </w:style>
  <w:style w:type="paragraph" w:styleId="Subtitle">
    <w:name w:val="Subtitle"/>
    <w:basedOn w:val="Normal"/>
    <w:next w:val="Normal"/>
    <w:pPr>
      <w:spacing w:after="400"/>
    </w:pPr>
    <w:rPr>
      <w:rFonts w:ascii="Calibri" w:cs="Calibri" w:eastAsia="Calibri" w:hAnsi="Calibri"/>
      <w:color w:val="595959"/>
      <w:sz w:val="26"/>
      <w:szCs w:val="26"/>
    </w:rPr>
  </w:style>
  <w:style w:type="paragraph" w:styleId="Heading1">
    <w:name w:val="Heading 1"/>
    <w:basedOn w:val="Normal"/>
    <w:next w:val="Normal"/>
    <w:pPr>
      <w:spacing w:after="160" w:before="360"/>
      <w:outlineLvl w:val="0"/>
    </w:pPr>
    <w:rPr>
      <w:rFonts w:ascii="Calibri" w:cs="Calibri" w:eastAsia="Calibri" w:hAnsi="Calibri"/>
      <w:b/>
      <w:bCs/>
      <w:color w:val="2E3A46"/>
      <w:sz w:val="28"/>
      <w:szCs w:val="28"/>
    </w:rPr>
  </w:style>
  <w:style w:type="paragraph" w:styleId="Heading2">
    <w:name w:val="Heading 2"/>
    <w:basedOn w:val="Normal"/>
    <w:next w:val="Normal"/>
    <w:pPr>
      <w:spacing w:after="120" w:before="260"/>
      <w:outlineLvl w:val="1"/>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2026-09-16T11:00:49.944Z</dcterms:created>
  <dcterms:modified xsi:type="dcterms:W3CDTF">2026-09-16T11:00:49.944Z</dcterms:modified>
</cp:coreProperties>
</file>

<file path=docProps/custom.xml><?xml version="1.0" encoding="utf-8"?>
<Properties xmlns="http://schemas.openxmlformats.org/officeDocument/2006/custom-properties" xmlns:vt="http://schemas.openxmlformats.org/officeDocument/2006/docPropsVTypes"/>
</file>