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rFonts w:ascii="Cambria" w:cs="Cambria" w:eastAsia="Cambria" w:hAnsi="Cambria"/>
          <w:color w:val="595959"/>
          <w:spacing w:val="40"/>
          <w:sz w:val="32"/>
          <w:szCs w:val="32"/>
        </w:rPr>
        <w:t xml:space="preserve">PRODUCT REQUIREMENTS DOCUMENT</w:t>
      </w:r>
    </w:p>
    <w:p>
      <w:pPr>
        <w:spacing w:after="120"/>
        <w:jc w:val="center"/>
      </w:pPr>
      <w:r>
        <w:rPr>
          <w:rFonts w:ascii="Cambria" w:cs="Cambria" w:eastAsia="Cambria" w:hAnsi="Cambria"/>
          <w:b/>
          <w:bCs/>
          <w:color w:val="2E3A46"/>
          <w:sz w:val="56"/>
          <w:szCs w:val="56"/>
        </w:rPr>
        <w:t xml:space="preserve">SeVR Platform</w:t>
      </w:r>
    </w:p>
    <w:p>
      <w:pPr>
        <w:spacing w:after="600"/>
        <w:jc w:val="center"/>
      </w:pPr>
      <w:r>
        <w:rPr>
          <w:rFonts w:ascii="Calibri" w:cs="Calibri" w:eastAsia="Calibri" w:hAnsi="Calibri"/>
          <w:color w:val="595959"/>
          <w:sz w:val="30"/>
          <w:szCs w:val="30"/>
        </w:rPr>
        <w:t xml:space="preserve">Scoped Enclave for Varsity Research — v1.0</w:t>
      </w:r>
    </w:p>
    <w:p>
      <w:pPr>
        <w:pBdr>
          <w:top w:val="single" w:color="404040" w:sz="4" w:space="12"/>
          <w:bottom w:val="single" w:color="404040" w:sz="4" w:space="12"/>
        </w:pBdr>
        <w:spacing w:after="200" w:before="200"/>
        <w:jc w:val="center"/>
      </w:pPr>
      <w:r>
        <w:rPr>
          <w:rFonts w:ascii="Calibri" w:cs="Calibri" w:eastAsia="Calibri" w:hAnsi="Calibri"/>
          <w:i/>
          <w:iCs/>
          <w:color w:val="595959"/>
          <w:sz w:val="22"/>
          <w:szCs w:val="22"/>
        </w:rPr>
        <w:t xml:space="preserve">What researchers and students can do on the platform, and how it decides what a file is allowed to become on its way out</w:t>
      </w:r>
    </w:p>
    <w:p>
      <w:pPr>
        <w:spacing w:before="1600"/>
      </w:pPr>
    </w:p>
    <w:p>
      <w:pPr>
        <w:spacing w:after="100"/>
        <w:jc w:val="center"/>
      </w:pPr>
      <w:r>
        <w:rPr>
          <w:rFonts w:ascii="Calibri" w:cs="Calibri" w:eastAsia="Calibri" w:hAnsi="Calibri"/>
          <w:color w:val="595959"/>
          <w:sz w:val="20"/>
          <w:szCs w:val="20"/>
        </w:rPr>
        <w:t xml:space="preserve">Companion to: SeVR 1.0 Project Charter</w:t>
      </w:r>
    </w:p>
    <w:p>
      <w:pPr>
        <w:spacing w:after="100"/>
        <w:jc w:val="center"/>
      </w:pPr>
      <w:r>
        <w:rPr>
          <w:rFonts w:ascii="Calibri" w:cs="Calibri" w:eastAsia="Calibri" w:hAnsi="Calibri"/>
          <w:color w:val="595959"/>
          <w:sz w:val="20"/>
          <w:szCs w:val="20"/>
        </w:rPr>
        <w:t xml:space="preserve">Prepared for: ICSC 2026 Universities Hackathon — Track F1</w:t>
      </w:r>
    </w:p>
    <w:p>
      <w:pPr>
        <w:spacing w:after="100"/>
        <w:jc w:val="center"/>
      </w:pPr>
      <w:r>
        <w:rPr>
          <w:rFonts w:ascii="Calibri" w:cs="Calibri" w:eastAsia="Calibri" w:hAnsi="Calibri"/>
          <w:color w:val="595959"/>
          <w:sz w:val="20"/>
          <w:szCs w:val="20"/>
        </w:rPr>
        <w:t xml:space="preserve">Prepared by: Jamil Muhammad Abdullahi — Bayero University Kano</w:t>
      </w:r>
    </w:p>
    <w:p>
      <w:pPr>
        <w:jc w:val="center"/>
      </w:pPr>
      <w:r>
        <w:rPr>
          <w:rFonts w:ascii="Calibri" w:cs="Calibri" w:eastAsia="Calibri" w:hAnsi="Calibri"/>
          <w:color w:val="595959"/>
          <w:sz w:val="20"/>
          <w:szCs w:val="20"/>
        </w:rPr>
        <w:t xml:space="preserve">Version 1.0 — September 2026</w:t>
      </w:r>
    </w:p>
    <w:p>
      <w:pPr>
        <w:sectPr>
          <w:pgSz w:w="12240" w:h="15840" w:orient="portrait"/>
          <w:pgMar w:top="1440" w:right="1440" w:bottom="1440" w:left="1440" w:header="708" w:footer="708" w:gutter="0"/>
          <w:pgNumType/>
          <w:docGrid w:linePitch="360"/>
        </w:sectPr>
      </w:pPr>
    </w:p>
    <w:p>
      <w:pPr>
        <w:pStyle w:val="Heading1"/>
        <w:pBdr>
          <w:bottom w:val="single" w:color="404040" w:sz="6" w:space="6"/>
        </w:pBdr>
        <w:spacing w:after="160" w:before="360"/>
      </w:pPr>
      <w:r>
        <w:t xml:space="preserve">Document Control</w:t>
      </w:r>
    </w:p>
    <w:tbl>
      <w:tblPr>
        <w:tblW w:type="dxa" w:w="9200"/>
        <w:tblBorders>
          <w:top w:val="single" w:color="404040" w:sz="4"/>
          <w:left w:val="single" w:color="404040" w:sz="4"/>
          <w:bottom w:val="single" w:color="404040" w:sz="4"/>
          <w:right w:val="single" w:color="404040" w:sz="4"/>
          <w:insideH w:val="single" w:color="BFBFBF" w:sz="2"/>
          <w:insideV w:val="single" w:color="BFBFBF" w:sz="2"/>
        </w:tblBorders>
      </w:tblPr>
      <w:tblGrid>
        <w:gridCol w:w="3200"/>
        <w:gridCol w:w="6000"/>
      </w:tblGrid>
      <w:tr>
        <w:trPr>
          <w:tblHeader/>
        </w:trPr>
        <w:tc>
          <w:tcPr>
            <w:tcW w:type="dxa" w:w="32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Field</w:t>
            </w:r>
          </w:p>
        </w:tc>
        <w:tc>
          <w:tcPr>
            <w:tcW w:type="dxa" w:w="60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Detail</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Document title</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SeVR Platform — Product Requirements Document</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Version</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1.0</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Status</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Draft — for review</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Related document</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SeVR 1.0 Project Charter (architecture, standards, .sevr container format)</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Prepared by</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Jamil Muhammad Abdullahi</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Institution</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Bayero University Kano</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Related challenge</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ICSC 2026 Universities Hackathon, Track F1 — Protecting University Research</w:t>
            </w:r>
          </w:p>
        </w:tc>
      </w:tr>
    </w:tbl>
    <w:p>
      <w:pPr>
        <w:spacing w:before="500"/>
      </w:pPr>
    </w:p>
    <w:p>
      <w:pPr>
        <w:pStyle w:val="Heading1"/>
        <w:pBdr>
          <w:bottom w:val="single" w:color="404040" w:sz="6" w:space="6"/>
        </w:pBdr>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Bdr>
          <w:bottom w:val="single" w:color="404040" w:sz="6" w:space="6"/>
        </w:pBdr>
        <w:spacing w:after="160" w:before="360"/>
      </w:pPr>
      <w:r>
        <w:t xml:space="preserve">1. Product Overview</w:t>
      </w:r>
    </w:p>
    <w:p>
      <w:pPr>
        <w:spacing w:after="200" w:line="300"/>
      </w:pPr>
      <w:r>
        <w:rPr>
          <w:rFonts w:ascii="Calibri" w:cs="Calibri" w:eastAsia="Calibri" w:hAnsi="Calibri"/>
          <w:i w:val="false"/>
          <w:iCs w:val="false"/>
          <w:color w:val="1A1A1A"/>
          <w:sz w:val="22"/>
          <w:szCs w:val="22"/>
        </w:rPr>
        <w:t xml:space="preserve">SeVR is a web platform on which university researchers and students upload, collaborate on, and eventually release work that must stay confidential until publication or filing. A file can be uploaded in whatever format it currently exists in — a manuscript draft, a raw dataset, a lab notebook export, a slide deck. From the moment it is uploaded, SeVR is the single point through which that file is viewed, shared internally, and eventually taken outside the platform, so that access, collaboration, and export are governed by one consistent set of rules rather than left to whichever tool a file happens to be sitting in.</w:t>
      </w:r>
    </w:p>
    <w:p>
      <w:pPr>
        <w:spacing w:after="200" w:line="300"/>
      </w:pPr>
      <w:r>
        <w:rPr>
          <w:rFonts w:ascii="Calibri" w:cs="Calibri" w:eastAsia="Calibri" w:hAnsi="Calibri"/>
          <w:i w:val="false"/>
          <w:iCs w:val="false"/>
          <w:color w:val="1A1A1A"/>
          <w:sz w:val="22"/>
          <w:szCs w:val="22"/>
        </w:rPr>
        <w:t xml:space="preserve">This document defines what a user can do on the platform (the action set), and specifies the logic SeVR uses when a file is exported or shared — its central, defining behaviour. Architecture, standards, and the .sevr container format are specified in the companion Project Charter and are referenced here, not repeated.</w:t>
      </w:r>
    </w:p>
    <w:p>
      <w:pPr>
        <w:pStyle w:val="Heading1"/>
        <w:pBdr>
          <w:bottom w:val="single" w:color="404040" w:sz="6" w:space="6"/>
        </w:pBdr>
        <w:spacing w:after="160" w:before="360"/>
      </w:pPr>
      <w:r>
        <w:t xml:space="preserve">2. User Roles and Permissions</w:t>
      </w:r>
    </w:p>
    <w:tbl>
      <w:tblPr>
        <w:tblW w:type="dxa" w:w="9200"/>
        <w:tblBorders>
          <w:top w:val="single" w:color="404040" w:sz="4"/>
          <w:left w:val="single" w:color="404040" w:sz="4"/>
          <w:bottom w:val="single" w:color="404040" w:sz="4"/>
          <w:right w:val="single" w:color="404040" w:sz="4"/>
          <w:insideH w:val="single" w:color="BFBFBF" w:sz="2"/>
          <w:insideV w:val="single" w:color="BFBFBF" w:sz="2"/>
        </w:tblBorders>
      </w:tblPr>
      <w:tblGrid>
        <w:gridCol w:w="2600"/>
        <w:gridCol w:w="3400"/>
        <w:gridCol w:w="3200"/>
      </w:tblGrid>
      <w:tr>
        <w:trPr>
          <w:tblHeader/>
        </w:trPr>
        <w:tc>
          <w:tcPr>
            <w:tcW w:type="dxa" w:w="26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Role</w:t>
            </w:r>
          </w:p>
        </w:tc>
        <w:tc>
          <w:tcPr>
            <w:tcW w:type="dxa" w:w="34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Can do</w:t>
            </w:r>
          </w:p>
        </w:tc>
        <w:tc>
          <w:tcPr>
            <w:tcW w:type="dxa" w:w="32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Cannot do</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Researcher / Student (project member)</w:t>
            </w:r>
          </w:p>
        </w:tc>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Upload, view, edit, and internally share files within their project; request external export</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Change another member’s role; alter TLP labels set by the owner without approval</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Supervisor / Principal Investigator (project owner)</w:t>
            </w:r>
          </w:p>
        </w:tc>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Everything a member can do, plus: set and override TLP labels (subject to the RED floor in Section 5), approve or deny external export, add or remove project members</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Override a RED label; suppress or delete the audit trail</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External Collaborator</w:t>
            </w:r>
          </w:p>
        </w:tc>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View or edit only the specific file(s) explicitly shared with them, for the duration of the share</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Browse the project, see other files, or reshare without a new signed record</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Institution Admin</w:t>
            </w:r>
          </w:p>
        </w:tc>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View project membership and audit trail across the institution for compliance purposes; cannot open file contents</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Read file contents; alter TLP labels or override export decisions</w:t>
            </w:r>
          </w:p>
        </w:tc>
      </w:tr>
    </w:tbl>
    <w:p>
      <w:pPr>
        <w:pStyle w:val="Heading1"/>
        <w:pBdr>
          <w:bottom w:val="single" w:color="404040" w:sz="6" w:space="6"/>
        </w:pBdr>
        <w:spacing w:after="160" w:before="360"/>
      </w:pPr>
      <w:r>
        <w:t xml:space="preserve">3. Core User Flow</w:t>
      </w:r>
    </w:p>
    <w:p>
      <w:pPr>
        <w:pStyle w:val="ListParagraph"/>
        <w:numPr>
          <w:ilvl w:val="0"/>
          <w:numId w:val="2"/>
        </w:numPr>
        <w:spacing w:after="100" w:line="280"/>
      </w:pPr>
      <w:r>
        <w:rPr>
          <w:rFonts w:ascii="Calibri" w:cs="Calibri" w:eastAsia="Calibri" w:hAnsi="Calibri"/>
          <w:color w:val="1A1A1A"/>
          <w:sz w:val="22"/>
          <w:szCs w:val="22"/>
        </w:rPr>
        <w:t xml:space="preserve">Upload — a project member uploads a file in its native format. SeVR accepts any file type; it does not require conversion at upload time.</w:t>
      </w:r>
    </w:p>
    <w:p>
      <w:pPr>
        <w:pStyle w:val="ListParagraph"/>
        <w:numPr>
          <w:ilvl w:val="0"/>
          <w:numId w:val="2"/>
        </w:numPr>
        <w:spacing w:after="100" w:line="280"/>
      </w:pPr>
      <w:r>
        <w:rPr>
          <w:rFonts w:ascii="Calibri" w:cs="Calibri" w:eastAsia="Calibri" w:hAnsi="Calibri"/>
          <w:color w:val="1A1A1A"/>
          <w:sz w:val="22"/>
          <w:szCs w:val="22"/>
        </w:rPr>
        <w:t xml:space="preserve">Classify — the uploader or supervisor assigns a Traffic Light Protocol (TLP) label to the file, describing how far it is allowed to travel. A sensible default is suggested based on file type and project setting, but the label is always confirmed by a human, never assumed silently.</w:t>
      </w:r>
    </w:p>
    <w:p>
      <w:pPr>
        <w:pStyle w:val="ListParagraph"/>
        <w:numPr>
          <w:ilvl w:val="0"/>
          <w:numId w:val="2"/>
        </w:numPr>
        <w:spacing w:after="100" w:line="280"/>
      </w:pPr>
      <w:r>
        <w:rPr>
          <w:rFonts w:ascii="Calibri" w:cs="Calibri" w:eastAsia="Calibri" w:hAnsi="Calibri"/>
          <w:color w:val="1A1A1A"/>
          <w:sz w:val="22"/>
          <w:szCs w:val="22"/>
        </w:rPr>
        <w:t xml:space="preserve">Collaborate — project members view, comment on, and edit the file within their scoped access, per the vault and access-control model defined in the Charter (Section 7.1).</w:t>
      </w:r>
    </w:p>
    <w:p>
      <w:pPr>
        <w:pStyle w:val="ListParagraph"/>
        <w:numPr>
          <w:ilvl w:val="0"/>
          <w:numId w:val="2"/>
        </w:numPr>
        <w:spacing w:after="100" w:line="280"/>
      </w:pPr>
      <w:r>
        <w:rPr>
          <w:rFonts w:ascii="Calibri" w:cs="Calibri" w:eastAsia="Calibri" w:hAnsi="Calibri"/>
          <w:color w:val="1A1A1A"/>
          <w:sz w:val="22"/>
          <w:szCs w:val="22"/>
        </w:rPr>
        <w:t xml:space="preserve">Request export or share — a member requests to take the file outside the platform (download to device) or share it with an external collaborator.</w:t>
      </w:r>
    </w:p>
    <w:p>
      <w:pPr>
        <w:pStyle w:val="ListParagraph"/>
        <w:numPr>
          <w:ilvl w:val="0"/>
          <w:numId w:val="2"/>
        </w:numPr>
        <w:spacing w:after="100" w:line="280"/>
      </w:pPr>
      <w:r>
        <w:rPr>
          <w:rFonts w:ascii="Calibri" w:cs="Calibri" w:eastAsia="Calibri" w:hAnsi="Calibri"/>
          <w:color w:val="1A1A1A"/>
          <w:sz w:val="22"/>
          <w:szCs w:val="22"/>
        </w:rPr>
        <w:t xml:space="preserve">Portability decision — the Export &amp; Portability Handler (Section 5) evaluates the request against the file’s TLP label and any supervisor override, and returns either the native file or a .sevr container.</w:t>
      </w:r>
    </w:p>
    <w:p>
      <w:pPr>
        <w:pStyle w:val="ListParagraph"/>
        <w:numPr>
          <w:ilvl w:val="0"/>
          <w:numId w:val="2"/>
        </w:numPr>
        <w:spacing w:after="100" w:line="280"/>
      </w:pPr>
      <w:r>
        <w:rPr>
          <w:rFonts w:ascii="Calibri" w:cs="Calibri" w:eastAsia="Calibri" w:hAnsi="Calibri"/>
          <w:color w:val="1A1A1A"/>
          <w:sz w:val="22"/>
          <w:szCs w:val="22"/>
        </w:rPr>
        <w:t xml:space="preserve">Notify and record — the file owner is notified of the export or share, and the action is written to the audit trail (Section 6), regardless of which outcome was returned.</w:t>
      </w:r>
    </w:p>
    <w:p>
      <w:pPr>
        <w:pStyle w:val="Heading1"/>
        <w:pBdr>
          <w:bottom w:val="single" w:color="404040" w:sz="6" w:space="6"/>
        </w:pBdr>
        <w:spacing w:after="160" w:before="360"/>
      </w:pPr>
      <w:r>
        <w:t xml:space="preserve">4. Feature Matrix</w:t>
      </w:r>
    </w:p>
    <w:p>
      <w:pPr>
        <w:pStyle w:val="Heading2"/>
        <w:spacing w:after="100" w:before="200"/>
      </w:pPr>
      <w:r>
        <w:t xml:space="preserve">4.1 Access and collaboration features</w:t>
      </w:r>
    </w:p>
    <w:tbl>
      <w:tblPr>
        <w:tblW w:type="dxa" w:w="9200"/>
        <w:tblBorders>
          <w:top w:val="single" w:color="404040" w:sz="4"/>
          <w:left w:val="single" w:color="404040" w:sz="4"/>
          <w:bottom w:val="single" w:color="404040" w:sz="4"/>
          <w:right w:val="single" w:color="404040" w:sz="4"/>
          <w:insideH w:val="single" w:color="BFBFBF" w:sz="2"/>
          <w:insideV w:val="single" w:color="BFBFBF" w:sz="2"/>
        </w:tblBorders>
      </w:tblPr>
      <w:tblGrid>
        <w:gridCol w:w="3400"/>
        <w:gridCol w:w="5800"/>
      </w:tblGrid>
      <w:tr>
        <w:trPr>
          <w:tblHeader/>
        </w:trPr>
        <w:tc>
          <w:tcPr>
            <w:tcW w:type="dxa" w:w="34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Feature</w:t>
            </w:r>
          </w:p>
        </w:tc>
        <w:tc>
          <w:tcPr>
            <w:tcW w:type="dxa" w:w="58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Description</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Project workspace</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Groups files, members, and activity under one project; membership determines access, per Charter Section 7.1</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Role assignment</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Owner assigns Researcher/Student or Supervisor roles within a project</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Shared viewing and comment</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Members view and annotate files without downloading a local copy</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Co-edit session</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Members work on a document within the platform; changes are versioned automatically</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Automatic access expiry</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Access is revoked the moment a member is marked as no longer part of the project, with no manual IT step required</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Activity feed</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Per-project feed of uploads, edits, shares, and access changes, visible to members</w:t>
            </w:r>
          </w:p>
        </w:tc>
      </w:tr>
    </w:tbl>
    <w:p>
      <w:pPr>
        <w:pStyle w:val="Heading2"/>
        <w:spacing w:after="100" w:before="200"/>
      </w:pPr>
      <w:r>
        <w:t xml:space="preserve">4.2 Core platform features</w:t>
      </w:r>
    </w:p>
    <w:tbl>
      <w:tblPr>
        <w:tblW w:type="dxa" w:w="9200"/>
        <w:tblBorders>
          <w:top w:val="single" w:color="404040" w:sz="4"/>
          <w:left w:val="single" w:color="404040" w:sz="4"/>
          <w:bottom w:val="single" w:color="404040" w:sz="4"/>
          <w:right w:val="single" w:color="404040" w:sz="4"/>
          <w:insideH w:val="single" w:color="BFBFBF" w:sz="2"/>
          <w:insideV w:val="single" w:color="BFBFBF" w:sz="2"/>
        </w:tblBorders>
      </w:tblPr>
      <w:tblGrid>
        <w:gridCol w:w="3400"/>
        <w:gridCol w:w="5800"/>
      </w:tblGrid>
      <w:tr>
        <w:trPr>
          <w:tblHeader/>
        </w:trPr>
        <w:tc>
          <w:tcPr>
            <w:tcW w:type="dxa" w:w="34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Feature</w:t>
            </w:r>
          </w:p>
        </w:tc>
        <w:tc>
          <w:tcPr>
            <w:tcW w:type="dxa" w:w="58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Description</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Any-format upload</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Accepts any file type without requiring pre-conversion</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TLP classification</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Owner or supervisor labels each file’s sensitivity; label can be changed later by the owner within the rules in Section 5</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Version history</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Every saved change is retained and viewable, per Charter Section 7.1</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Leak detection</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Behavioural detectors for pre-departure mass download and external-domain transfer, per Charter Section 7.2</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Export &amp; Portability Handler</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Central logic deciding native export vs. forced .sevr conversion; see Section 5</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Controlled external sharing</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Time-boxed, revocable, signed share links, per Charter Section 7.3</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Per-copy watermarking</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Invisible or visible marking applied to exported copies for attribution, per Charter Section 7</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Audit trail</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Hash-chained, tamper-evident log of every access, share, export, and alert, per Charter Section 7.4</w:t>
            </w:r>
          </w:p>
        </w:tc>
      </w:tr>
    </w:tbl>
    <w:p>
      <w:pPr>
        <w:pStyle w:val="Heading1"/>
        <w:pBdr>
          <w:bottom w:val="single" w:color="404040" w:sz="6" w:space="6"/>
        </w:pBdr>
        <w:spacing w:after="160" w:before="360"/>
      </w:pPr>
      <w:r>
        <w:t xml:space="preserve">5. The Export and Portability Handler</w:t>
      </w:r>
    </w:p>
    <w:p>
      <w:pPr>
        <w:spacing w:after="200" w:line="300"/>
      </w:pPr>
      <w:r>
        <w:rPr>
          <w:rFonts w:ascii="Calibri" w:cs="Calibri" w:eastAsia="Calibri" w:hAnsi="Calibri"/>
          <w:i w:val="false"/>
          <w:iCs w:val="false"/>
          <w:color w:val="1A1A1A"/>
          <w:sz w:val="22"/>
          <w:szCs w:val="22"/>
        </w:rPr>
        <w:t xml:space="preserve">This is the platform’s central control point. Every file leaving SeVR — whether downloaded by a member or sent to an external collaborator — passes through this handler. It decides one thing: does the file leave in its native format, or as a .sevr container (Charter Section 8)? The decision is never made by the exporting user.</w:t>
      </w:r>
    </w:p>
    <w:p>
      <w:pPr>
        <w:pStyle w:val="Heading2"/>
        <w:spacing w:after="100" w:before="200"/>
      </w:pPr>
      <w:r>
        <w:t xml:space="preserve">5.1 Decision logic</w:t>
      </w:r>
    </w:p>
    <w:p>
      <w:pPr>
        <w:spacing w:after="200" w:line="300"/>
      </w:pPr>
      <w:r>
        <w:rPr>
          <w:rFonts w:ascii="Calibri" w:cs="Calibri" w:eastAsia="Calibri" w:hAnsi="Calibri"/>
          <w:i w:val="false"/>
          <w:iCs w:val="false"/>
          <w:color w:val="1A1A1A"/>
          <w:sz w:val="22"/>
          <w:szCs w:val="22"/>
        </w:rPr>
        <w:t xml:space="preserve">The file’s TLP label sets the default outcome. The project owner or supervisor may loosen that default for a specific export, with one fixed exception: a RED label can never be overridden. This keeps the classification meaningful — RED always means RED — while allowing legitimate judgement calls at the lower tiers, such as sharing an AMBER draft with a patent attorney under a signed, time-boxed exception.</w:t>
      </w:r>
    </w:p>
    <w:tbl>
      <w:tblPr>
        <w:tblW w:type="dxa" w:w="9200"/>
        <w:tblBorders>
          <w:top w:val="single" w:color="404040" w:sz="4"/>
          <w:left w:val="single" w:color="404040" w:sz="4"/>
          <w:bottom w:val="single" w:color="404040" w:sz="4"/>
          <w:right w:val="single" w:color="404040" w:sz="4"/>
          <w:insideH w:val="single" w:color="BFBFBF" w:sz="2"/>
          <w:insideV w:val="single" w:color="BFBFBF" w:sz="2"/>
        </w:tblBorders>
      </w:tblPr>
      <w:tblGrid>
        <w:gridCol w:w="1600"/>
        <w:gridCol w:w="2600"/>
        <w:gridCol w:w="2600"/>
        <w:gridCol w:w="2400"/>
      </w:tblGrid>
      <w:tr>
        <w:trPr>
          <w:tblHeader/>
        </w:trPr>
        <w:tc>
          <w:tcPr>
            <w:tcW w:type="dxa" w:w="16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TLP label</w:t>
            </w:r>
          </w:p>
        </w:tc>
        <w:tc>
          <w:tcPr>
            <w:tcW w:type="dxa" w:w="26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Default export behaviour</w:t>
            </w:r>
          </w:p>
        </w:tc>
        <w:tc>
          <w:tcPr>
            <w:tcW w:type="dxa" w:w="26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Supervisor override</w:t>
            </w:r>
          </w:p>
        </w:tc>
        <w:tc>
          <w:tcPr>
            <w:tcW w:type="dxa" w:w="24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Rationale</w:t>
            </w:r>
          </w:p>
        </w:tc>
      </w:tr>
      <w:tr>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WHITE</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Native format, freely exportable</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May restrict further if circumstances change</w:t>
            </w:r>
          </w:p>
        </w:tc>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 confidentiality requirement</w:t>
            </w:r>
          </w:p>
        </w:tc>
      </w:tr>
      <w:tr>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GREEN</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Native format within the institution; .sevr for anything leaving it</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May approve native export to a named external recipient</w:t>
            </w:r>
          </w:p>
        </w:tc>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Internal collaboration content; external release should stay traceable</w:t>
            </w:r>
          </w:p>
        </w:tc>
      </w:tr>
      <w:tr>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AMBER</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.sevr required by default</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May approve native export to a specific, named recipient for a defined window</w:t>
            </w:r>
          </w:p>
        </w:tc>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Sensitive pre-publication material; owner judgement needed for legitimate exceptions</w:t>
            </w:r>
          </w:p>
        </w:tc>
      </w:tr>
      <w:tr>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RED</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.sevr required, no exceptions</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None — hard floor</w:t>
            </w:r>
          </w:p>
        </w:tc>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Reserved for material whose premature exposure causes irreversible harm: unfiled patents, unpublished primary datasets</w:t>
            </w:r>
          </w:p>
        </w:tc>
      </w:tr>
    </w:tbl>
    <w:p>
      <w:pPr>
        <w:pStyle w:val="Heading2"/>
        <w:spacing w:after="100" w:before="200"/>
      </w:pPr>
      <w:r>
        <w:t xml:space="preserve">5.2 What the requester sees</w:t>
      </w:r>
    </w:p>
    <w:p>
      <w:pPr>
        <w:spacing w:after="200" w:line="300"/>
      </w:pPr>
      <w:r>
        <w:rPr>
          <w:rFonts w:ascii="Calibri" w:cs="Calibri" w:eastAsia="Calibri" w:hAnsi="Calibri"/>
          <w:i w:val="false"/>
          <w:iCs w:val="false"/>
          <w:color w:val="1A1A1A"/>
          <w:sz w:val="22"/>
          <w:szCs w:val="22"/>
        </w:rPr>
        <w:t xml:space="preserve">When a file is forced into .sevr form, the requester is shown a plain-language reason — the TLP label and, where relevant, the fact that no override is possible — rather than a silent substitution. This mirrors the Charter’s requirement (Section 4, objective 4) that every automated decision be explainable in a sentence a non-technical person can understand.</w:t>
      </w:r>
    </w:p>
    <w:p>
      <w:pPr>
        <w:pStyle w:val="Heading1"/>
        <w:pBdr>
          <w:bottom w:val="single" w:color="404040" w:sz="6" w:space="6"/>
        </w:pBdr>
        <w:spacing w:after="160" w:before="360"/>
      </w:pPr>
      <w:r>
        <w:t xml:space="preserve">6. Sharing and Notification</w:t>
      </w:r>
    </w:p>
    <w:p>
      <w:pPr>
        <w:spacing w:after="200" w:line="300"/>
      </w:pPr>
      <w:r>
        <w:rPr>
          <w:rFonts w:ascii="Calibri" w:cs="Calibri" w:eastAsia="Calibri" w:hAnsi="Calibri"/>
          <w:i w:val="false"/>
          <w:iCs w:val="false"/>
          <w:color w:val="1A1A1A"/>
          <w:sz w:val="22"/>
          <w:szCs w:val="22"/>
        </w:rPr>
        <w:t xml:space="preserve">Every export or share, in either format, triggers two things: a notification to the file owner, and an entry in the project’s audit trail. Neither is optional or silenced by the outcome of Section 5—a native export is recorded exactly as visibly as a .sevr conversion.</w:t>
      </w:r>
    </w:p>
    <w:p>
      <w:pPr>
        <w:pStyle w:val="ListParagraph"/>
        <w:numPr>
          <w:ilvl w:val="0"/>
          <w:numId w:val="3"/>
        </w:numPr>
        <w:spacing w:after="100" w:line="280"/>
      </w:pPr>
      <w:r>
        <w:rPr>
          <w:rFonts w:ascii="Calibri" w:cs="Calibri" w:eastAsia="Calibri" w:hAnsi="Calibri"/>
          <w:color w:val="1A1A1A"/>
          <w:sz w:val="22"/>
          <w:szCs w:val="22"/>
        </w:rPr>
        <w:t xml:space="preserve">Notification — the owner sees who requested the export or share, what was requested, and which outcome (native or .sevr) was returned.</w:t>
      </w:r>
    </w:p>
    <w:p>
      <w:pPr>
        <w:pStyle w:val="ListParagraph"/>
        <w:numPr>
          <w:ilvl w:val="0"/>
          <w:numId w:val="3"/>
        </w:numPr>
        <w:spacing w:after="100" w:line="280"/>
      </w:pPr>
      <w:r>
        <w:rPr>
          <w:rFonts w:ascii="Calibri" w:cs="Calibri" w:eastAsia="Calibri" w:hAnsi="Calibri"/>
          <w:color w:val="1A1A1A"/>
          <w:sz w:val="22"/>
          <w:szCs w:val="22"/>
        </w:rPr>
        <w:t xml:space="preserve">Audit entry — recorded in the hash-chained log defined in Charter Section 7.4, capturing requester identity, file, TLP label at time of request, outcome, and (for external shares) recipient and expiry.</w:t>
      </w:r>
    </w:p>
    <w:p>
      <w:pPr>
        <w:pStyle w:val="ListParagraph"/>
        <w:numPr>
          <w:ilvl w:val="0"/>
          <w:numId w:val="3"/>
        </w:numPr>
        <w:spacing w:after="100" w:line="280"/>
      </w:pPr>
      <w:r>
        <w:rPr>
          <w:rFonts w:ascii="Calibri" w:cs="Calibri" w:eastAsia="Calibri" w:hAnsi="Calibri"/>
          <w:color w:val="1A1A1A"/>
          <w:sz w:val="22"/>
          <w:szCs w:val="22"/>
        </w:rPr>
        <w:t xml:space="preserve">Recipient-side record — for external shares, the signed share record described in Charter Section 7.3 accompanies the file, so the terms of sharing travel with it.</w:t>
      </w:r>
    </w:p>
    <w:p>
      <w:pPr>
        <w:pStyle w:val="Heading1"/>
        <w:pBdr>
          <w:bottom w:val="single" w:color="404040" w:sz="6" w:space="6"/>
        </w:pBdr>
        <w:spacing w:after="160" w:before="360"/>
      </w:pPr>
      <w:r>
        <w:t xml:space="preserve">7. Non-Functional Requirements</w:t>
      </w:r>
    </w:p>
    <w:p>
      <w:pPr>
        <w:pStyle w:val="ListParagraph"/>
        <w:numPr>
          <w:ilvl w:val="0"/>
          <w:numId w:val="4"/>
        </w:numPr>
        <w:spacing w:after="100" w:line="280"/>
      </w:pPr>
      <w:r>
        <w:rPr>
          <w:rFonts w:ascii="Calibri" w:cs="Calibri" w:eastAsia="Calibri" w:hAnsi="Calibri"/>
          <w:color w:val="1A1A1A"/>
          <w:sz w:val="22"/>
          <w:szCs w:val="22"/>
        </w:rPr>
        <w:t xml:space="preserve">Upload of any file type up to a defined size limit must succeed without requiring the user to pre-convert or rename the file.</w:t>
      </w:r>
    </w:p>
    <w:p>
      <w:pPr>
        <w:pStyle w:val="ListParagraph"/>
        <w:numPr>
          <w:ilvl w:val="0"/>
          <w:numId w:val="4"/>
        </w:numPr>
        <w:spacing w:after="100" w:line="280"/>
      </w:pPr>
      <w:r>
        <w:rPr>
          <w:rFonts w:ascii="Calibri" w:cs="Calibri" w:eastAsia="Calibri" w:hAnsi="Calibri"/>
          <w:color w:val="1A1A1A"/>
          <w:sz w:val="22"/>
          <w:szCs w:val="22"/>
        </w:rPr>
        <w:t xml:space="preserve">The portability decision (Section 5) must return a result to the user within a few seconds of an export request.</w:t>
      </w:r>
    </w:p>
    <w:p>
      <w:pPr>
        <w:pStyle w:val="ListParagraph"/>
        <w:numPr>
          <w:ilvl w:val="0"/>
          <w:numId w:val="4"/>
        </w:numPr>
        <w:spacing w:after="100" w:line="280"/>
      </w:pPr>
      <w:r>
        <w:rPr>
          <w:rFonts w:ascii="Calibri" w:cs="Calibri" w:eastAsia="Calibri" w:hAnsi="Calibri"/>
          <w:color w:val="1A1A1A"/>
          <w:sz w:val="22"/>
          <w:szCs w:val="22"/>
        </w:rPr>
        <w:t xml:space="preserve">Access revocation on project departure must take effect immediately, not on a delayed schedule.</w:t>
      </w:r>
    </w:p>
    <w:p>
      <w:pPr>
        <w:pStyle w:val="ListParagraph"/>
        <w:numPr>
          <w:ilvl w:val="0"/>
          <w:numId w:val="4"/>
        </w:numPr>
        <w:spacing w:after="100" w:line="280"/>
      </w:pPr>
      <w:r>
        <w:rPr>
          <w:rFonts w:ascii="Calibri" w:cs="Calibri" w:eastAsia="Calibri" w:hAnsi="Calibri"/>
          <w:color w:val="1A1A1A"/>
          <w:sz w:val="22"/>
          <w:szCs w:val="22"/>
        </w:rPr>
        <w:t xml:space="preserve">The platform must degrade predictably during a power or network outage: locally cached files remain viewable, but new exports, shares, and TLP-label changes queue until connectivity returns, consistent with the Charter’s offline posture (Section 12).</w:t>
      </w:r>
    </w:p>
    <w:p>
      <w:pPr>
        <w:pStyle w:val="ListParagraph"/>
        <w:numPr>
          <w:ilvl w:val="0"/>
          <w:numId w:val="4"/>
        </w:numPr>
        <w:spacing w:after="100" w:line="280"/>
      </w:pPr>
      <w:r>
        <w:rPr>
          <w:rFonts w:ascii="Calibri" w:cs="Calibri" w:eastAsia="Calibri" w:hAnsi="Calibri"/>
          <w:color w:val="1A1A1A"/>
          <w:sz w:val="22"/>
          <w:szCs w:val="22"/>
        </w:rPr>
        <w:t xml:space="preserve">No plaintext copy of a file is ever written outside the vault or the requester’s final download location; intermediate processing (classification, watermarking, .sevr encoding) happens in memory.</w:t>
      </w:r>
    </w:p>
    <w:p>
      <w:pPr>
        <w:pStyle w:val="Heading1"/>
        <w:pBdr>
          <w:bottom w:val="single" w:color="404040" w:sz="6" w:space="6"/>
        </w:pBdr>
        <w:spacing w:after="160" w:before="360"/>
      </w:pPr>
      <w:r>
        <w:t xml:space="preserve">8. Out of Scope</w:t>
      </w:r>
    </w:p>
    <w:p>
      <w:pPr>
        <w:pStyle w:val="ListParagraph"/>
        <w:numPr>
          <w:ilvl w:val="0"/>
          <w:numId w:val="3"/>
        </w:numPr>
        <w:spacing w:after="100" w:line="280"/>
      </w:pPr>
      <w:r>
        <w:rPr>
          <w:rFonts w:ascii="Calibri" w:cs="Calibri" w:eastAsia="Calibri" w:hAnsi="Calibri"/>
          <w:color w:val="1A1A1A"/>
          <w:sz w:val="22"/>
          <w:szCs w:val="22"/>
        </w:rPr>
        <w:t xml:space="preserve">Editing files in third-party desktop applications with live sync back to SeVR — v1.0 assumes edits happen within the platform or via re-upload.</w:t>
      </w:r>
    </w:p>
    <w:p>
      <w:pPr>
        <w:pStyle w:val="ListParagraph"/>
        <w:numPr>
          <w:ilvl w:val="0"/>
          <w:numId w:val="3"/>
        </w:numPr>
        <w:spacing w:after="100" w:line="280"/>
      </w:pPr>
      <w:r>
        <w:rPr>
          <w:rFonts w:ascii="Calibri" w:cs="Calibri" w:eastAsia="Calibri" w:hAnsi="Calibri"/>
          <w:color w:val="1A1A1A"/>
          <w:sz w:val="22"/>
          <w:szCs w:val="22"/>
        </w:rPr>
        <w:t xml:space="preserve">Automatic TLP classification without human confirmation.</w:t>
      </w:r>
    </w:p>
    <w:p>
      <w:pPr>
        <w:pStyle w:val="ListParagraph"/>
        <w:numPr>
          <w:ilvl w:val="0"/>
          <w:numId w:val="3"/>
        </w:numPr>
        <w:spacing w:after="100" w:line="280"/>
      </w:pPr>
      <w:r>
        <w:rPr>
          <w:rFonts w:ascii="Calibri" w:cs="Calibri" w:eastAsia="Calibri" w:hAnsi="Calibri"/>
          <w:color w:val="1A1A1A"/>
          <w:sz w:val="22"/>
          <w:szCs w:val="22"/>
        </w:rPr>
        <w:t xml:space="preserve">Mobile native applications; v1.0 targets a web platform.</w:t>
      </w:r>
    </w:p>
    <w:p>
      <w:pPr>
        <w:pStyle w:val="ListParagraph"/>
        <w:numPr>
          <w:ilvl w:val="0"/>
          <w:numId w:val="3"/>
        </w:numPr>
        <w:spacing w:after="100" w:line="280"/>
      </w:pPr>
      <w:r>
        <w:rPr>
          <w:rFonts w:ascii="Calibri" w:cs="Calibri" w:eastAsia="Calibri" w:hAnsi="Calibri"/>
          <w:color w:val="1A1A1A"/>
          <w:sz w:val="22"/>
          <w:szCs w:val="22"/>
        </w:rPr>
        <w:t xml:space="preserve">Legal enforceability of the external-share terms in a specific jurisdiction, as already noted in the Charter.</w:t>
      </w:r>
    </w:p>
    <w:p>
      <w:pPr>
        <w:pStyle w:val="Heading1"/>
        <w:pBdr>
          <w:bottom w:val="single" w:color="404040" w:sz="6" w:space="6"/>
        </w:pBdr>
        <w:spacing w:after="160" w:before="360"/>
      </w:pPr>
      <w:r>
        <w:t xml:space="preserve">9. Open Questions</w:t>
      </w:r>
    </w:p>
    <w:p>
      <w:pPr>
        <w:pStyle w:val="ListParagraph"/>
        <w:numPr>
          <w:ilvl w:val="0"/>
          <w:numId w:val="3"/>
        </w:numPr>
        <w:spacing w:after="100" w:line="280"/>
      </w:pPr>
      <w:r>
        <w:rPr>
          <w:rFonts w:ascii="Calibri" w:cs="Calibri" w:eastAsia="Calibri" w:hAnsi="Calibri"/>
          <w:color w:val="1A1A1A"/>
          <w:sz w:val="22"/>
          <w:szCs w:val="22"/>
        </w:rPr>
        <w:t xml:space="preserve">Default TLP label suggestion: which file-type and project-setting signals should inform the suggested label shown at upload?</w:t>
      </w:r>
    </w:p>
    <w:p>
      <w:pPr>
        <w:pStyle w:val="ListParagraph"/>
        <w:numPr>
          <w:ilvl w:val="0"/>
          <w:numId w:val="3"/>
        </w:numPr>
        <w:spacing w:after="100" w:line="280"/>
      </w:pPr>
      <w:r>
        <w:rPr>
          <w:rFonts w:ascii="Calibri" w:cs="Calibri" w:eastAsia="Calibri" w:hAnsi="Calibri"/>
          <w:color w:val="1A1A1A"/>
          <w:sz w:val="22"/>
          <w:szCs w:val="22"/>
        </w:rPr>
        <w:t xml:space="preserve">Size limit for any-format upload, given the free-tooling and normal-laptop constraint stated in the hackathon rules.</w:t>
      </w:r>
    </w:p>
    <w:p>
      <w:pPr>
        <w:pStyle w:val="ListParagraph"/>
        <w:numPr>
          <w:ilvl w:val="0"/>
          <w:numId w:val="3"/>
        </w:numPr>
        <w:spacing w:after="100" w:line="280"/>
      </w:pPr>
      <w:r>
        <w:rPr>
          <w:rFonts w:ascii="Calibri" w:cs="Calibri" w:eastAsia="Calibri" w:hAnsi="Calibri"/>
          <w:color w:val="1A1A1A"/>
          <w:sz w:val="22"/>
          <w:szCs w:val="22"/>
        </w:rPr>
        <w:t xml:space="preserve">Whether Institution Admin visibility into the audit trail should be project-wide or limited to flagged incidents only.</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SeVR Platform — Product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SeVR Platform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2E3A46"/>
      <w:sz w:val="56"/>
      <w:szCs w:val="56"/>
    </w:rPr>
  </w:style>
  <w:style w:type="paragraph" w:styleId="Subtitle">
    <w:name w:val="Subtitle"/>
    <w:basedOn w:val="Normal"/>
    <w:next w:val="Normal"/>
    <w:pPr>
      <w:spacing w:after="400"/>
    </w:pPr>
    <w:rPr>
      <w:rFonts w:ascii="Calibri" w:cs="Calibri" w:eastAsia="Calibri" w:hAnsi="Calibri"/>
      <w:color w:val="595959"/>
      <w:sz w:val="26"/>
      <w:szCs w:val="26"/>
    </w:rPr>
  </w:style>
  <w:style w:type="paragraph" w:styleId="Heading1">
    <w:name w:val="Heading 1"/>
    <w:basedOn w:val="Normal"/>
    <w:next w:val="Normal"/>
    <w:pPr>
      <w:spacing w:after="160" w:before="360"/>
      <w:outlineLvl w:val="0"/>
    </w:pPr>
    <w:rPr>
      <w:rFonts w:ascii="Calibri" w:cs="Calibri" w:eastAsia="Calibri" w:hAnsi="Calibri"/>
      <w:b/>
      <w:bCs/>
      <w:color w:val="2E3A46"/>
      <w:sz w:val="28"/>
      <w:szCs w:val="28"/>
    </w:rPr>
  </w:style>
  <w:style w:type="paragraph" w:styleId="Heading2">
    <w:name w:val="Heading 2"/>
    <w:basedOn w:val="Normal"/>
    <w:next w:val="Normal"/>
    <w:pPr>
      <w:spacing w:after="120" w:before="260"/>
      <w:outlineLvl w:val="1"/>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2026-09-16T12:33:27.933Z</dcterms:created>
  <dcterms:modified xsi:type="dcterms:W3CDTF">2026-09-16T12:33:27.944Z</dcterms:modified>
</cp:coreProperties>
</file>

<file path=docProps/custom.xml><?xml version="1.0" encoding="utf-8"?>
<Properties xmlns="http://schemas.openxmlformats.org/officeDocument/2006/custom-properties" xmlns:vt="http://schemas.openxmlformats.org/officeDocument/2006/docPropsVTypes"/>
</file>