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A1D" w:rsidRDefault="00F16A1D" w:rsidP="00F16A1D">
      <w:pPr>
        <w:pStyle w:val="Heading1"/>
        <w:rPr>
          <w:rFonts w:eastAsiaTheme="minorHAnsi"/>
          <w:lang w:val="en-AU"/>
        </w:rPr>
      </w:pPr>
      <w:bookmarkStart w:id="0" w:name="_GoBack"/>
    </w:p>
    <w:tbl>
      <w:tblPr>
        <w:tblW w:w="3334" w:type="pct"/>
        <w:jc w:val="center"/>
        <w:tblCellMar>
          <w:left w:w="0" w:type="dxa"/>
          <w:right w:w="0" w:type="dxa"/>
        </w:tblCellMar>
        <w:tblLook w:val="04A0" w:firstRow="1" w:lastRow="0" w:firstColumn="1" w:lastColumn="0" w:noHBand="0" w:noVBand="1"/>
      </w:tblPr>
      <w:tblGrid>
        <w:gridCol w:w="9026"/>
      </w:tblGrid>
      <w:tr w:rsidR="00F16A1D" w:rsidTr="00F16A1D">
        <w:trPr>
          <w:cantSplit/>
          <w:trHeight w:val="72"/>
          <w:jc w:val="center"/>
        </w:trPr>
        <w:tc>
          <w:tcPr>
            <w:tcW w:w="5000" w:type="pct"/>
            <w:shd w:val="clear" w:color="auto" w:fill="FFFFFF"/>
            <w:vAlign w:val="center"/>
            <w:hideMark/>
          </w:tcPr>
          <w:p w:rsidR="00F16A1D" w:rsidRDefault="00F16A1D" w:rsidP="00F16A1D">
            <w:pPr>
              <w:pStyle w:val="Heading1"/>
              <w:rPr>
                <w:rFonts w:eastAsia="Times New Roman"/>
                <w:b/>
                <w:bCs/>
                <w:color w:val="004165"/>
              </w:rPr>
            </w:pPr>
            <w:r>
              <w:rPr>
                <w:noProof/>
                <w:lang w:val="en-AU" w:eastAsia="en-AU"/>
              </w:rPr>
              <w:lastRenderedPageBreak/>
              <w:drawing>
                <wp:inline distT="0" distB="0" distL="0" distR="0">
                  <wp:extent cx="751332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13320" cy="2959100"/>
                          </a:xfrm>
                          <a:prstGeom prst="rect">
                            <a:avLst/>
                          </a:prstGeom>
                          <a:noFill/>
                          <a:ln>
                            <a:noFill/>
                          </a:ln>
                        </pic:spPr>
                      </pic:pic>
                    </a:graphicData>
                  </a:graphic>
                </wp:inline>
              </w:drawing>
            </w:r>
          </w:p>
        </w:tc>
      </w:tr>
      <w:tr w:rsidR="00F16A1D" w:rsidTr="00F16A1D">
        <w:trPr>
          <w:cantSplit/>
          <w:trHeight w:val="1134"/>
          <w:jc w:val="center"/>
        </w:trPr>
        <w:tc>
          <w:tcPr>
            <w:tcW w:w="5000" w:type="pct"/>
            <w:shd w:val="clear" w:color="auto" w:fill="FFFFFF"/>
            <w:tcMar>
              <w:top w:w="0" w:type="dxa"/>
              <w:left w:w="510" w:type="dxa"/>
              <w:bottom w:w="0" w:type="dxa"/>
              <w:right w:w="510" w:type="dxa"/>
            </w:tcMar>
            <w:vAlign w:val="center"/>
          </w:tcPr>
          <w:p w:rsidR="00F16A1D" w:rsidRDefault="00F16A1D" w:rsidP="00F16A1D">
            <w:pPr>
              <w:pStyle w:val="Heading1"/>
              <w:rPr>
                <w:rFonts w:ascii="Verdana" w:hAnsi="Verdana"/>
                <w:caps/>
                <w:color w:val="004165"/>
              </w:rPr>
            </w:pPr>
          </w:p>
          <w:tbl>
            <w:tblPr>
              <w:tblW w:w="0" w:type="auto"/>
              <w:jc w:val="center"/>
              <w:tblCellMar>
                <w:left w:w="0" w:type="dxa"/>
                <w:right w:w="0" w:type="dxa"/>
              </w:tblCellMar>
              <w:tblLook w:val="04A0" w:firstRow="1" w:lastRow="0" w:firstColumn="1" w:lastColumn="0" w:noHBand="0" w:noVBand="1"/>
            </w:tblPr>
            <w:tblGrid>
              <w:gridCol w:w="8006"/>
            </w:tblGrid>
            <w:tr w:rsidR="00F16A1D">
              <w:trPr>
                <w:jc w:val="center"/>
              </w:trPr>
              <w:tc>
                <w:tcPr>
                  <w:tcW w:w="11730" w:type="dxa"/>
                  <w:shd w:val="clear" w:color="auto" w:fill="EEECE1"/>
                  <w:tcMar>
                    <w:top w:w="0" w:type="dxa"/>
                    <w:left w:w="108" w:type="dxa"/>
                    <w:bottom w:w="0" w:type="dxa"/>
                    <w:right w:w="108" w:type="dxa"/>
                  </w:tcMar>
                  <w:hideMark/>
                </w:tcPr>
                <w:p w:rsidR="00F16A1D" w:rsidRDefault="00F16A1D" w:rsidP="00F16A1D">
                  <w:pPr>
                    <w:pStyle w:val="Heading1"/>
                    <w:rPr>
                      <w:rFonts w:ascii="Verdana" w:hAnsi="Verdana"/>
                      <w:b/>
                      <w:bCs/>
                      <w:caps/>
                      <w:color w:val="E36C0A"/>
                    </w:rPr>
                  </w:pPr>
                  <w:r>
                    <w:rPr>
                      <w:rFonts w:ascii="Verdana" w:hAnsi="Verdana"/>
                      <w:b/>
                      <w:bCs/>
                      <w:caps/>
                      <w:color w:val="E36C0A"/>
                    </w:rPr>
                    <w:t>Release completE notification:  </w:t>
                  </w:r>
                </w:p>
                <w:p w:rsidR="00F16A1D" w:rsidRDefault="00F16A1D" w:rsidP="00F16A1D">
                  <w:pPr>
                    <w:pStyle w:val="Heading1"/>
                    <w:rPr>
                      <w:rFonts w:ascii="Verdana" w:hAnsi="Verdana"/>
                      <w:b/>
                      <w:bCs/>
                      <w:caps/>
                      <w:color w:val="E36C0A"/>
                    </w:rPr>
                  </w:pPr>
                  <w:r>
                    <w:rPr>
                      <w:rFonts w:ascii="Verdana" w:hAnsi="Verdana"/>
                      <w:b/>
                      <w:bCs/>
                      <w:caps/>
                      <w:color w:val="E36C0A"/>
                    </w:rPr>
                    <w:t>PeopleSoft SOURCE TO PAY (S2P) Squad</w:t>
                  </w:r>
                  <w:r>
                    <w:rPr>
                      <w:rFonts w:ascii="Verdana" w:hAnsi="Verdana"/>
                      <w:b/>
                      <w:bCs/>
                      <w:caps/>
                      <w:color w:val="1F497D"/>
                    </w:rPr>
                    <w:t xml:space="preserve"> </w:t>
                  </w:r>
                  <w:r>
                    <w:rPr>
                      <w:rFonts w:ascii="Verdana" w:hAnsi="Verdana"/>
                      <w:b/>
                      <w:bCs/>
                      <w:caps/>
                      <w:color w:val="E36C0A"/>
                    </w:rPr>
                    <w:t>–12th DEC'2020 Release under Change #CHG0198107</w:t>
                  </w:r>
                </w:p>
              </w:tc>
            </w:tr>
          </w:tbl>
          <w:p w:rsidR="00F16A1D" w:rsidRDefault="00F16A1D" w:rsidP="00F16A1D">
            <w:pPr>
              <w:pStyle w:val="Heading1"/>
              <w:rPr>
                <w:rFonts w:ascii="Verdana" w:eastAsia="Times New Roman" w:hAnsi="Verdana"/>
                <w:b/>
                <w:bCs/>
                <w:caps/>
                <w:color w:val="1F497D"/>
                <w:sz w:val="24"/>
                <w:szCs w:val="24"/>
              </w:rPr>
            </w:pPr>
          </w:p>
          <w:tbl>
            <w:tblPr>
              <w:tblW w:w="11790" w:type="dxa"/>
              <w:tblInd w:w="202" w:type="dxa"/>
              <w:tblCellMar>
                <w:left w:w="0" w:type="dxa"/>
                <w:right w:w="0" w:type="dxa"/>
              </w:tblCellMar>
              <w:tblLook w:val="04A0" w:firstRow="1" w:lastRow="0" w:firstColumn="1" w:lastColumn="0" w:noHBand="0" w:noVBand="1"/>
            </w:tblPr>
            <w:tblGrid>
              <w:gridCol w:w="2536"/>
              <w:gridCol w:w="1784"/>
              <w:gridCol w:w="7470"/>
            </w:tblGrid>
            <w:tr w:rsidR="00F16A1D">
              <w:trPr>
                <w:trHeight w:val="1203"/>
              </w:trPr>
              <w:tc>
                <w:tcPr>
                  <w:tcW w:w="1686" w:type="dxa"/>
                  <w:tcBorders>
                    <w:top w:val="single" w:sz="8" w:space="0" w:color="auto"/>
                    <w:left w:val="single" w:sz="8" w:space="0" w:color="auto"/>
                    <w:bottom w:val="single" w:sz="8" w:space="0" w:color="auto"/>
                    <w:right w:val="single" w:sz="8" w:space="0" w:color="auto"/>
                  </w:tcBorders>
                  <w:shd w:val="clear" w:color="auto" w:fill="A9D08E"/>
                  <w:tcMar>
                    <w:top w:w="0" w:type="dxa"/>
                    <w:left w:w="108" w:type="dxa"/>
                    <w:bottom w:w="0" w:type="dxa"/>
                    <w:right w:w="108" w:type="dxa"/>
                  </w:tcMar>
                  <w:vAlign w:val="center"/>
                  <w:hideMark/>
                </w:tcPr>
                <w:p w:rsidR="00F16A1D" w:rsidRDefault="00F16A1D" w:rsidP="00F16A1D">
                  <w:pPr>
                    <w:pStyle w:val="Heading1"/>
                    <w:rPr>
                      <w:b/>
                      <w:bCs/>
                      <w:color w:val="000000"/>
                    </w:rPr>
                  </w:pPr>
                  <w:r>
                    <w:rPr>
                      <w:b/>
                      <w:bCs/>
                      <w:color w:val="000000"/>
                    </w:rPr>
                    <w:t>Financial Management System (FMS) Module</w:t>
                  </w:r>
                </w:p>
              </w:tc>
              <w:tc>
                <w:tcPr>
                  <w:tcW w:w="1848" w:type="dxa"/>
                  <w:tcBorders>
                    <w:top w:val="single" w:sz="8" w:space="0" w:color="auto"/>
                    <w:left w:val="nil"/>
                    <w:bottom w:val="single" w:sz="8" w:space="0" w:color="auto"/>
                    <w:right w:val="single" w:sz="8" w:space="0" w:color="auto"/>
                  </w:tcBorders>
                  <w:shd w:val="clear" w:color="auto" w:fill="A9D08E"/>
                  <w:tcMar>
                    <w:top w:w="0" w:type="dxa"/>
                    <w:left w:w="108" w:type="dxa"/>
                    <w:bottom w:w="0" w:type="dxa"/>
                    <w:right w:w="108" w:type="dxa"/>
                  </w:tcMar>
                  <w:vAlign w:val="center"/>
                  <w:hideMark/>
                </w:tcPr>
                <w:p w:rsidR="00F16A1D" w:rsidRDefault="00F16A1D" w:rsidP="00F16A1D">
                  <w:pPr>
                    <w:pStyle w:val="Heading1"/>
                    <w:rPr>
                      <w:rFonts w:ascii="Times New Roman" w:hAnsi="Times New Roman"/>
                      <w:b/>
                      <w:bCs/>
                      <w:color w:val="000000"/>
                      <w:sz w:val="24"/>
                      <w:szCs w:val="24"/>
                    </w:rPr>
                  </w:pPr>
                  <w:r>
                    <w:rPr>
                      <w:b/>
                      <w:bCs/>
                      <w:color w:val="000000"/>
                    </w:rPr>
                    <w:t>JIRA ID/ Work Request</w:t>
                  </w:r>
                </w:p>
              </w:tc>
              <w:tc>
                <w:tcPr>
                  <w:tcW w:w="8256" w:type="dxa"/>
                  <w:tcBorders>
                    <w:top w:val="single" w:sz="8" w:space="0" w:color="auto"/>
                    <w:left w:val="nil"/>
                    <w:bottom w:val="single" w:sz="8" w:space="0" w:color="auto"/>
                    <w:right w:val="single" w:sz="8" w:space="0" w:color="auto"/>
                  </w:tcBorders>
                  <w:shd w:val="clear" w:color="auto" w:fill="A9D08E"/>
                  <w:tcMar>
                    <w:top w:w="0" w:type="dxa"/>
                    <w:left w:w="108" w:type="dxa"/>
                    <w:bottom w:w="0" w:type="dxa"/>
                    <w:right w:w="108" w:type="dxa"/>
                  </w:tcMar>
                  <w:vAlign w:val="center"/>
                  <w:hideMark/>
                </w:tcPr>
                <w:p w:rsidR="00F16A1D" w:rsidRDefault="00F16A1D" w:rsidP="00F16A1D">
                  <w:pPr>
                    <w:pStyle w:val="Heading1"/>
                    <w:rPr>
                      <w:b/>
                      <w:bCs/>
                      <w:color w:val="000000"/>
                    </w:rPr>
                  </w:pPr>
                  <w:r>
                    <w:rPr>
                      <w:b/>
                      <w:bCs/>
                      <w:color w:val="000000"/>
                    </w:rPr>
                    <w:t>Business Benefits</w:t>
                  </w:r>
                </w:p>
              </w:tc>
            </w:tr>
            <w:tr w:rsidR="00F16A1D">
              <w:trPr>
                <w:trHeight w:val="1290"/>
              </w:trPr>
              <w:tc>
                <w:tcPr>
                  <w:tcW w:w="1686"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16A1D" w:rsidRDefault="00F16A1D" w:rsidP="00F16A1D">
                  <w:pPr>
                    <w:pStyle w:val="Heading1"/>
                    <w:rPr>
                      <w:b/>
                      <w:bCs/>
                      <w:color w:val="000000"/>
                    </w:rPr>
                  </w:pPr>
                  <w:r>
                    <w:rPr>
                      <w:b/>
                      <w:bCs/>
                      <w:color w:val="000000"/>
                    </w:rPr>
                    <w:t>PSAP</w:t>
                  </w: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b/>
                      <w:bCs/>
                      <w:color w:val="000000"/>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PTPS-660</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Segoe UI" w:hAnsi="Segoe UI" w:cs="Segoe UI"/>
                      <w:color w:val="172B4D"/>
                      <w:sz w:val="21"/>
                      <w:szCs w:val="21"/>
                    </w:rPr>
                  </w:pPr>
                  <w:r>
                    <w:rPr>
                      <w:rFonts w:ascii="Verdana" w:hAnsi="Verdana" w:cs="Verdana"/>
                      <w:b/>
                      <w:sz w:val="20"/>
                      <w:szCs w:val="20"/>
                    </w:rPr>
                    <w:t>Voucher Save level change to make requestor id as mandatory</w:t>
                  </w:r>
                  <w:r>
                    <w:rPr>
                      <w:b/>
                      <w:color w:val="000000"/>
                    </w:rPr>
                    <w:br/>
                  </w:r>
                  <w:proofErr w:type="gramStart"/>
                  <w:r>
                    <w:rPr>
                      <w:rFonts w:ascii="Segoe UI" w:hAnsi="Segoe UI" w:cs="Segoe UI"/>
                      <w:color w:val="172B4D"/>
                      <w:sz w:val="21"/>
                      <w:szCs w:val="21"/>
                    </w:rPr>
                    <w:t>As</w:t>
                  </w:r>
                  <w:proofErr w:type="gramEnd"/>
                  <w:r>
                    <w:rPr>
                      <w:rFonts w:ascii="Segoe UI" w:hAnsi="Segoe UI" w:cs="Segoe UI"/>
                      <w:color w:val="172B4D"/>
                      <w:sz w:val="21"/>
                      <w:szCs w:val="21"/>
                    </w:rPr>
                    <w:t xml:space="preserve"> part of this Change, Voucher save procedure should have the requestor id as mandatory instead at voucher approval process. This will remove the bulk vouchers going to error state at Approval phase.</w:t>
                  </w:r>
                </w:p>
              </w:tc>
            </w:tr>
            <w:tr w:rsidR="00F16A1D">
              <w:trPr>
                <w:trHeight w:val="1805"/>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b/>
                      <w:bCs/>
                      <w:color w:val="000000"/>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PTPS-686</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tbl>
                  <w:tblPr>
                    <w:tblpPr w:leftFromText="180" w:rightFromText="180" w:vertAnchor="text" w:tblpY="1"/>
                    <w:tblOverlap w:val="never"/>
                    <w:tblW w:w="5960" w:type="dxa"/>
                    <w:tblLook w:val="04A0" w:firstRow="1" w:lastRow="0" w:firstColumn="1" w:lastColumn="0" w:noHBand="0" w:noVBand="1"/>
                  </w:tblPr>
                  <w:tblGrid>
                    <w:gridCol w:w="5960"/>
                  </w:tblGrid>
                  <w:tr w:rsidR="00F16A1D">
                    <w:trPr>
                      <w:trHeight w:val="300"/>
                    </w:trPr>
                    <w:tc>
                      <w:tcPr>
                        <w:tcW w:w="1480" w:type="dxa"/>
                        <w:shd w:val="clear" w:color="auto" w:fill="FFFFFF"/>
                        <w:vAlign w:val="center"/>
                      </w:tcPr>
                      <w:p w:rsidR="00F16A1D" w:rsidRDefault="00F16A1D" w:rsidP="00F16A1D">
                        <w:pPr>
                          <w:pStyle w:val="Heading1"/>
                          <w:rPr>
                            <w:rFonts w:ascii="Segoe UI" w:hAnsi="Segoe UI" w:cs="Segoe UI"/>
                            <w:color w:val="172B4D"/>
                            <w:sz w:val="21"/>
                            <w:szCs w:val="21"/>
                            <w:lang w:val="en-AU" w:eastAsia="en-AU"/>
                          </w:rPr>
                        </w:pPr>
                      </w:p>
                      <w:p w:rsidR="00F16A1D" w:rsidRDefault="00F16A1D" w:rsidP="00F16A1D">
                        <w:pPr>
                          <w:pStyle w:val="Heading1"/>
                          <w:rPr>
                            <w:rFonts w:ascii="Segoe UI" w:hAnsi="Segoe UI" w:cs="Segoe UI"/>
                            <w:b/>
                            <w:color w:val="172B4D"/>
                            <w:sz w:val="21"/>
                            <w:szCs w:val="21"/>
                            <w:lang w:val="en-AU" w:eastAsia="en-AU"/>
                          </w:rPr>
                        </w:pPr>
                        <w:r>
                          <w:rPr>
                            <w:rFonts w:ascii="Segoe UI" w:hAnsi="Segoe UI" w:cs="Segoe UI"/>
                            <w:b/>
                            <w:color w:val="172B4D"/>
                            <w:sz w:val="21"/>
                            <w:szCs w:val="21"/>
                            <w:lang w:val="en-AU" w:eastAsia="en-AU"/>
                          </w:rPr>
                          <w:t>Voucher approval page and view attachments issue:</w:t>
                        </w:r>
                      </w:p>
                      <w:p w:rsidR="00F16A1D" w:rsidRDefault="00F16A1D" w:rsidP="00F16A1D">
                        <w:pPr>
                          <w:pStyle w:val="Heading1"/>
                          <w:rPr>
                            <w:rFonts w:ascii="Segoe UI" w:hAnsi="Segoe UI" w:cs="Segoe UI"/>
                            <w:color w:val="FFFFFF" w:themeColor="background1"/>
                            <w:sz w:val="21"/>
                            <w:szCs w:val="21"/>
                            <w:lang w:val="en-AU" w:eastAsia="en-AU"/>
                            <w14:textFill>
                              <w14:noFill/>
                            </w14:textFill>
                          </w:rPr>
                        </w:pPr>
                        <w:r>
                          <w:rPr>
                            <w:rFonts w:ascii="Segoe UI" w:hAnsi="Segoe UI" w:cs="Segoe UI"/>
                            <w:color w:val="172B4D"/>
                            <w:sz w:val="21"/>
                            <w:szCs w:val="21"/>
                            <w:lang w:val="en-AU" w:eastAsia="en-AU"/>
                          </w:rPr>
                          <w:t>As part of this Change, the issue where users are not able to view the attachments at Voucher approval level and the access to approve/deny any particular credit note vouchers will get resolved.</w:t>
                        </w:r>
                      </w:p>
                    </w:tc>
                  </w:tr>
                </w:tbl>
                <w:p w:rsidR="00F16A1D" w:rsidRDefault="00F16A1D" w:rsidP="00F16A1D">
                  <w:pPr>
                    <w:pStyle w:val="Heading1"/>
                    <w:rPr>
                      <w:rFonts w:eastAsiaTheme="minorHAnsi"/>
                      <w:lang w:val="en-AU"/>
                    </w:rPr>
                  </w:pPr>
                </w:p>
              </w:tc>
            </w:tr>
            <w:tr w:rsidR="00F16A1D">
              <w:trPr>
                <w:trHeight w:val="1483"/>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eastAsia="Times New Roman"/>
                      <w:b/>
                      <w:bCs/>
                      <w:color w:val="000000"/>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PTPS-691</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pPr>
                  <w:r>
                    <w:rPr>
                      <w:rFonts w:ascii="Verdana" w:hAnsi="Verdana" w:cs="Calibri"/>
                      <w:b/>
                      <w:sz w:val="20"/>
                      <w:szCs w:val="20"/>
                    </w:rPr>
                    <w:t>Automate PS ITCDR Audit Clear data Process</w:t>
                  </w:r>
                  <w:proofErr w:type="gramStart"/>
                  <w:r>
                    <w:rPr>
                      <w:rFonts w:ascii="Verdana" w:hAnsi="Verdana" w:cs="Calibri"/>
                      <w:b/>
                      <w:sz w:val="20"/>
                      <w:szCs w:val="20"/>
                    </w:rPr>
                    <w:t>:</w:t>
                  </w:r>
                  <w:proofErr w:type="gramEnd"/>
                  <w:r>
                    <w:rPr>
                      <w:color w:val="000000"/>
                    </w:rPr>
                    <w:br/>
                  </w:r>
                  <w:r>
                    <w:rPr>
                      <w:rFonts w:ascii="Segoe UI" w:hAnsi="Segoe UI" w:cs="Segoe UI"/>
                      <w:color w:val="172B4D"/>
                      <w:sz w:val="21"/>
                      <w:szCs w:val="21"/>
                      <w:lang w:val="en-AU" w:eastAsia="en-AU"/>
                    </w:rPr>
                    <w:t>As part of this Change, we are automating the PS ITCDR Audit Clear data Process which runs through a Control-M Job that runs 24th of  every month. This will reduce a lot manual effort from the user to trigger every time when required.</w:t>
                  </w:r>
                </w:p>
              </w:tc>
            </w:tr>
            <w:tr w:rsidR="00F16A1D">
              <w:trPr>
                <w:trHeight w:val="1805"/>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b/>
                      <w:bCs/>
                      <w:color w:val="000000"/>
                    </w:rPr>
                  </w:pPr>
                  <w:r>
                    <w:rPr>
                      <w:lang w:eastAsia="en-AU"/>
                    </w:rPr>
                    <w:t>PTPS-637</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Verdana" w:hAnsi="Verdana"/>
                      <w:sz w:val="20"/>
                      <w:szCs w:val="20"/>
                    </w:rPr>
                  </w:pPr>
                  <w:r>
                    <w:rPr>
                      <w:rFonts w:ascii="Verdana" w:hAnsi="Verdana" w:cs="Calibri"/>
                      <w:b/>
                      <w:sz w:val="20"/>
                      <w:szCs w:val="20"/>
                    </w:rPr>
                    <w:t>NZ Sanctions records into PRIME template needs to be separate</w:t>
                  </w:r>
                  <w:proofErr w:type="gramStart"/>
                  <w:r>
                    <w:rPr>
                      <w:rFonts w:ascii="Verdana" w:hAnsi="Verdana" w:cs="Calibri"/>
                      <w:b/>
                      <w:sz w:val="20"/>
                      <w:szCs w:val="20"/>
                    </w:rPr>
                    <w:t>:</w:t>
                  </w:r>
                  <w:proofErr w:type="gramEnd"/>
                  <w:r>
                    <w:rPr>
                      <w:color w:val="000000"/>
                    </w:rPr>
                    <w:br/>
                  </w:r>
                  <w:r>
                    <w:rPr>
                      <w:rFonts w:ascii="Segoe UI" w:hAnsi="Segoe UI" w:cs="Segoe UI"/>
                      <w:color w:val="172B4D"/>
                      <w:sz w:val="21"/>
                      <w:szCs w:val="21"/>
                    </w:rPr>
                    <w:t xml:space="preserve">This Change is an  enhancement to existing PRIME report. As part of this, we are going to include new option to Add </w:t>
                  </w:r>
                  <w:proofErr w:type="gramStart"/>
                  <w:r>
                    <w:rPr>
                      <w:rFonts w:ascii="Segoe UI" w:hAnsi="Segoe UI" w:cs="Segoe UI"/>
                      <w:color w:val="172B4D"/>
                      <w:sz w:val="21"/>
                      <w:szCs w:val="21"/>
                    </w:rPr>
                    <w:t>a</w:t>
                  </w:r>
                  <w:proofErr w:type="gramEnd"/>
                  <w:r>
                    <w:rPr>
                      <w:rFonts w:ascii="Segoe UI" w:hAnsi="Segoe UI" w:cs="Segoe UI"/>
                      <w:color w:val="172B4D"/>
                      <w:sz w:val="21"/>
                      <w:szCs w:val="21"/>
                    </w:rPr>
                    <w:t xml:space="preserve"> exclude/include flag like Set ID and Supplier ID on run control page. This will give an option to extract the required Sanction records.</w:t>
                  </w:r>
                </w:p>
              </w:tc>
            </w:tr>
            <w:tr w:rsidR="00F16A1D">
              <w:trPr>
                <w:trHeight w:val="1203"/>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b/>
                      <w:bCs/>
                      <w:color w:val="000000"/>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PTPS-670</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Segoe UI" w:hAnsi="Segoe UI" w:cs="Segoe UI"/>
                      <w:color w:val="172B4D"/>
                      <w:sz w:val="21"/>
                      <w:szCs w:val="21"/>
                    </w:rPr>
                  </w:pPr>
                  <w:r>
                    <w:rPr>
                      <w:rFonts w:ascii="Verdana" w:hAnsi="Verdana" w:cs="Calibri"/>
                      <w:b/>
                      <w:sz w:val="20"/>
                      <w:szCs w:val="20"/>
                    </w:rPr>
                    <w:t>Ariba data discrepancy report</w:t>
                  </w:r>
                  <w:proofErr w:type="gramStart"/>
                  <w:r>
                    <w:rPr>
                      <w:rFonts w:ascii="Verdana" w:hAnsi="Verdana" w:cs="Calibri"/>
                      <w:b/>
                      <w:sz w:val="20"/>
                      <w:szCs w:val="20"/>
                    </w:rPr>
                    <w:t>:</w:t>
                  </w:r>
                  <w:proofErr w:type="gramEnd"/>
                  <w:r>
                    <w:rPr>
                      <w:color w:val="000000"/>
                    </w:rPr>
                    <w:br/>
                  </w:r>
                  <w:r>
                    <w:rPr>
                      <w:rFonts w:ascii="Segoe UI" w:hAnsi="Segoe UI" w:cs="Segoe UI"/>
                      <w:color w:val="172B4D"/>
                      <w:sz w:val="21"/>
                      <w:szCs w:val="21"/>
                    </w:rPr>
                    <w:t xml:space="preserve">As a part of automating the Ariba Asia feed, it was implemented to generate files for the User load. However the data in the file seems to be missing </w:t>
                  </w:r>
                  <w:r>
                    <w:rPr>
                      <w:rFonts w:ascii="Segoe UI" w:hAnsi="Segoe UI" w:cs="Segoe UI"/>
                      <w:color w:val="172B4D"/>
                      <w:sz w:val="21"/>
                      <w:szCs w:val="21"/>
                    </w:rPr>
                    <w:lastRenderedPageBreak/>
                    <w:t xml:space="preserve">records when compared to the files that are manually updated by the team based on raw files received from BAPH. </w:t>
                  </w:r>
                  <w:r>
                    <w:rPr>
                      <w:rFonts w:ascii="Segoe UI" w:hAnsi="Segoe UI" w:cs="Segoe UI"/>
                      <w:color w:val="172B4D"/>
                      <w:sz w:val="21"/>
                      <w:szCs w:val="21"/>
                      <w:shd w:val="clear" w:color="auto" w:fill="FFFFFF"/>
                    </w:rPr>
                    <w:t>Report log with details of user id and reason for not being sent to Ariba as part of the batch load should be sent now as expected</w:t>
                  </w:r>
                  <w:r>
                    <w:rPr>
                      <w:rFonts w:ascii="Segoe UI" w:hAnsi="Segoe UI" w:cs="Segoe UI"/>
                      <w:color w:val="172B4D"/>
                      <w:sz w:val="21"/>
                      <w:szCs w:val="21"/>
                    </w:rPr>
                    <w:t>.</w:t>
                  </w:r>
                </w:p>
              </w:tc>
            </w:tr>
            <w:tr w:rsidR="00F16A1D">
              <w:trPr>
                <w:trHeight w:val="1266"/>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b/>
                      <w:bCs/>
                      <w:color w:val="000000"/>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PTPS-663</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Verdana" w:hAnsi="Verdana" w:cs="Calibri"/>
                      <w:b/>
                      <w:sz w:val="20"/>
                      <w:szCs w:val="20"/>
                    </w:rPr>
                  </w:pPr>
                  <w:r>
                    <w:rPr>
                      <w:rFonts w:ascii="Verdana" w:hAnsi="Verdana" w:cs="Calibri"/>
                      <w:b/>
                      <w:sz w:val="20"/>
                      <w:szCs w:val="20"/>
                    </w:rPr>
                    <w:t>Removing of PSNT server from the Payment Pay cycle server selection list:</w:t>
                  </w:r>
                </w:p>
                <w:p w:rsidR="00F16A1D" w:rsidRDefault="00F16A1D" w:rsidP="00F16A1D">
                  <w:pPr>
                    <w:pStyle w:val="Heading1"/>
                    <w:rPr>
                      <w:rFonts w:ascii="Segoe UI" w:hAnsi="Segoe UI" w:cs="Segoe UI"/>
                      <w:color w:val="172B4D"/>
                      <w:sz w:val="21"/>
                      <w:szCs w:val="21"/>
                    </w:rPr>
                  </w:pPr>
                  <w:r>
                    <w:rPr>
                      <w:rFonts w:ascii="Segoe UI" w:hAnsi="Segoe UI" w:cs="Segoe UI"/>
                      <w:color w:val="172B4D"/>
                      <w:sz w:val="21"/>
                      <w:szCs w:val="21"/>
                    </w:rPr>
                    <w:t xml:space="preserve">The AP Payment Pay Cycles are getting stuck due to Selection of PSNT servers from the server selection list. Post people Soft People tool upgrade, the PSNT servers are not to be used for AP Payment Pay Cycles. As part of this Change, we are removing the PSNT </w:t>
                  </w:r>
                  <w:proofErr w:type="gramStart"/>
                  <w:r>
                    <w:rPr>
                      <w:rFonts w:ascii="Segoe UI" w:hAnsi="Segoe UI" w:cs="Segoe UI"/>
                      <w:color w:val="172B4D"/>
                      <w:sz w:val="21"/>
                      <w:szCs w:val="21"/>
                    </w:rPr>
                    <w:t>servers</w:t>
                  </w:r>
                  <w:proofErr w:type="gramEnd"/>
                  <w:r>
                    <w:rPr>
                      <w:rFonts w:ascii="Segoe UI" w:hAnsi="Segoe UI" w:cs="Segoe UI"/>
                      <w:color w:val="172B4D"/>
                      <w:sz w:val="21"/>
                      <w:szCs w:val="21"/>
                    </w:rPr>
                    <w:t xml:space="preserve"> selection list. Thereby, the payment teams can able to select only PSUNIX servers. And the pay Cycles will not get stuck.</w:t>
                  </w:r>
                </w:p>
              </w:tc>
            </w:tr>
            <w:tr w:rsidR="00F16A1D">
              <w:trPr>
                <w:trHeight w:val="1411"/>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b/>
                      <w:bCs/>
                      <w:color w:val="000000"/>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PTPS-692</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Times New Roman" w:hAnsi="Times New Roman"/>
                      <w:color w:val="000000"/>
                      <w:sz w:val="24"/>
                    </w:rPr>
                  </w:pPr>
                  <w:r>
                    <w:rPr>
                      <w:rFonts w:ascii="Verdana" w:hAnsi="Verdana" w:cs="Calibri"/>
                      <w:b/>
                      <w:sz w:val="20"/>
                      <w:szCs w:val="20"/>
                    </w:rPr>
                    <w:t>Updation of blank payment term and blank payment method for ANZNZ suppliers</w:t>
                  </w:r>
                  <w:proofErr w:type="gramStart"/>
                  <w:r>
                    <w:rPr>
                      <w:rFonts w:ascii="Verdana" w:hAnsi="Verdana" w:cs="Calibri"/>
                      <w:b/>
                      <w:sz w:val="20"/>
                      <w:szCs w:val="20"/>
                    </w:rPr>
                    <w:t>:</w:t>
                  </w:r>
                  <w:proofErr w:type="gramEnd"/>
                  <w:r>
                    <w:rPr>
                      <w:color w:val="000000"/>
                    </w:rPr>
                    <w:br/>
                  </w:r>
                  <w:r>
                    <w:rPr>
                      <w:rFonts w:ascii="Segoe UI" w:hAnsi="Segoe UI" w:cs="Segoe UI"/>
                      <w:color w:val="172B4D"/>
                      <w:sz w:val="21"/>
                      <w:szCs w:val="21"/>
                      <w:lang w:val="en-AU" w:eastAsia="en-AU"/>
                    </w:rPr>
                    <w:t>This is an Audit item which helps to Update the Payment terms and Payment method for the identified ANZNZ Suppliers.</w:t>
                  </w:r>
                </w:p>
              </w:tc>
            </w:tr>
            <w:tr w:rsidR="00F16A1D">
              <w:trPr>
                <w:trHeight w:val="1411"/>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PTPS-693</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Verdana" w:hAnsi="Verdana" w:cs="Calibri"/>
                      <w:b/>
                      <w:sz w:val="20"/>
                      <w:szCs w:val="20"/>
                    </w:rPr>
                  </w:pPr>
                  <w:r>
                    <w:rPr>
                      <w:rFonts w:ascii="Verdana" w:hAnsi="Verdana" w:cs="Calibri"/>
                      <w:b/>
                      <w:sz w:val="20"/>
                      <w:szCs w:val="20"/>
                    </w:rPr>
                    <w:t>Group Procurement’s request to update the small business flag for bulk suppliers:</w:t>
                  </w:r>
                </w:p>
                <w:p w:rsidR="00F16A1D" w:rsidRDefault="00F16A1D" w:rsidP="00F16A1D">
                  <w:pPr>
                    <w:pStyle w:val="Heading1"/>
                    <w:rPr>
                      <w:bCs/>
                      <w:color w:val="000000"/>
                    </w:rPr>
                  </w:pPr>
                  <w:r>
                    <w:rPr>
                      <w:rFonts w:ascii="Segoe UI" w:hAnsi="Segoe UI" w:cs="Segoe UI"/>
                      <w:color w:val="172B4D"/>
                      <w:sz w:val="21"/>
                      <w:szCs w:val="21"/>
                      <w:lang w:val="en-AU" w:eastAsia="en-AU"/>
                    </w:rPr>
                    <w:t>As part of this Change, We are updating the Small business flag for bulk identified Suppliers.</w:t>
                  </w:r>
                </w:p>
              </w:tc>
            </w:tr>
            <w:tr w:rsidR="00F16A1D">
              <w:trPr>
                <w:trHeight w:val="1411"/>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pPr>
                  <w:r>
                    <w:rPr>
                      <w:rFonts w:ascii="Verdana" w:hAnsi="Verdana" w:cs="Calibri"/>
                      <w:b/>
                      <w:sz w:val="20"/>
                      <w:szCs w:val="20"/>
                    </w:rPr>
                    <w:t>PTPS-696</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tcPr>
                <w:p w:rsidR="00F16A1D" w:rsidRDefault="00F16A1D" w:rsidP="00F16A1D">
                  <w:pPr>
                    <w:pStyle w:val="Heading1"/>
                    <w:rPr>
                      <w:rFonts w:ascii="Verdana" w:hAnsi="Verdana" w:cs="Calibri"/>
                      <w:b/>
                      <w:sz w:val="20"/>
                      <w:szCs w:val="20"/>
                    </w:rPr>
                  </w:pPr>
                  <w:r>
                    <w:rPr>
                      <w:rFonts w:ascii="Verdana" w:hAnsi="Verdana" w:cs="Calibri"/>
                      <w:b/>
                      <w:sz w:val="20"/>
                      <w:szCs w:val="20"/>
                    </w:rPr>
                    <w:t>Update SIF form:</w:t>
                  </w:r>
                </w:p>
                <w:p w:rsidR="00F16A1D" w:rsidRDefault="00F16A1D" w:rsidP="00F16A1D">
                  <w:pPr>
                    <w:pStyle w:val="Heading1"/>
                    <w:rPr>
                      <w:rFonts w:ascii="Segoe UI" w:hAnsi="Segoe UI" w:cs="Segoe UI"/>
                      <w:color w:val="172B4D"/>
                      <w:sz w:val="21"/>
                      <w:szCs w:val="21"/>
                    </w:rPr>
                  </w:pPr>
                  <w:r>
                    <w:rPr>
                      <w:rFonts w:ascii="Segoe UI" w:hAnsi="Segoe UI" w:cs="Segoe UI"/>
                      <w:color w:val="172B4D"/>
                      <w:sz w:val="21"/>
                      <w:szCs w:val="21"/>
                      <w:shd w:val="clear" w:color="auto" w:fill="FFFFFF"/>
                    </w:rPr>
                    <w:t>There is a minor fix required for SCMF. We included another drop down.</w:t>
                  </w:r>
                  <w:r>
                    <w:rPr>
                      <w:rFonts w:ascii="Segoe UI" w:hAnsi="Segoe UI" w:cs="Segoe UI"/>
                      <w:color w:val="172B4D"/>
                      <w:sz w:val="21"/>
                      <w:szCs w:val="21"/>
                    </w:rPr>
                    <w:t xml:space="preserve"> Supplier Name change request- when the user clicks this option, ABAC attestation and CM approval flow is enabled similar to what we have for Supplier creation or Activation request.</w:t>
                  </w:r>
                </w:p>
                <w:p w:rsidR="00F16A1D" w:rsidRDefault="00F16A1D" w:rsidP="00F16A1D">
                  <w:pPr>
                    <w:pStyle w:val="Heading1"/>
                    <w:rPr>
                      <w:b/>
                      <w:bCs/>
                      <w:color w:val="000000"/>
                    </w:rPr>
                  </w:pPr>
                </w:p>
              </w:tc>
            </w:tr>
            <w:tr w:rsidR="00F16A1D">
              <w:trPr>
                <w:trHeight w:val="1411"/>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 xml:space="preserve">ANZBUY-195 </w:t>
                  </w:r>
                  <w:r>
                    <w:t xml:space="preserve"> </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Verdana" w:hAnsi="Verdana" w:cs="Calibri"/>
                      <w:b/>
                      <w:sz w:val="20"/>
                      <w:szCs w:val="20"/>
                    </w:rPr>
                  </w:pPr>
                  <w:r>
                    <w:rPr>
                      <w:rFonts w:ascii="Verdana" w:hAnsi="Verdana" w:cs="Calibri"/>
                      <w:b/>
                      <w:sz w:val="20"/>
                      <w:szCs w:val="20"/>
                    </w:rPr>
                    <w:t>Enhance PS API for OIC Service – Departments:</w:t>
                  </w:r>
                </w:p>
                <w:p w:rsidR="00F16A1D" w:rsidRDefault="00F16A1D" w:rsidP="00F16A1D">
                  <w:pPr>
                    <w:pStyle w:val="Heading1"/>
                    <w:rPr>
                      <w:b/>
                      <w:bCs/>
                      <w:color w:val="000000"/>
                    </w:rPr>
                  </w:pPr>
                  <w:r>
                    <w:rPr>
                      <w:rFonts w:ascii="Segoe UI" w:hAnsi="Segoe UI" w:cs="Segoe UI"/>
                      <w:color w:val="172B4D"/>
                      <w:sz w:val="21"/>
                      <w:szCs w:val="21"/>
                      <w:lang w:val="en-AU" w:eastAsia="en-AU"/>
                    </w:rPr>
                    <w:t>As part of this Change, New supplier integration is built in PS for ANZBUY.</w:t>
                  </w:r>
                </w:p>
              </w:tc>
            </w:tr>
            <w:tr w:rsidR="00F16A1D">
              <w:trPr>
                <w:trHeight w:val="1411"/>
              </w:trPr>
              <w:tc>
                <w:tcPr>
                  <w:tcW w:w="0" w:type="auto"/>
                  <w:vMerge/>
                  <w:tcBorders>
                    <w:top w:val="nil"/>
                    <w:left w:val="single" w:sz="8" w:space="0" w:color="auto"/>
                    <w:bottom w:val="single" w:sz="8" w:space="0" w:color="auto"/>
                    <w:right w:val="single" w:sz="8" w:space="0" w:color="auto"/>
                  </w:tcBorders>
                  <w:vAlign w:val="center"/>
                  <w:hideMark/>
                </w:tcPr>
                <w:p w:rsidR="00F16A1D" w:rsidRDefault="00F16A1D" w:rsidP="00F16A1D">
                  <w:pPr>
                    <w:pStyle w:val="Heading1"/>
                    <w:rPr>
                      <w:rFonts w:eastAsia="Times New Roman"/>
                      <w:b/>
                      <w:bCs/>
                      <w:color w:val="000000"/>
                    </w:rPr>
                  </w:pPr>
                </w:p>
              </w:tc>
              <w:tc>
                <w:tcPr>
                  <w:tcW w:w="18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pPr>
                  <w:r>
                    <w:rPr>
                      <w:rFonts w:ascii="Segoe UI" w:hAnsi="Segoe UI" w:cs="Segoe UI"/>
                      <w:outline/>
                      <w:color w:val="000000"/>
                      <w:sz w:val="20"/>
                      <w:szCs w:val="20"/>
                      <w:lang w:eastAsia="en-AU"/>
                      <w14:textOutline w14:w="9525" w14:cap="flat" w14:cmpd="sng" w14:algn="ctr">
                        <w14:solidFill>
                          <w14:srgbClr w14:val="000000"/>
                        </w14:solidFill>
                        <w14:prstDash w14:val="solid"/>
                        <w14:round/>
                      </w14:textOutline>
                      <w14:textFill>
                        <w14:noFill/>
                      </w14:textFill>
                    </w:rPr>
                    <w:t xml:space="preserve">ANZBUY-461 </w:t>
                  </w:r>
                  <w:r>
                    <w:t xml:space="preserve"> </w:t>
                  </w:r>
                </w:p>
              </w:tc>
              <w:tc>
                <w:tcPr>
                  <w:tcW w:w="8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6A1D" w:rsidRDefault="00F16A1D" w:rsidP="00F16A1D">
                  <w:pPr>
                    <w:pStyle w:val="Heading1"/>
                    <w:rPr>
                      <w:rFonts w:ascii="Verdana" w:hAnsi="Verdana" w:cs="Calibri"/>
                      <w:b/>
                      <w:sz w:val="20"/>
                      <w:szCs w:val="20"/>
                    </w:rPr>
                  </w:pPr>
                  <w:r>
                    <w:rPr>
                      <w:rFonts w:ascii="Verdana" w:hAnsi="Verdana" w:cs="Calibri"/>
                      <w:b/>
                      <w:sz w:val="20"/>
                      <w:szCs w:val="20"/>
                    </w:rPr>
                    <w:t>Get Supplier details based on ACM_ID:</w:t>
                  </w:r>
                </w:p>
                <w:p w:rsidR="00F16A1D" w:rsidRDefault="00F16A1D" w:rsidP="00F16A1D">
                  <w:pPr>
                    <w:pStyle w:val="Heading1"/>
                    <w:rPr>
                      <w:b/>
                      <w:bCs/>
                      <w:color w:val="000000"/>
                    </w:rPr>
                  </w:pPr>
                  <w:r>
                    <w:rPr>
                      <w:rFonts w:ascii="Segoe UI" w:hAnsi="Segoe UI" w:cs="Segoe UI"/>
                      <w:color w:val="172B4D"/>
                      <w:sz w:val="21"/>
                      <w:szCs w:val="21"/>
                      <w:shd w:val="clear" w:color="auto" w:fill="FFFFFF"/>
                    </w:rPr>
                    <w:t xml:space="preserve"> As part of this Change, We have </w:t>
                  </w:r>
                  <w:proofErr w:type="gramStart"/>
                  <w:r>
                    <w:rPr>
                      <w:rFonts w:ascii="Segoe UI" w:hAnsi="Segoe UI" w:cs="Segoe UI"/>
                      <w:color w:val="172B4D"/>
                      <w:sz w:val="21"/>
                      <w:szCs w:val="21"/>
                      <w:shd w:val="clear" w:color="auto" w:fill="FFFFFF"/>
                    </w:rPr>
                    <w:t>Created</w:t>
                  </w:r>
                  <w:proofErr w:type="gramEnd"/>
                  <w:r>
                    <w:rPr>
                      <w:rFonts w:ascii="Segoe UI" w:hAnsi="Segoe UI" w:cs="Segoe UI"/>
                      <w:color w:val="172B4D"/>
                      <w:sz w:val="21"/>
                      <w:szCs w:val="21"/>
                      <w:shd w:val="clear" w:color="auto" w:fill="FFFFFF"/>
                    </w:rPr>
                    <w:t xml:space="preserve"> an integration to obtain supplier details based on the ACM ID. ACM ID is a unique identifier when new supplier is created in SLP. This ACM ID is also maintained in PeopleSoft. This is a sub integration in OIC to get the vendor details from PeopleSoft for the vendors that are integrated from SLP.</w:t>
                  </w:r>
                </w:p>
              </w:tc>
            </w:tr>
          </w:tbl>
          <w:p w:rsidR="00F16A1D" w:rsidRDefault="00F16A1D" w:rsidP="00F16A1D">
            <w:pPr>
              <w:pStyle w:val="Heading1"/>
              <w:rPr>
                <w:rFonts w:ascii="Verdana" w:eastAsia="Times New Roman" w:hAnsi="Verdana"/>
                <w:b/>
                <w:bCs/>
                <w:caps/>
                <w:color w:val="1F497D"/>
                <w:sz w:val="24"/>
                <w:szCs w:val="24"/>
              </w:rPr>
            </w:pPr>
          </w:p>
          <w:p w:rsidR="00F16A1D" w:rsidRDefault="00F16A1D" w:rsidP="00F16A1D">
            <w:pPr>
              <w:pStyle w:val="Heading1"/>
              <w:rPr>
                <w:rFonts w:cs="Calibri"/>
              </w:rPr>
            </w:pPr>
          </w:p>
          <w:tbl>
            <w:tblPr>
              <w:tblpPr w:leftFromText="180" w:rightFromText="180" w:bottomFromText="160" w:vertAnchor="text"/>
              <w:tblW w:w="0" w:type="auto"/>
              <w:tblCellMar>
                <w:left w:w="0" w:type="dxa"/>
                <w:right w:w="0" w:type="dxa"/>
              </w:tblCellMar>
              <w:tblLook w:val="04A0" w:firstRow="1" w:lastRow="0" w:firstColumn="1" w:lastColumn="0" w:noHBand="0" w:noVBand="1"/>
            </w:tblPr>
            <w:tblGrid>
              <w:gridCol w:w="6415"/>
              <w:gridCol w:w="822"/>
              <w:gridCol w:w="769"/>
            </w:tblGrid>
            <w:tr w:rsidR="00F16A1D">
              <w:trPr>
                <w:trHeight w:val="929"/>
              </w:trPr>
              <w:tc>
                <w:tcPr>
                  <w:tcW w:w="8289" w:type="dxa"/>
                  <w:shd w:val="clear" w:color="auto" w:fill="00B0F0"/>
                  <w:tcMar>
                    <w:top w:w="0" w:type="dxa"/>
                    <w:left w:w="108" w:type="dxa"/>
                    <w:bottom w:w="0" w:type="dxa"/>
                    <w:right w:w="108" w:type="dxa"/>
                  </w:tcMar>
                  <w:vAlign w:val="center"/>
                  <w:hideMark/>
                </w:tcPr>
                <w:tbl>
                  <w:tblPr>
                    <w:tblW w:w="7521" w:type="dxa"/>
                    <w:tblInd w:w="552" w:type="dxa"/>
                    <w:tblCellMar>
                      <w:left w:w="0" w:type="dxa"/>
                      <w:right w:w="0" w:type="dxa"/>
                    </w:tblCellMar>
                    <w:tblLook w:val="04A0" w:firstRow="1" w:lastRow="0" w:firstColumn="1" w:lastColumn="0" w:noHBand="0" w:noVBand="1"/>
                  </w:tblPr>
                  <w:tblGrid>
                    <w:gridCol w:w="7015"/>
                    <w:gridCol w:w="246"/>
                    <w:gridCol w:w="260"/>
                  </w:tblGrid>
                  <w:tr w:rsidR="00F16A1D">
                    <w:trPr>
                      <w:trHeight w:val="518"/>
                    </w:trPr>
                    <w:tc>
                      <w:tcPr>
                        <w:tcW w:w="7015" w:type="dxa"/>
                        <w:shd w:val="clear" w:color="auto" w:fill="00B0F0"/>
                        <w:tcMar>
                          <w:top w:w="0" w:type="dxa"/>
                          <w:left w:w="108" w:type="dxa"/>
                          <w:bottom w:w="0" w:type="dxa"/>
                          <w:right w:w="108" w:type="dxa"/>
                        </w:tcMar>
                        <w:vAlign w:val="center"/>
                        <w:hideMark/>
                      </w:tcPr>
                      <w:p w:rsidR="00F16A1D" w:rsidRDefault="00F16A1D" w:rsidP="00F16A1D">
                        <w:pPr>
                          <w:pStyle w:val="Heading1"/>
                          <w:rPr>
                            <w:rFonts w:ascii="Verdana" w:hAnsi="Verdana"/>
                            <w:caps/>
                            <w:color w:val="FFFFFF"/>
                            <w:sz w:val="20"/>
                            <w:szCs w:val="20"/>
                          </w:rPr>
                        </w:pPr>
                        <w:r>
                          <w:rPr>
                            <w:rFonts w:ascii="Verdana" w:hAnsi="Verdana"/>
                            <w:caps/>
                            <w:color w:val="FFFFFF"/>
                            <w:sz w:val="18"/>
                            <w:szCs w:val="18"/>
                          </w:rPr>
                          <w:lastRenderedPageBreak/>
                          <w:t>Please help rate your experience with This month’s releases</w:t>
                        </w:r>
                      </w:p>
                    </w:tc>
                    <w:tc>
                      <w:tcPr>
                        <w:tcW w:w="246" w:type="dxa"/>
                        <w:shd w:val="clear" w:color="auto" w:fill="00B0F0"/>
                        <w:tcMar>
                          <w:top w:w="0" w:type="dxa"/>
                          <w:left w:w="108" w:type="dxa"/>
                          <w:bottom w:w="0" w:type="dxa"/>
                          <w:right w:w="108" w:type="dxa"/>
                        </w:tcMar>
                        <w:vAlign w:val="center"/>
                        <w:hideMark/>
                      </w:tcPr>
                      <w:p w:rsidR="00F16A1D" w:rsidRDefault="00F16A1D" w:rsidP="00F16A1D">
                        <w:pPr>
                          <w:pStyle w:val="Heading1"/>
                          <w:rPr>
                            <w:rFonts w:ascii="Verdana" w:hAnsi="Verdana"/>
                            <w:caps/>
                            <w:color w:val="FFFFFF"/>
                            <w:sz w:val="20"/>
                            <w:szCs w:val="20"/>
                          </w:rPr>
                        </w:pPr>
                      </w:p>
                    </w:tc>
                    <w:tc>
                      <w:tcPr>
                        <w:tcW w:w="260" w:type="dxa"/>
                        <w:shd w:val="clear" w:color="auto" w:fill="00B0F0"/>
                        <w:tcMar>
                          <w:top w:w="0" w:type="dxa"/>
                          <w:left w:w="108" w:type="dxa"/>
                          <w:bottom w:w="0" w:type="dxa"/>
                          <w:right w:w="108" w:type="dxa"/>
                        </w:tcMar>
                        <w:vAlign w:val="center"/>
                        <w:hideMark/>
                      </w:tcPr>
                      <w:p w:rsidR="00F16A1D" w:rsidRDefault="00F16A1D" w:rsidP="00F16A1D">
                        <w:pPr>
                          <w:pStyle w:val="Heading1"/>
                          <w:rPr>
                            <w:rFonts w:eastAsiaTheme="minorHAnsi"/>
                            <w:sz w:val="20"/>
                            <w:szCs w:val="20"/>
                            <w:lang w:val="en-AU" w:eastAsia="en-AU"/>
                          </w:rPr>
                        </w:pPr>
                      </w:p>
                    </w:tc>
                  </w:tr>
                </w:tbl>
                <w:p w:rsidR="00F16A1D" w:rsidRDefault="00F16A1D" w:rsidP="00F16A1D">
                  <w:pPr>
                    <w:pStyle w:val="Heading1"/>
                    <w:rPr>
                      <w:rFonts w:eastAsiaTheme="minorHAnsi"/>
                      <w:lang w:val="en-AU"/>
                    </w:rPr>
                  </w:pPr>
                </w:p>
              </w:tc>
              <w:tc>
                <w:tcPr>
                  <w:tcW w:w="1236" w:type="dxa"/>
                  <w:shd w:val="clear" w:color="auto" w:fill="00B0F0"/>
                  <w:tcMar>
                    <w:top w:w="0" w:type="dxa"/>
                    <w:left w:w="108" w:type="dxa"/>
                    <w:bottom w:w="0" w:type="dxa"/>
                    <w:right w:w="108" w:type="dxa"/>
                  </w:tcMar>
                  <w:vAlign w:val="center"/>
                  <w:hideMark/>
                </w:tcPr>
                <w:p w:rsidR="00F16A1D" w:rsidRDefault="00F16A1D" w:rsidP="00F16A1D">
                  <w:pPr>
                    <w:pStyle w:val="Heading1"/>
                    <w:rPr>
                      <w:rFonts w:ascii="Verdana" w:eastAsiaTheme="minorHAnsi" w:hAnsi="Verdana"/>
                      <w:caps/>
                      <w:color w:val="404040"/>
                      <w:sz w:val="20"/>
                      <w:szCs w:val="20"/>
                    </w:rPr>
                  </w:pPr>
                  <w:r>
                    <w:rPr>
                      <w:noProof/>
                      <w:lang w:val="en-AU" w:eastAsia="en-AU"/>
                    </w:rPr>
                    <w:drawing>
                      <wp:inline distT="0" distB="0" distL="0" distR="0">
                        <wp:extent cx="440055" cy="457200"/>
                        <wp:effectExtent l="0" t="0" r="0" b="0"/>
                        <wp:docPr id="2" name="Picture 2" descr="cid:image002.png@01D56827.F53397B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6827.F53397B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40055" cy="457200"/>
                                </a:xfrm>
                                <a:prstGeom prst="rect">
                                  <a:avLst/>
                                </a:prstGeom>
                                <a:noFill/>
                                <a:ln>
                                  <a:noFill/>
                                </a:ln>
                              </pic:spPr>
                            </pic:pic>
                          </a:graphicData>
                        </a:graphic>
                      </wp:inline>
                    </w:drawing>
                  </w:r>
                  <w:r>
                    <w:rPr>
                      <w:rFonts w:ascii="Verdana" w:hAnsi="Verdana"/>
                      <w:caps/>
                      <w:color w:val="1F497D"/>
                      <w:sz w:val="20"/>
                      <w:szCs w:val="20"/>
                    </w:rPr>
                    <w:t xml:space="preserve">   </w:t>
                  </w:r>
                </w:p>
              </w:tc>
              <w:tc>
                <w:tcPr>
                  <w:tcW w:w="2265" w:type="dxa"/>
                  <w:shd w:val="clear" w:color="auto" w:fill="00B0F0"/>
                  <w:tcMar>
                    <w:top w:w="0" w:type="dxa"/>
                    <w:left w:w="108" w:type="dxa"/>
                    <w:bottom w:w="0" w:type="dxa"/>
                    <w:right w:w="108" w:type="dxa"/>
                  </w:tcMar>
                  <w:vAlign w:val="center"/>
                  <w:hideMark/>
                </w:tcPr>
                <w:p w:rsidR="00F16A1D" w:rsidRDefault="00F16A1D" w:rsidP="00F16A1D">
                  <w:pPr>
                    <w:pStyle w:val="Heading1"/>
                    <w:rPr>
                      <w:rFonts w:ascii="Verdana" w:eastAsia="Times New Roman" w:hAnsi="Verdana"/>
                      <w:caps/>
                      <w:color w:val="404040"/>
                      <w:sz w:val="20"/>
                      <w:szCs w:val="20"/>
                    </w:rPr>
                  </w:pPr>
                  <w:r>
                    <w:rPr>
                      <w:noProof/>
                      <w:lang w:val="en-AU" w:eastAsia="en-AU"/>
                    </w:rPr>
                    <w:drawing>
                      <wp:inline distT="0" distB="0" distL="0" distR="0">
                        <wp:extent cx="483235" cy="474345"/>
                        <wp:effectExtent l="0" t="0" r="0" b="1905"/>
                        <wp:docPr id="1" name="Picture 1" descr="cid:image003.png@01D56827.F53397B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6827.F53397B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83235" cy="474345"/>
                                </a:xfrm>
                                <a:prstGeom prst="rect">
                                  <a:avLst/>
                                </a:prstGeom>
                                <a:noFill/>
                                <a:ln>
                                  <a:noFill/>
                                </a:ln>
                              </pic:spPr>
                            </pic:pic>
                          </a:graphicData>
                        </a:graphic>
                      </wp:inline>
                    </w:drawing>
                  </w:r>
                </w:p>
              </w:tc>
            </w:tr>
          </w:tbl>
          <w:p w:rsidR="00F16A1D" w:rsidRDefault="00F16A1D" w:rsidP="00F16A1D">
            <w:pPr>
              <w:pStyle w:val="Heading1"/>
              <w:rPr>
                <w:rFonts w:ascii="Verdana" w:eastAsia="Times New Roman" w:hAnsi="Verdana"/>
                <w:color w:val="404040"/>
                <w:sz w:val="20"/>
                <w:szCs w:val="20"/>
              </w:rPr>
            </w:pPr>
          </w:p>
          <w:p w:rsidR="00F16A1D" w:rsidRDefault="00F16A1D" w:rsidP="00F16A1D">
            <w:pPr>
              <w:pStyle w:val="Heading1"/>
              <w:rPr>
                <w:rFonts w:ascii="Verdana" w:hAnsi="Verdana"/>
                <w:color w:val="004165"/>
              </w:rPr>
            </w:pPr>
            <w:r>
              <w:rPr>
                <w:rFonts w:ascii="Verdana" w:hAnsi="Verdana"/>
                <w:color w:val="004165"/>
                <w:sz w:val="20"/>
                <w:szCs w:val="20"/>
              </w:rPr>
              <w:t>Regards,</w:t>
            </w:r>
          </w:p>
          <w:p w:rsidR="00F16A1D" w:rsidRDefault="00F16A1D" w:rsidP="00F16A1D">
            <w:pPr>
              <w:pStyle w:val="Heading1"/>
              <w:rPr>
                <w:rFonts w:ascii="Verdana" w:hAnsi="Verdana"/>
                <w:b/>
                <w:bCs/>
                <w:color w:val="1F497D"/>
                <w:sz w:val="20"/>
                <w:szCs w:val="20"/>
              </w:rPr>
            </w:pPr>
            <w:r>
              <w:rPr>
                <w:rFonts w:ascii="Verdana" w:hAnsi="Verdana"/>
                <w:b/>
                <w:bCs/>
                <w:color w:val="1F497D"/>
                <w:sz w:val="20"/>
                <w:szCs w:val="20"/>
              </w:rPr>
              <w:t>Source to Pay (S2P) Squad, Corporate Experience Tech Area</w:t>
            </w:r>
          </w:p>
        </w:tc>
      </w:tr>
      <w:tr w:rsidR="00F16A1D" w:rsidTr="00F16A1D">
        <w:trPr>
          <w:cantSplit/>
          <w:trHeight w:val="477"/>
          <w:jc w:val="center"/>
        </w:trPr>
        <w:tc>
          <w:tcPr>
            <w:tcW w:w="5000" w:type="pct"/>
            <w:shd w:val="clear" w:color="auto" w:fill="1F497D"/>
            <w:vAlign w:val="center"/>
          </w:tcPr>
          <w:p w:rsidR="00F16A1D" w:rsidRDefault="00F16A1D" w:rsidP="00F16A1D">
            <w:pPr>
              <w:pStyle w:val="Heading1"/>
              <w:rPr>
                <w:rFonts w:ascii="Verdana" w:hAnsi="Verdana"/>
                <w:color w:val="595959"/>
                <w:sz w:val="16"/>
                <w:szCs w:val="16"/>
              </w:rPr>
            </w:pPr>
            <w:r>
              <w:rPr>
                <w:rFonts w:ascii="Verdana" w:hAnsi="Verdana"/>
                <w:color w:val="FFFFFF"/>
                <w:sz w:val="16"/>
                <w:szCs w:val="16"/>
              </w:rPr>
              <w:lastRenderedPageBreak/>
              <w:t>© Australia and New Zealand Banking Group Limited (ANZ) 2018 ABN 11 005 357 522.</w:t>
            </w:r>
          </w:p>
          <w:p w:rsidR="00F16A1D" w:rsidRDefault="00F16A1D" w:rsidP="00F16A1D">
            <w:pPr>
              <w:pStyle w:val="Heading1"/>
              <w:rPr>
                <w:rFonts w:ascii="Verdana" w:hAnsi="Verdana"/>
                <w:color w:val="FFFFFF"/>
                <w:sz w:val="16"/>
                <w:szCs w:val="16"/>
                <w:lang w:val="en-AU"/>
              </w:rPr>
            </w:pPr>
          </w:p>
        </w:tc>
      </w:tr>
    </w:tbl>
    <w:p w:rsidR="00F16A1D" w:rsidRDefault="00F16A1D" w:rsidP="00F16A1D">
      <w:pPr>
        <w:pStyle w:val="Heading1"/>
        <w:rPr>
          <w:rFonts w:eastAsia="Times New Roman"/>
        </w:rPr>
      </w:pPr>
    </w:p>
    <w:bookmarkEnd w:id="0"/>
    <w:p w:rsidR="00886617" w:rsidRPr="005443DD" w:rsidRDefault="00886617" w:rsidP="00F16A1D">
      <w:pPr>
        <w:pStyle w:val="Heading1"/>
        <w:rPr>
          <w:sz w:val="20"/>
          <w:szCs w:val="20"/>
        </w:rPr>
      </w:pPr>
    </w:p>
    <w:sectPr w:rsidR="00886617" w:rsidRPr="00544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1D"/>
    <w:rsid w:val="005443DD"/>
    <w:rsid w:val="00886617"/>
    <w:rsid w:val="00896EF8"/>
    <w:rsid w:val="009C20B8"/>
    <w:rsid w:val="00BC6645"/>
    <w:rsid w:val="00E96923"/>
    <w:rsid w:val="00F16A1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9ED4C-A3D9-470C-963E-AA991A63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1D"/>
    <w:pPr>
      <w:spacing w:after="0" w:line="240" w:lineRule="auto"/>
    </w:pPr>
    <w:rPr>
      <w:rFonts w:ascii="Calibri" w:eastAsia="Times New Roman" w:hAnsi="Calibri" w:cs="Times New Roman"/>
      <w:lang w:val="en-IN"/>
    </w:rPr>
  </w:style>
  <w:style w:type="paragraph" w:styleId="Heading1">
    <w:name w:val="heading 1"/>
    <w:basedOn w:val="Normal"/>
    <w:next w:val="Normal"/>
    <w:link w:val="Heading1Char"/>
    <w:uiPriority w:val="9"/>
    <w:qFormat/>
    <w:rsid w:val="00F16A1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A1D"/>
    <w:pPr>
      <w:spacing w:before="100" w:beforeAutospacing="1" w:after="100" w:afterAutospacing="1"/>
    </w:pPr>
    <w:rPr>
      <w:rFonts w:ascii="Times New Roman" w:hAnsi="Times New Roman"/>
      <w:sz w:val="24"/>
      <w:szCs w:val="24"/>
      <w:lang w:val="en-AU" w:eastAsia="en-AU"/>
    </w:rPr>
  </w:style>
  <w:style w:type="paragraph" w:styleId="NoSpacing">
    <w:name w:val="No Spacing"/>
    <w:uiPriority w:val="1"/>
    <w:qFormat/>
    <w:rsid w:val="00F16A1D"/>
    <w:pPr>
      <w:spacing w:after="0" w:line="240" w:lineRule="auto"/>
    </w:pPr>
    <w:rPr>
      <w:rFonts w:ascii="Calibri" w:eastAsia="Times New Roman" w:hAnsi="Calibri" w:cs="Times New Roman"/>
      <w:lang w:val="en-IN"/>
    </w:rPr>
  </w:style>
  <w:style w:type="character" w:customStyle="1" w:styleId="Heading1Char">
    <w:name w:val="Heading 1 Char"/>
    <w:basedOn w:val="DefaultParagraphFont"/>
    <w:link w:val="Heading1"/>
    <w:uiPriority w:val="9"/>
    <w:rsid w:val="00F16A1D"/>
    <w:rPr>
      <w:rFonts w:asciiTheme="majorHAnsi" w:eastAsiaTheme="majorEastAsia" w:hAnsiTheme="majorHAnsi" w:cstheme="majorBidi"/>
      <w:color w:val="365F91"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rmsflow@anz.com?subject=Feedback%20for%20P2P%2014th%20Mar%20release%20Downvote&amp;body=Please%20provide%20specifics%20of%20what%20we%20can%20improve." TargetMode="External"/><Relationship Id="rId3" Type="http://schemas.openxmlformats.org/officeDocument/2006/relationships/webSettings" Target="webSettings.xml"/><Relationship Id="rId7" Type="http://schemas.openxmlformats.org/officeDocument/2006/relationships/image" Target="cid:image002.png@01D56827.F53397B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mailto:wrmsflow@anz.com?subject=Feedback%20for%20P2P%2014th%20Mar%20release%20Upvote&amp;body=Please%20provide%20specifics%20of%20what%20you%20liked." TargetMode="External"/><Relationship Id="rId10" Type="http://schemas.openxmlformats.org/officeDocument/2006/relationships/image" Target="cid:image003.png@01D56827.F53397B0" TargetMode="Externa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552</Words>
  <Characters>3150</Characters>
  <Application>Microsoft Office Word</Application>
  <DocSecurity>0</DocSecurity>
  <Lines>26</Lines>
  <Paragraphs>7</Paragraphs>
  <ScaleCrop>false</ScaleCrop>
  <Company>ANZ</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Nynari, Bhanu Chandhar</dc:creator>
  <cp:keywords/>
  <dc:description/>
  <cp:lastModifiedBy>Nynari, Bhanu Chandhar</cp:lastModifiedBy>
  <cp:revision>1</cp:revision>
  <dcterms:created xsi:type="dcterms:W3CDTF">2020-12-15T16:09:00Z</dcterms:created>
  <dcterms:modified xsi:type="dcterms:W3CDTF">2020-12-15T16:10:00Z</dcterms:modified>
</cp:coreProperties>
</file>