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  <Relationship Id="rId4" Type="http://schemas.openxmlformats.org/officeDocument/2006/relationships/custom-properties" Target="docProps/custom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80"/>
        <w:jc w:val="center"/>
      </w:pPr>
      <w:r>
        <w:rPr>
          <w:rFonts w:ascii="맑은 고딕" w:cs="맑은 고딕" w:eastAsia="맑은 고딕" w:hAnsi="맑은 고딕"/>
          <w:b/>
          <w:bCs/>
          <w:color w:val="1B3A5C"/>
          <w:sz w:val="56"/>
          <w:szCs w:val="56"/>
        </w:rPr>
        <w:t xml:space="preserve">VisionAI 가격 예측 AI</w:t>
      </w:r>
    </w:p>
    <w:p>
      <w:pPr>
        <w:spacing w:after="40"/>
        <w:jc w:val="center"/>
      </w:pPr>
      <w:r>
        <w:rPr>
          <w:rFonts w:ascii="맑은 고딕" w:cs="맑은 고딕" w:eastAsia="맑은 고딕" w:hAnsi="맑은 고딕"/>
          <w:color w:val="2E75B6"/>
          <w:sz w:val="28"/>
          <w:szCs w:val="28"/>
        </w:rPr>
        <w:t xml:space="preserve">접근 방법론 및 연구 경과 종합 정리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Art Price Prediction: Methodology &amp; Research Summary</w:t>
      </w:r>
    </w:p>
    <w:p>
      <w:pPr>
        <w:spacing w:before="600"/>
      </w:pPr>
    </w:p>
    <w:p>
      <w:pPr>
        <w:jc w:val="center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작성일: 2026-03-31  |  작성자: 고보승  |  과제번호: TIPS-2026-XXXXX</w:t>
      </w:r>
    </w:p>
    <w:p>
      <w:r>
        <w:br w:type="page"/>
      </w:r>
    </w:p>
    <w:p>
      <w:pPr>
        <w:pBdr>
          <w:bottom w:val="single" w:color="1B3A5C" w:sz="8" w:space="6"/>
        </w:pBdr>
        <w:spacing w:after="160" w:before="400"/>
      </w:pPr>
      <w:r>
        <w:rPr>
          <w:rFonts w:ascii="맑은 고딕" w:cs="맑은 고딕" w:eastAsia="맑은 고딕" w:hAnsi="맑은 고딕"/>
          <w:b/>
          <w:bCs/>
          <w:color w:val="1B3A5C"/>
          <w:sz w:val="32"/>
          <w:szCs w:val="32"/>
        </w:rPr>
        <w:t xml:space="preserve">1. 프로젝트 개요</w:t>
      </w:r>
    </w:p>
    <w:p>
      <w:pPr>
        <w:pBdr>
          <w:bottom w:val="single" w:color="2E75B6" w:sz="4" w:space="4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B3A5C"/>
          <w:sz w:val="26"/>
          <w:szCs w:val="26"/>
        </w:rPr>
        <w:t xml:space="preserve">1.1 궁극적 목표: 미술품 가치 평가(Valuation)</w:t>
      </w:r>
    </w:p>
    <w:p>
      <w:pPr>
        <w:spacing w:after="60" w:before="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VisionAI 가격 예측 AI의 궁극적인 목표는 미술품의 “시가(시세)” 또는 “감정가”를 AI로 책정하는 것입니다. 즉, 경매에 출품되지 않은 작품을 포함하여 모든 미술품의 현재 적정 가치를 객관적으로 산출할 수 있는 시스템을 구축하는 것이 최종 비전입니다.</w:t>
      </w:r>
    </w:p>
    <w:p>
      <w:pPr>
        <w:spacing w:before="80"/>
      </w:pPr>
    </w:p>
    <w:p>
      <w:pPr>
        <w:spacing w:after="60" w:before="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기존 미술품 감정은 소수 전문가의 경험과 직관에 의존합니다. 작가 명성, 작품 크기, 재료, 시장 동향 등 다양한 요소를 종합적으로 고려해야 하지만, 이 과정은 주관적이고 확장성이 제한됩니다. VisionAI는 이를 데이터 기반의 정량적 모델로 대체하여, 누구나 빠르고 일관된 가치 평가를 받을 수 있도록 하는 것을 목표로 합니다.</w:t>
      </w:r>
    </w:p>
    <w:p>
      <w:pPr>
        <w:spacing w:before="80"/>
      </w:pPr>
    </w:p>
    <w:p>
      <w:pPr>
        <w:pBdr>
          <w:bottom w:val="single" w:color="2E75B6" w:sz="4" w:space="4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B3A5C"/>
          <w:sz w:val="26"/>
          <w:szCs w:val="26"/>
        </w:rPr>
        <w:t xml:space="preserve">1.2 왜 경매 낙찰가부터 시작하는가</w:t>
      </w:r>
    </w:p>
    <w:p>
      <w:pPr>
        <w:spacing w:after="60" w:before="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미술품의 “적정 가치”를 산출하려면 실제 거래가 성립된 가격 데이터가 필수적입니다. 경매 낙찰가는 실제 구매자와 판매자가 합의한 시장 가격이며, 다음과 같은 이점으로 가치 평가의 출발점으로 가장 적합합니다:</w:t>
      </w:r>
    </w:p>
    <w:p>
      <w:pPr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데이터 접근성: 경매 낙찰 데이터는 공개적으로 수집 가능한 가장 대규모의 거래 데이터입니다. 갤러리 거래나 개인 거래는 비공개인 반면, 경매 결과는 11개 경매사에서 10만 건 규모로 확보할 수 있습니다.</w:t>
      </w:r>
    </w:p>
    <w:p>
      <w:pPr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가격 신뢰성: 낙찰가는 공개 경쟁을 통해 형성된 시장 가격으로, 감정 평가나 호가(호가)보다 객관적입니다. 실제 수요와 공급이 반영된 “실거래가”입니다.</w:t>
      </w:r>
    </w:p>
    <w:p>
      <w:pPr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표준화된 메타데이터: 경매 카탈로그에는 작가명, 크기, 재료, 추정가 등 표준화된 정보가 함께 기록되어, 피체 엔지니어링에 적합합니다.</w:t>
      </w:r>
    </w:p>
    <w:p>
      <w:pPr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학술적 기반: 미술 경제학의 헤도닉 가격 모델(Hedonic Pricing Model)이 경매 데이터를 기반으로 발전해 왔으며, 검증된 방법론을 적용할 수 있습니다.</w:t>
      </w:r>
    </w:p>
    <w:p>
      <w:pPr>
        <w:spacing w:before="120"/>
      </w:pPr>
    </w:p>
    <w:p>
      <w:pPr>
        <w:spacing w:after="60" w:before="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따라서 현재 단계에서는 경매 낙찰가 예측에 집중하여 가격 결정 변수의 관계를 학습하고, 이 학습된 모델을 기반으로 향후 갤러리 거래, 작품 보험 감정, 재산 평가 등 더 넓은 가치 평가 영역으로 확장해 나가는 전략입니다.</w:t>
      </w:r>
    </w:p>
    <w:p>
      <w:pPr>
        <w:spacing w:before="120"/>
      </w:pPr>
    </w:p>
    <w:p>
      <w:pPr>
        <w:shd w:val="clear" w:color="auto" w:fill="E8EDF2"/>
        <w:spacing w:after="80" w:before="80"/>
        <w:ind w:left="360"/>
      </w:pPr>
      <w:r>
        <w:rPr>
          <w:rFonts w:ascii="Consolas" w:cs="Consolas" w:eastAsia="Consolas" w:hAnsi="Consolas"/>
          <w:color w:val="444444"/>
          <w:sz w:val="18"/>
          <w:szCs w:val="18"/>
        </w:rPr>
        <w:t xml:space="preserve">궁극적 목표: 미술품 가치 평가(시가/감정가 책정)  ←  현재 단계: 경매 낙찰가 예측  ←  이유: 경매 데이터가 가장 접근 용이하고 신뢰성 높음</w:t>
      </w:r>
    </w:p>
    <w:p>
      <w:pPr>
        <w:spacing w:before="120"/>
      </w:pPr>
    </w:p>
    <w:p>
      <w:pPr>
        <w:pBdr>
          <w:bottom w:val="single" w:color="2E75B6" w:sz="4" w:space="4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B3A5C"/>
          <w:sz w:val="26"/>
          <w:szCs w:val="26"/>
        </w:rPr>
        <w:t xml:space="preserve">1.3 낙찰가 예측에서 가치 평가로의 확장 경로</w:t>
      </w:r>
    </w:p>
    <w:p>
      <w:pPr>
        <w:spacing w:after="60" w:before="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경매 낙찰가 예측 모델이 학습한 “작품 속성 → 가격”의 관계는 경매 장면에만 한정되지 않습니다. 이 모델을 기반으로 다음과 같이 확장할 수 있습니다:</w:t>
      </w:r>
    </w:p>
    <w:p>
      <w:pPr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/>
          <w:color w:val="333333"/>
          <w:sz w:val="20"/>
          <w:szCs w:val="20"/>
        </w:rPr>
        <w:t xml:space="preserve">시세 가이드(M1):</w:t>
      </w: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 작가+호수 기준 시세 범위 → 작품의 현재 적정 가치 산출</w:t>
      </w:r>
    </w:p>
    <w:p>
      <w:pPr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/>
          <w:color w:val="333333"/>
          <w:sz w:val="20"/>
          <w:szCs w:val="20"/>
        </w:rPr>
        <w:t xml:space="preserve">보험/재산 감정:</w:t>
      </w: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 소장품의 보험 가액 산정, 재산 목록 평가에 활용</w:t>
      </w:r>
    </w:p>
    <w:p>
      <w:pPr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/>
          <w:color w:val="333333"/>
          <w:sz w:val="20"/>
          <w:szCs w:val="20"/>
        </w:rPr>
        <w:t xml:space="preserve">갤러리 가격 책정:</w:t>
      </w: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 비경매 거래(갤러리, 개인 거래)의 적정 가격 기준점 제시</w:t>
      </w:r>
    </w:p>
    <w:p>
      <w:pPr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/>
          <w:color w:val="333333"/>
          <w:sz w:val="20"/>
          <w:szCs w:val="20"/>
        </w:rPr>
        <w:t xml:space="preserve">위탁 전 가치 확인:</w:t>
      </w: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 경매 출품 전에 작품의 예상 가치를 미리 파악</w:t>
      </w:r>
    </w:p>
    <w:p>
      <w:pPr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/>
          <w:color w:val="333333"/>
          <w:sz w:val="20"/>
          <w:szCs w:val="20"/>
        </w:rPr>
        <w:t xml:space="preserve">투자 판단 지원:</w:t>
      </w: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 작품의 현재 시세 대비 저평가/고평가 판단 근거 제공</w:t>
      </w:r>
    </w:p>
    <w:p>
      <w:pPr>
        <w:spacing w:before="120"/>
      </w:pPr>
    </w:p>
    <w:p>
      <w:pPr>
        <w:pBdr>
          <w:bottom w:val="single" w:color="2E75B6" w:sz="4" w:space="4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B3A5C"/>
          <w:sz w:val="26"/>
          <w:szCs w:val="26"/>
        </w:rPr>
        <w:t xml:space="preserve">1.4 VisionAI 플랫폼 구조</w:t>
      </w:r>
    </w:p>
    <w:p>
      <w:pPr>
        <w:spacing w:after="60" w:before="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VisionAI 플랫폼은 4개 핵심 모듈로 구성되며, 가격 예측 AI는 모든 모듈의 핵심 데이터 파이프라인 역할을 담당합니다: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506"/>
      </w:tblGrid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모듈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기능</w:t>
            </w:r>
          </w:p>
        </w:tc>
        <w:tc>
          <w:tcPr>
            <w:tcW w:type="dxa" w:w="45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가격 예측 AI 연동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M1 시세 가이드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작가/호수별 시세 범위 제공</w:t>
            </w:r>
          </w:p>
        </w:tc>
        <w:tc>
          <w:tcPr>
            <w:tcW w:type="dxa" w:w="45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예측 모델의 가격 구간이 직접 노출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M2 작가 성장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작가 활동/관심도/가격 추이</w:t>
            </w:r>
          </w:p>
        </w:tc>
        <w:tc>
          <w:tcPr>
            <w:tcW w:type="dxa" w:w="45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가격 추이 차트에 예측값 반영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M3 작품 추천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취향 기반 작품 추천</w:t>
            </w:r>
          </w:p>
        </w:tc>
        <w:tc>
          <w:tcPr>
            <w:tcW w:type="dxa" w:w="45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시세 맥락 코멘트에 예측 가격 활용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M4 경매 최적화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리스팅 전략/시작가 권장</w:t>
            </w:r>
          </w:p>
        </w:tc>
        <w:tc>
          <w:tcPr>
            <w:tcW w:type="dxa" w:w="45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권장 시작가/기대 낙찰 구간 산출</w:t>
            </w:r>
          </w:p>
        </w:tc>
      </w:tr>
    </w:tbl>
    <w:p>
      <w:pPr>
        <w:pBdr>
          <w:bottom w:val="single" w:color="2E75B6" w:sz="4" w:space="4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B3A5C"/>
          <w:sz w:val="26"/>
          <w:szCs w:val="26"/>
        </w:rPr>
        <w:t xml:space="preserve">1.2 성과지표</w:t>
      </w:r>
    </w:p>
    <w:p>
      <w:pPr>
        <w:spacing w:after="60" w:before="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MdAPE (Median Absolute Percentage Error)를 주 성과지표로 사용합니다. MdAPE는 예측 오차율의 중간값으로, 극단적 이상치에 더 강건하여 미술품처럼 가격 분포가 편향된 도메인에 적합합니다. 보조 지표로 R², Coverage Rate(예측 구간 내 실제값 포함률), Within 30%(실제가 ±30% 이내 적중률)를 병행 추적합니다.</w:t>
      </w:r>
    </w:p>
    <w:p>
      <w:r>
        <w:br w:type="page"/>
      </w:r>
    </w:p>
    <w:p>
      <w:pPr>
        <w:pBdr>
          <w:bottom w:val="single" w:color="1B3A5C" w:sz="8" w:space="6"/>
        </w:pBdr>
        <w:spacing w:after="160" w:before="400"/>
      </w:pPr>
      <w:r>
        <w:rPr>
          <w:rFonts w:ascii="맑은 고딕" w:cs="맑은 고딕" w:eastAsia="맑은 고딕" w:hAnsi="맑은 고딕"/>
          <w:b/>
          <w:bCs/>
          <w:color w:val="1B3A5C"/>
          <w:sz w:val="32"/>
          <w:szCs w:val="32"/>
        </w:rPr>
        <w:t xml:space="preserve">2. 이론적 배경 및 모델링 근거</w:t>
      </w:r>
    </w:p>
    <w:p>
      <w:pPr>
        <w:pBdr>
          <w:bottom w:val="single" w:color="2E75B6" w:sz="4" w:space="4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B3A5C"/>
          <w:sz w:val="26"/>
          <w:szCs w:val="26"/>
        </w:rPr>
        <w:t xml:space="preserve">2.1 헤도닉 가격 모델 (Hedonic Pricing Model)</w:t>
      </w:r>
    </w:p>
    <w:p>
      <w:pPr>
        <w:spacing w:after="60" w:before="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1974년 경제학자 Sherwin Rosen이 제시한 “상품의 가격은 그 속성들의 함수”라는 이론이 VisionAI의 핵심 기반입니다. 아파트 가격이 면적/층수/학군 등으로 설명되듯, 미술품 가격도 작가 명성/크기/재료/경매 타입 등의 특성으로 설명할 수 있습니다.</w:t>
      </w:r>
    </w:p>
    <w:p>
      <w:pPr>
        <w:spacing w:before="80"/>
      </w:pPr>
    </w:p>
    <w:p>
      <w:pPr>
        <w:shd w:fill="F0F0F0" w:val="clear"/>
        <w:spacing w:after="80" w:before="80"/>
        <w:ind w:left="360"/>
      </w:pPr>
      <w:r>
        <w:rPr>
          <w:rFonts w:ascii="Consolas" w:cs="Consolas" w:eastAsia="Consolas" w:hAnsi="Consolas"/>
          <w:color w:val="444444"/>
          <w:sz w:val="18"/>
          <w:szCs w:val="18"/>
        </w:rPr>
        <w:t xml:space="preserve">ln(Pᵢ) = α + Σⱼ βⱼ · Xᵢⱼ + Σₜ γₜ · Dₜ + εᵢ</w:t>
      </w:r>
    </w:p>
    <w:p>
      <w:pPr>
        <w:spacing w:before="80"/>
      </w:pPr>
    </w:p>
    <w:p>
      <w:pPr>
        <w:spacing w:after="60" w:before="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여기서 Pᵢ는 작품 i의 낙찰가, Xᵢⱼ는 작품 특성 변수(크기, 매체, 작가 등), Dₜ는 시간 더미 변수(시장 추세 반영), βⱼ는 각 특성의 가격 기여 계수입니다. 종속변수를 log-price로 사용하여 분포를 정규화하고, Quantile Regression으로 확장하여 가격 구간(q25/q50/q75)을 예측합니다.</w:t>
      </w:r>
    </w:p>
    <w:p>
      <w:pPr>
        <w:pBdr>
          <w:bottom w:val="single" w:color="2E75B6" w:sz="4" w:space="4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B3A5C"/>
          <w:sz w:val="26"/>
          <w:szCs w:val="26"/>
        </w:rPr>
        <w:t xml:space="preserve">2.2 GBM 계열 모델 채택 근거</w:t>
      </w:r>
    </w:p>
    <w:p>
      <w:pPr>
        <w:spacing w:after="60" w:before="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학술 문헌과 실험을 통해 CatBoost를 주력 모델로 채택했습니다. 근거는 다음과 같습니다: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미술품 데이터는 고카디널리티 범주형 변수(작가명 수천~수만, 경매사, 매체, 장르)가 핵심 피체 — CatBoost의 Ordered Target Encoding이 이를 자동으로 효과적으로 인코딩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Fedderke &amp; Carugno (2025, Expert Systems with Applications) — 남아공 43,000건 경매 데이터에서 RF/GBM이 OLS/CNN 대비 미술품 가격 예측에서 우위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Kim &amp; Kim (2024, KES Journal) — 한국 경매 데이터에서 Two-step XGBoost가 단일 모델 대비 우위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CatBoost의 Ordered Boosting이 Target leakage 방지에 효과적 — 경매 데이터의 시계열 특성에 적합</w:t>
      </w:r>
    </w:p>
    <w:p>
      <w:pPr>
        <w:spacing w:before="8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506"/>
      </w:tblGrid>
      <w:tr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모델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문헌 기반 MAPE 범위</w:t>
            </w:r>
          </w:p>
        </w:tc>
        <w:tc>
          <w:tcPr>
            <w:tcW w:type="dxa" w:w="45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특징</w:t>
            </w:r>
          </w:p>
        </w:tc>
      </w:tr>
      <w:tr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OLS Hedonic Regression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~45-55%</w:t>
            </w:r>
          </w:p>
        </w:tc>
        <w:tc>
          <w:tcPr>
            <w:tcW w:type="dxa" w:w="45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전통적 기준선</w:t>
            </w:r>
          </w:p>
        </w:tc>
      </w:tr>
      <w:tr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Random Forest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~35-40%</w:t>
            </w:r>
          </w:p>
        </w:tc>
        <w:tc>
          <w:tcPr>
            <w:tcW w:type="dxa" w:w="45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비선형 포착</w:t>
            </w:r>
          </w:p>
        </w:tc>
      </w:tr>
      <w:tr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XGBoost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~30-35%</w:t>
            </w:r>
          </w:p>
        </w:tc>
        <w:tc>
          <w:tcPr>
            <w:tcW w:type="dxa" w:w="45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범주형 피체 강점</w:t>
            </w:r>
          </w:p>
        </w:tc>
      </w:tr>
      <w:tr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CatBoost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~28-33%</w:t>
            </w:r>
          </w:p>
        </w:tc>
        <w:tc>
          <w:tcPr>
            <w:tcW w:type="dxa" w:w="45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범주형 자동 처리, 순서 부스팅</w:t>
            </w:r>
          </w:p>
        </w:tc>
      </w:tr>
      <w:tr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LightGBM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~27-32%</w:t>
            </w:r>
          </w:p>
        </w:tc>
        <w:tc>
          <w:tcPr>
            <w:tcW w:type="dxa" w:w="45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대규모 데이터 빠른 학습</w:t>
            </w:r>
          </w:p>
        </w:tc>
      </w:tr>
      <w:tr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CNN + Tabular (멀티모달)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~30%</w:t>
            </w:r>
          </w:p>
        </w:tc>
        <w:tc>
          <w:tcPr>
            <w:tcW w:type="dxa" w:w="45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이미지 피체 포함</w:t>
            </w:r>
          </w:p>
        </w:tc>
      </w:tr>
    </w:tbl>
    <w:p>
      <w:pPr>
        <w:pBdr>
          <w:bottom w:val="single" w:color="2E75B6" w:sz="4" w:space="4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B3A5C"/>
          <w:sz w:val="26"/>
          <w:szCs w:val="26"/>
        </w:rPr>
        <w:t xml:space="preserve">2.3 가격 결정 변수 (피체) 체계</w:t>
      </w:r>
    </w:p>
    <w:p>
      <w:pPr>
        <w:spacing w:after="60" w:before="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학술 연구에서 밝혀진 미술품 경매 가격의 주요 결정 변수를 5개 카테고리로 분류하고, 이를 기반으로 50개 HEDONIC_FEATURES를 설계했습니다:</w:t>
      </w:r>
    </w:p>
    <w:p>
      <w:pPr>
        <w:spacing w:before="8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106"/>
        <w:gridCol w:w="2200"/>
      </w:tblGrid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카테고리</w:t>
            </w:r>
          </w:p>
        </w:tc>
        <w:tc>
          <w:tcPr>
            <w:tcW w:type="dxa" w:w="51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주요 변수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영향도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작가(Artist)</w:t>
            </w:r>
          </w:p>
        </w:tc>
        <w:tc>
          <w:tcPr>
            <w:tcW w:type="dxa" w:w="51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작가 정체성, 명성, 생존 여부, 과거 경매 이력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★★★★★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작품 물리적 특성</w:t>
            </w:r>
          </w:p>
        </w:tc>
        <w:tc>
          <w:tcPr>
            <w:tcW w:type="dxa" w:w="51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크기, 매체/재료, 지지체, 제목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★★★★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출처/이력(Provenance)</w:t>
            </w:r>
          </w:p>
        </w:tc>
        <w:tc>
          <w:tcPr>
            <w:tcW w:type="dxa" w:w="51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소장 이력, 전시 이력, 문헌 수록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★★★★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거래/시장(Market)</w:t>
            </w:r>
          </w:p>
        </w:tc>
        <w:tc>
          <w:tcPr>
            <w:tcW w:type="dxa" w:w="51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경매사, 경매 일시, 거시경제 지표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★★★★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비전(Visual)</w:t>
            </w:r>
          </w:p>
        </w:tc>
        <w:tc>
          <w:tcPr>
            <w:tcW w:type="dxa" w:w="51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스타일 임베딩, 색채, 구도 (미래 P4)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★★★</w:t>
            </w:r>
          </w:p>
        </w:tc>
      </w:tr>
    </w:tbl>
    <w:p>
      <w:r>
        <w:br w:type="page"/>
      </w:r>
    </w:p>
    <w:p>
      <w:pPr>
        <w:pBdr>
          <w:bottom w:val="single" w:color="1B3A5C" w:sz="8" w:space="6"/>
        </w:pBdr>
        <w:spacing w:after="160" w:before="400"/>
      </w:pPr>
      <w:r>
        <w:rPr>
          <w:rFonts w:ascii="맑은 고딕" w:cs="맑은 고딕" w:eastAsia="맑은 고딕" w:hAnsi="맑은 고딕"/>
          <w:b/>
          <w:bCs/>
          <w:color w:val="1B3A5C"/>
          <w:sz w:val="32"/>
          <w:szCs w:val="32"/>
        </w:rPr>
        <w:t xml:space="preserve">3. 접근 방법론: 어떻게 예측하는가</w:t>
      </w:r>
    </w:p>
    <w:p>
      <w:pPr>
        <w:pBdr>
          <w:bottom w:val="single" w:color="2E75B6" w:sz="4" w:space="4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B3A5C"/>
          <w:sz w:val="26"/>
          <w:szCs w:val="26"/>
        </w:rPr>
        <w:t xml:space="preserve">3.1 전체 파이프라인</w:t>
      </w:r>
    </w:p>
    <w:p>
      <w:pPr>
        <w:spacing w:after="60" w:before="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시스템은 다음과 같은 파이프라인으로 동작합니다:</w:t>
      </w:r>
    </w:p>
    <w:p>
      <w:pPr>
        <w:spacing w:before="80"/>
      </w:pPr>
    </w:p>
    <w:p>
      <w:pPr>
        <w:shd w:fill="F0F0F0" w:val="clear"/>
        <w:spacing w:after="80" w:before="80"/>
        <w:ind w:left="360"/>
      </w:pPr>
      <w:r>
        <w:rPr>
          <w:rFonts w:ascii="Consolas" w:cs="Consolas" w:eastAsia="Consolas" w:hAnsi="Consolas"/>
          <w:color w:val="444444"/>
          <w:sz w:val="18"/>
          <w:szCs w:val="18"/>
        </w:rPr>
        <w:t xml:space="preserve">입력(작가명, 크기, 재료, 경매타입) → 50개 피체 생성 → 모델 예측 → CQR 보정 → 신뢰도 등급 → 출력(가격범위 + 추정가 + 신뢰등급)</w:t>
      </w:r>
    </w:p>
    <w:p>
      <w:pPr>
        <w:spacing w:before="80"/>
      </w:pP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2E75B6"/>
          <w:sz w:val="22"/>
          <w:szCs w:val="22"/>
        </w:rPr>
        <w:t xml:space="preserve">50개 피체 구성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5806"/>
      </w:tblGrid>
      <w:tr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개수</w:t>
            </w:r>
          </w:p>
        </w:tc>
        <w:tc>
          <w:tcPr>
            <w:tcW w:type="dxa" w:w="58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예시</w:t>
            </w:r>
          </w:p>
        </w:tc>
      </w:tr>
      <w:tr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범주형 (Categorical)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8개</w:t>
            </w:r>
          </w:p>
        </w:tc>
        <w:tc>
          <w:tcPr>
            <w:tcW w:type="dxa" w:w="58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artist_clean, medium_category, support_category, is_3d, is_untitled 등</w:t>
            </w:r>
          </w:p>
        </w:tc>
      </w:tr>
      <w:tr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작가 통계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17개</w:t>
            </w:r>
          </w:p>
        </w:tc>
        <w:tc>
          <w:tcPr>
            <w:tcW w:type="dxa" w:w="58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artist_avg_price, artist_total_sold, artist_price_trend, artist_career_length 등</w:t>
            </w:r>
          </w:p>
        </w:tc>
      </w:tr>
      <w:tr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물리적 속성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11개</w:t>
            </w:r>
          </w:p>
        </w:tc>
        <w:tc>
          <w:tcPr>
            <w:tcW w:type="dxa" w:w="58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height_cm, width_cm, surface_area, estimated_ho, ln_surface_area 등</w:t>
            </w:r>
          </w:p>
        </w:tc>
      </w:tr>
      <w:tr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시장/비교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7개</w:t>
            </w:r>
          </w:p>
        </w:tc>
        <w:tc>
          <w:tcPr>
            <w:tcW w:type="dxa" w:w="58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medium_avg_price, market_price_index, comp_artist_avg, comp_weighted 등</w:t>
            </w:r>
          </w:p>
        </w:tc>
      </w:tr>
      <w:tr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시간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1개</w:t>
            </w:r>
          </w:p>
        </w:tc>
        <w:tc>
          <w:tcPr>
            <w:tcW w:type="dxa" w:w="58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sale_month (계절성)</w:t>
            </w:r>
          </w:p>
        </w:tc>
      </w:tr>
      <w:tr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제목 NLP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6개</w:t>
            </w:r>
          </w:p>
        </w:tc>
        <w:tc>
          <w:tcPr>
            <w:tcW w:type="dxa" w:w="58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title_length, title_is_korean, title_is_series 등</w:t>
            </w:r>
          </w:p>
        </w:tc>
      </w:tr>
    </w:tbl>
    <w:p>
      <w:pPr>
        <w:pBdr>
          <w:bottom w:val="single" w:color="2E75B6" w:sz="4" w:space="4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B3A5C"/>
          <w:sz w:val="26"/>
          <w:szCs w:val="26"/>
        </w:rPr>
        <w:t xml:space="preserve">3.2 모델 아키텍쳐</w:t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2E75B6"/>
          <w:sz w:val="22"/>
          <w:szCs w:val="22"/>
        </w:rPr>
        <w:t xml:space="preserve">Model-A: 가격 범위 예측 (주력)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CatBoost + LightGBM 앱산블(Ensemble) — 최적 모델로 확정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Quantile Regression으로 q25/q50/q75 가격 구간 예측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CQR (Conformalized Quantile Regression, alpha=0.38)로 구간 보정 — 유한 표본 커버리지 보장 (Romano et al., NeurIPS 2019)</w:t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2E75B6"/>
          <w:sz w:val="22"/>
          <w:szCs w:val="22"/>
        </w:rPr>
        <w:t xml:space="preserve">TwoStep: 가격대별 전문 모델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Step 1: 가격 구간 5개로 분류 (CatBoost Classifier)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Step 2: 구간별 전문 회귀 (CatBoost Regressor × 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근거: Kim &amp; Kim (2024) — 한국 경매에서 2단계 모델이 단일 모델 대비 우위</w:t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2E75B6"/>
          <w:sz w:val="22"/>
          <w:szCs w:val="22"/>
        </w:rPr>
        <w:t xml:space="preserve">Cold-Start 전략 (5-Tier Fallback)</w:t>
      </w:r>
    </w:p>
    <w:p>
      <w:pPr>
        <w:spacing w:after="60" w:before="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경매 이력이 없는 신규 작가에 대해 5단계 폴백 전략을 적용합니다: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Tier 0: ≥3건 이력 → 전체 모델 사용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Tier 1: 1-2건 이력 → (매체×크기×연대) 그룹 shrinkage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Tier 2: 0건 + 유사 작가 발견 → K-NN 이웃 가중 평균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Tier 3: 0건 + 매체×경매사 → Bayesian shrinkage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Tier 4: 0건 → 매체 전체 중앙값</w:t>
      </w:r>
    </w:p>
    <w:p>
      <w:pPr>
        <w:pBdr>
          <w:bottom w:val="single" w:color="2E75B6" w:sz="4" w:space="4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B3A5C"/>
          <w:sz w:val="26"/>
          <w:szCs w:val="26"/>
        </w:rPr>
        <w:t xml:space="preserve">3.3 신뢰도 등급 체계</w:t>
      </w:r>
    </w:p>
    <w:p>
      <w:pPr>
        <w:spacing w:after="60" w:before="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예측마다 A~D 등급을 부여하여 예측의 신뢰성을 함께 제공합니다: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3200"/>
        <w:gridCol w:w="3506"/>
      </w:tblGrid>
      <w:tr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등급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정확도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의미</w:t>
            </w:r>
          </w:p>
        </w:tc>
        <w:tc>
          <w:tcPr>
            <w:tcW w:type="dxa" w:w="35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사용 권장</w:t>
            </w:r>
          </w:p>
        </w:tc>
      </w:tr>
      <w:tr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A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72% 적중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거래 많은 고가 작가</w:t>
            </w:r>
          </w:p>
        </w:tc>
        <w:tc>
          <w:tcPr>
            <w:tcW w:type="dxa" w:w="35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예측가 신뢰 가능</w:t>
            </w:r>
          </w:p>
        </w:tc>
      </w:tr>
      <w:tr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B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50% 적중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거래 보통</w:t>
            </w:r>
          </w:p>
        </w:tc>
        <w:tc>
          <w:tcPr>
            <w:tcW w:type="dxa" w:w="35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범위로 참고</w:t>
            </w:r>
          </w:p>
        </w:tc>
      </w:tr>
      <w:tr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C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43% 적중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거래 이력 적음</w:t>
            </w:r>
          </w:p>
        </w:tc>
        <w:tc>
          <w:tcPr>
            <w:tcW w:type="dxa" w:w="35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넓은 범위로 참고</w:t>
            </w:r>
          </w:p>
        </w:tc>
      </w:tr>
      <w:tr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D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데이터 부족</w:t>
            </w:r>
          </w:p>
        </w:tc>
        <w:tc>
          <w:tcPr>
            <w:tcW w:type="dxa" w:w="35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참고용</w:t>
            </w:r>
          </w:p>
        </w:tc>
      </w:tr>
    </w:tbl>
    <w:p>
      <w:r>
        <w:br w:type="page"/>
      </w:r>
    </w:p>
    <w:p>
      <w:pPr>
        <w:pBdr>
          <w:bottom w:val="single" w:color="1B3A5C" w:sz="8" w:space="6"/>
        </w:pBdr>
        <w:spacing w:after="160" w:before="400"/>
      </w:pPr>
      <w:r>
        <w:rPr>
          <w:rFonts w:ascii="맑은 고딕" w:cs="맑은 고딕" w:eastAsia="맑은 고딕" w:hAnsi="맑은 고딕"/>
          <w:b/>
          <w:bCs/>
          <w:color w:val="1B3A5C"/>
          <w:sz w:val="32"/>
          <w:szCs w:val="32"/>
        </w:rPr>
        <w:t xml:space="preserve">4. 데이터 구축 과정</w:t>
      </w:r>
    </w:p>
    <w:p>
      <w:pPr>
        <w:pBdr>
          <w:bottom w:val="single" w:color="2E75B6" w:sz="4" w:space="4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B3A5C"/>
          <w:sz w:val="26"/>
          <w:szCs w:val="26"/>
        </w:rPr>
        <w:t xml:space="preserve">4.1 데이터 수집</w:t>
      </w:r>
    </w:p>
    <w:p>
      <w:pPr>
        <w:spacing w:after="60" w:before="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K-Artmarket을 통해 11개 경매사(케이옥션, 서울옥션, 아이옥션, 에이옥션 등)의 경매 낙찰 데이터를 통합 수집했습니다. 날짜 범위는 2019-01 ~ 2025-06이며, 원본 99,593건을 확보했습니다.</w:t>
      </w:r>
    </w:p>
    <w:p>
      <w:pPr>
        <w:pBdr>
          <w:bottom w:val="single" w:color="2E75B6" w:sz="4" w:space="4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B3A5C"/>
          <w:sz w:val="26"/>
          <w:szCs w:val="26"/>
        </w:rPr>
        <w:t xml:space="preserve">4.2 10단계 클렌징 파이프라인</w:t>
      </w:r>
    </w:p>
    <w:p>
      <w:pPr>
        <w:spacing w:after="60" w:before="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scripts/cleanse_artmarket.py로 구현된 10단계 자동화 클렌징 파이프라인을 적용했습니다:</w:t>
      </w:r>
    </w:p>
    <w:p>
      <w:pPr>
        <w:spacing w:before="8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6706"/>
      </w:tblGrid>
      <w:t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67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비미술 필터링</w:t>
            </w:r>
          </w:p>
        </w:tc>
        <w:tc>
          <w:tcPr>
            <w:tcW w:type="dxa" w:w="67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이벤트/주류/명품/보석 등 미술품이 아닌 항목 제거</w:t>
            </w:r>
          </w:p>
        </w:tc>
      </w:tr>
      <w:t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작가명 상호 채움</w:t>
            </w:r>
          </w:p>
        </w:tc>
        <w:tc>
          <w:tcPr>
            <w:tcW w:type="dxa" w:w="67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한↔영 매핑 + 복사로 양방향 채움</w:t>
            </w:r>
          </w:p>
        </w:tc>
      </w:tr>
      <w:t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익명/미상 구분</w:t>
            </w:r>
          </w:p>
        </w:tc>
        <w:tc>
          <w:tcPr>
            <w:tcW w:type="dxa" w:w="67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Anonymous(입력 시 의도적 익명) vs unknown(작가미상) 분리</w:t>
            </w:r>
          </w:p>
        </w:tc>
      </w:tr>
      <w:t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제목 복원</w:t>
            </w:r>
          </w:p>
        </w:tc>
        <w:tc>
          <w:tcPr>
            <w:tcW w:type="dxa" w:w="67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대시+공백에서 5,163건 복원</w:t>
            </w:r>
          </w:p>
        </w:tc>
      </w:tr>
      <w:t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매체 분류 확장</w:t>
            </w:r>
          </w:p>
        </w:tc>
        <w:tc>
          <w:tcPr>
            <w:tcW w:type="dxa" w:w="67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17종 매체 + 8종 지지체 분류 (기타 4.5%)</w:t>
            </w:r>
          </w:p>
        </w:tc>
      </w:tr>
      <w:t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호수 환산</w:t>
            </w:r>
          </w:p>
        </w:tc>
        <w:tc>
          <w:tcPr>
            <w:tcW w:type="dxa" w:w="67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F/P/M/S 비율 판단 → 표준 24개 호수 환산</w:t>
            </w:r>
          </w:p>
        </w:tc>
      </w:tr>
      <w:t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경매사 정규화</w:t>
            </w:r>
          </w:p>
        </w:tc>
        <w:tc>
          <w:tcPr>
            <w:tcW w:type="dxa" w:w="67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11개 경매사명 통일</w:t>
            </w:r>
          </w:p>
        </w:tc>
      </w:tr>
      <w:t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크기 이상치 정리</w:t>
            </w:r>
          </w:p>
        </w:tc>
        <w:tc>
          <w:tcPr>
            <w:tcW w:type="dxa" w:w="67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소수점/단위 오류 보정</w:t>
            </w:r>
          </w:p>
        </w:tc>
      </w:tr>
      <w:t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크기 없음 처리</w:t>
            </w:r>
          </w:p>
        </w:tc>
        <w:tc>
          <w:tcPr>
            <w:tcW w:type="dxa" w:w="67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크기 정보 미기재 시 -1로 표시</w:t>
            </w:r>
          </w:p>
        </w:tc>
      </w:tr>
      <w:t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재료 매핑 통합</w:t>
            </w:r>
          </w:p>
        </w:tc>
        <w:tc>
          <w:tcPr>
            <w:tcW w:type="dxa" w:w="67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6,049종 수집 재료 → 표준 분류체계 매핑</w:t>
            </w:r>
          </w:p>
        </w:tc>
      </w:tr>
    </w:tbl>
    <w:p>
      <w:pPr>
        <w:spacing w:before="80"/>
      </w:pPr>
    </w:p>
    <w:p>
      <w:pPr>
        <w:spacing w:after="60" w:before="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클렌징 결과: 99,593건 → 85,562건(19컬럼). 여기서 작가미상 29,614건을 제외하여 실제 학습 데이터 55,948건을 확정했습니다.</w:t>
      </w:r>
    </w:p>
    <w:p>
      <w:r>
        <w:br w:type="page"/>
      </w:r>
    </w:p>
    <w:p>
      <w:pPr>
        <w:pBdr>
          <w:bottom w:val="single" w:color="1B3A5C" w:sz="8" w:space="6"/>
        </w:pBdr>
        <w:spacing w:after="160" w:before="400"/>
      </w:pPr>
      <w:r>
        <w:rPr>
          <w:rFonts w:ascii="맑은 고딕" w:cs="맑은 고딕" w:eastAsia="맑은 고딕" w:hAnsi="맑은 고딕"/>
          <w:b/>
          <w:bCs/>
          <w:color w:val="1B3A5C"/>
          <w:sz w:val="32"/>
          <w:szCs w:val="32"/>
        </w:rPr>
        <w:t xml:space="preserve">5. 성능 발전 과정</w:t>
      </w:r>
    </w:p>
    <w:p>
      <w:pPr>
        <w:pBdr>
          <w:bottom w:val="single" w:color="2E75B6" w:sz="4" w:space="4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B3A5C"/>
          <w:sz w:val="26"/>
          <w:szCs w:val="26"/>
        </w:rPr>
        <w:t xml:space="preserve">5.1 Phase별 성능 추이</w:t>
      </w:r>
    </w:p>
    <w:p>
      <w:pPr>
        <w:spacing w:after="60" w:before="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프로젝트는 5개 Phase를 거치며 단계적으로 모델을 고도화했습니다:</w:t>
      </w:r>
    </w:p>
    <w:p>
      <w:pPr>
        <w:spacing w:before="8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600"/>
        <w:gridCol w:w="3306"/>
      </w:tblGrid>
      <w:tr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4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주요 내용</w:t>
            </w:r>
          </w:p>
        </w:tc>
        <w:tc>
          <w:tcPr>
            <w:tcW w:type="dxa" w:w="33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핵심 성과</w:t>
            </w:r>
          </w:p>
        </w:tc>
      </w:tr>
      <w:tr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Phase 1
데이터 구축</w:t>
            </w:r>
          </w:p>
        </w:tc>
        <w:tc>
          <w:tcPr>
            <w:tcW w:type="dxa" w:w="4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K-Auction 단독 43,866건 수집, 전처리 파이프라인 구축, 25개 피체 후보 도출</w:t>
            </w:r>
          </w:p>
        </w:tc>
        <w:tc>
          <w:tcPr>
            <w:tcW w:type="dxa" w:w="33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할인율 예측 방식 발견 (MAPE 34.9% → 27.0%)</w:t>
            </w:r>
          </w:p>
        </w:tc>
      </w:tr>
      <w:tr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Phase 2
피체 확장</w:t>
            </w:r>
          </w:p>
        </w:tc>
        <w:tc>
          <w:tcPr>
            <w:tcW w:type="dxa" w:w="4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EDA, 피체 중요도 분석, 다중공선성 검토(VIF)</w:t>
            </w:r>
          </w:p>
        </w:tc>
        <w:tc>
          <w:tcPr>
            <w:tcW w:type="dxa" w:w="33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49개 피체 확정, 구간 예측 프레임워크 설계</w:t>
            </w:r>
          </w:p>
        </w:tc>
      </w:tr>
      <w:tr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Phase 3
K-Auction 모델 완성</w:t>
            </w:r>
          </w:p>
        </w:tc>
        <w:tc>
          <w:tcPr>
            <w:tcW w:type="dxa" w:w="4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Ridge → CatBoost → Quantile Regression → 앱산블</w:t>
            </w:r>
          </w:p>
        </w:tc>
        <w:tc>
          <w:tcPr>
            <w:tcW w:type="dxa" w:w="33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MAPE 27.0%, 9개 품질게이트 전체 통과</w:t>
            </w:r>
          </w:p>
        </w:tc>
      </w:tr>
      <w:tr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Phase 4
NLP 피체 + 고도화</w:t>
            </w:r>
          </w:p>
        </w:tc>
        <w:tc>
          <w:tcPr>
            <w:tcW w:type="dxa" w:w="4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NLP 피체 7개 추가, CatBoost+RF→Ridge 앱산블, 서빙-학습 경로 일치</w:t>
            </w:r>
          </w:p>
        </w:tc>
        <w:tc>
          <w:tcPr>
            <w:tcW w:type="dxa" w:w="33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MdAPE 30.16%(Valid), 12/12 게이트 통과</w:t>
            </w:r>
          </w:p>
        </w:tc>
      </w:tr>
      <w:tr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Phase 5
다중출처 통합</w:t>
            </w:r>
          </w:p>
        </w:tc>
        <w:tc>
          <w:tcPr>
            <w:tcW w:type="dxa" w:w="4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K-Artmarket 10+ 경매사 통합, 10단계 클렌징, Cold-start 5-Tier, 매크로 피체</w:t>
            </w:r>
          </w:p>
        </w:tc>
        <w:tc>
          <w:tcPr>
            <w:tcW w:type="dxa" w:w="33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Cold MdAPE 14.17%p 개선, 12/17 게이트 통과</w:t>
            </w:r>
          </w:p>
        </w:tc>
      </w:tr>
    </w:tbl>
    <w:p>
      <w:pPr>
        <w:pBdr>
          <w:bottom w:val="single" w:color="2E75B6" w:sz="4" w:space="4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B3A5C"/>
          <w:sz w:val="26"/>
          <w:szCs w:val="26"/>
        </w:rPr>
        <w:t xml:space="preserve">5.2 핵심 성능 수치 변화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800"/>
        <w:gridCol w:w="1200"/>
        <w:gridCol w:w="1200"/>
      </w:tblGrid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데이터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Test MdAPE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R²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Gates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K-Auction 단독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42K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37.90%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0.31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3/7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다중 출처 (크기 50% 결측)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124K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52.73%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0.34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3/7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크기 해결 + 모델 개선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124K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48.31%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0.38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3/7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클렌징 전체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85K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54.63%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0.43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3/7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실제 작가만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55K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44.05%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0.52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3/7</w:t>
            </w:r>
          </w:p>
        </w:tc>
      </w:tr>
    </w:tbl>
    <w:p>
      <w:pPr>
        <w:spacing w:before="80"/>
      </w:pPr>
    </w:p>
    <w:p>
      <w:pPr>
        <w:spacing w:after="60" w:before="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특기할 점: Phase 5에서 다중 출처 통합 시 R²가 0.31→0.52로 대폭 상승했으며, Cold-start MdAPE가 62.87%→48.70%로 14.17%p 개선되었습니다. 반면 전체 MdAPE는 데이터 확대에 따른 분포 변화로 일시적으로 상승했으나, 클렌징 후 안정화 추세입니다.</w:t>
      </w:r>
    </w:p>
    <w:p>
      <w:pPr>
        <w:pBdr>
          <w:bottom w:val="single" w:color="2E75B6" w:sz="4" w:space="4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B3A5C"/>
          <w:sz w:val="26"/>
          <w:szCs w:val="26"/>
        </w:rPr>
        <w:t xml:space="preserve">5.3 핵심 발견 및 의사결정</w:t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2E75B6"/>
          <w:sz w:val="22"/>
          <w:szCs w:val="22"/>
        </w:rPr>
        <w:t xml:space="preserve">할인율 예측 방식 발견 (Phase 1)</w:t>
      </w:r>
    </w:p>
    <w:p>
      <w:pPr>
        <w:spacing w:after="60" w:before="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4가지 접근법을 실험한 결과, 가격을 직접 예측하는 대신 “추정가 대비 할인율”을 예측하는 방식이 가장 우수했습니다. K-Auction은 평균적으로 추정가의 약 60% 수준에서 낙찰되는 특성이 있고, 이 패턴을 AI가 학습했습니다: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4206"/>
      </w:tblGrid>
      <w:tr>
        <w:tc>
          <w:tcPr>
            <w:tcW w:type="dxa" w:w="3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접근법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오차율</w:t>
            </w:r>
          </w:p>
        </w:tc>
        <w:tc>
          <w:tcPr>
            <w:tcW w:type="dxa" w:w="42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결과</w:t>
            </w:r>
          </w:p>
        </w:tc>
      </w:tr>
      <w:tr>
        <w:tc>
          <w:tcPr>
            <w:tcW w:type="dxa" w:w="3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기본 모델 (가격 직접 예측)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34.9%</w:t>
            </w:r>
          </w:p>
        </w:tc>
        <w:tc>
          <w:tcPr>
            <w:tcW w:type="dxa" w:w="42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출발점</w:t>
            </w:r>
          </w:p>
        </w:tc>
      </w:tr>
      <w:tr>
        <w:tc>
          <w:tcPr>
            <w:tcW w:type="dxa" w:w="3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할인율 예측 (채택)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27.0%</w:t>
            </w:r>
          </w:p>
        </w:tc>
        <w:tc>
          <w:tcPr>
            <w:tcW w:type="dxa" w:w="42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-7.9%p 개선 → 최종 채택</w:t>
            </w:r>
          </w:p>
        </w:tc>
      </w:tr>
      <w:tr>
        <w:tc>
          <w:tcPr>
            <w:tcW w:type="dxa" w:w="3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경매 타입별 분리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32.4%</w:t>
            </w:r>
          </w:p>
        </w:tc>
        <w:tc>
          <w:tcPr>
            <w:tcW w:type="dxa" w:w="42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기각</w:t>
            </w:r>
          </w:p>
        </w:tc>
      </w:tr>
      <w:tr>
        <w:tc>
          <w:tcPr>
            <w:tcW w:type="dxa" w:w="3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2단계 분류→회귀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28.9%</w:t>
            </w:r>
          </w:p>
        </w:tc>
        <w:tc>
          <w:tcPr>
            <w:tcW w:type="dxa" w:w="42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기각</w:t>
            </w:r>
          </w:p>
        </w:tc>
      </w:tr>
    </w:tbl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2E75B6"/>
          <w:sz w:val="22"/>
          <w:szCs w:val="22"/>
        </w:rPr>
        <w:t xml:space="preserve">추정가 제거 결정 (Phase 5)</w:t>
      </w:r>
    </w:p>
    <w:p>
      <w:pPr>
        <w:spacing w:after="60" w:before="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추정가를 입력으로 넣으면 R²=0.93으로 거의 완벽한 예측이 가능하지만, “추정가가 아직 정해지지 않은 상황”에서 가격을 알고 싶은 것이 핵심 유스케이스이므로, 추정가를 피체에서 제거하고 순수하게 작품 속성만으로 예측하는 Strict 모드를 채택했습니다.</w:t>
      </w:r>
    </w:p>
    <w:p>
      <w:r>
        <w:br w:type="page"/>
      </w:r>
    </w:p>
    <w:p>
      <w:pPr>
        <w:pBdr>
          <w:bottom w:val="single" w:color="1B3A5C" w:sz="8" w:space="6"/>
        </w:pBdr>
        <w:spacing w:after="160" w:before="400"/>
      </w:pPr>
      <w:r>
        <w:rPr>
          <w:rFonts w:ascii="맑은 고딕" w:cs="맑은 고딕" w:eastAsia="맑은 고딕" w:hAnsi="맑은 고딕"/>
          <w:b/>
          <w:bCs/>
          <w:color w:val="1B3A5C"/>
          <w:sz w:val="32"/>
          <w:szCs w:val="32"/>
        </w:rPr>
        <w:t xml:space="preserve">6. 향후 개선 로드맵</w:t>
      </w:r>
    </w:p>
    <w:p>
      <w:pPr>
        <w:spacing w:after="60" w:before="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현재 MdAPE 44.05%에서 목표 35% 미만 달성을 위한 단계별 개선 계획입니다:</w:t>
      </w:r>
    </w:p>
    <w:p>
      <w:pPr>
        <w:spacing w:before="8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2200"/>
        <w:gridCol w:w="2606"/>
      </w:tblGrid>
      <w:tr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우선순위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과제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기대 효과</w:t>
            </w:r>
          </w:p>
        </w:tc>
        <w:tc>
          <w:tcPr>
            <w:tcW w:type="dxa" w:w="2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학술 근거</w:t>
            </w:r>
          </w:p>
        </w:tc>
      </w:tr>
      <w:tr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P0 (즉시)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추가 데이터 확보 (55K→100K+)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MdAPE -3~5%p</w:t>
            </w:r>
          </w:p>
        </w:tc>
        <w:tc>
          <w:tcPr>
            <w:tcW w:type="dxa" w:w="2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데이터 양과 모델 성능의 양의 상관</w:t>
            </w:r>
          </w:p>
        </w:tc>
      </w:tr>
      <w:tr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P1 (단기)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작가 프로필 수집 (생년/국적/갤러리)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Cold MdAPE 개선</w:t>
            </w:r>
          </w:p>
        </w:tc>
        <w:tc>
          <w:tcPr>
            <w:tcW w:type="dxa" w:w="2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Fraiberger et al. (2018, Science)</w:t>
            </w:r>
          </w:p>
        </w:tc>
      </w:tr>
      <w:tr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P2 (중기)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작가미상 전용 모델 분리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미상 작품도 예측 가능</w:t>
            </w:r>
          </w:p>
        </w:tc>
        <w:tc>
          <w:tcPr>
            <w:tcW w:type="dxa" w:w="2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크기+매체+경매사 기반</w:t>
            </w:r>
          </w:p>
        </w:tc>
      </w:tr>
      <w:tr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P3 (장기)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이미지 피체 (img_file_name 활용)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Cold-start 대폭 개선</w:t>
            </w:r>
          </w:p>
        </w:tc>
        <w:tc>
          <w:tcPr>
            <w:tcW w:type="dxa" w:w="26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Mei et al. (2025, arXiv)</w:t>
            </w:r>
          </w:p>
        </w:tc>
      </w:tr>
    </w:tbl>
    <w:p>
      <w:pPr>
        <w:spacing w:before="80"/>
      </w:pP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2E75B6"/>
          <w:sz w:val="22"/>
          <w:szCs w:val="22"/>
        </w:rPr>
        <w:t xml:space="preserve">예상 성과 경로</w:t>
      </w:r>
    </w:p>
    <w:p>
      <w:pPr>
        <w:shd w:fill="F0F0F0" w:val="clear"/>
        <w:spacing w:after="80" w:before="80"/>
        <w:ind w:left="360"/>
      </w:pPr>
      <w:r>
        <w:rPr>
          <w:rFonts w:ascii="Consolas" w:cs="Consolas" w:eastAsia="Consolas" w:hAnsi="Consolas"/>
          <w:color w:val="444444"/>
          <w:sz w:val="18"/>
          <w:szCs w:val="18"/>
        </w:rPr>
        <w:t xml:space="preserve">현재 44.05% → P0(-3~5%p) → ~40% → P1(-3~5%p) → ~36% → P2+P3 → 목표 &lt;35%</w:t>
      </w:r>
    </w:p>
    <w:p>
      <w:pPr>
        <w:pBdr>
          <w:bottom w:val="single" w:color="1B3A5C" w:sz="8" w:space="6"/>
        </w:pBdr>
        <w:spacing w:after="160" w:before="400"/>
      </w:pPr>
      <w:r>
        <w:rPr>
          <w:rFonts w:ascii="맑은 고딕" w:cs="맑은 고딕" w:eastAsia="맑은 고딕" w:hAnsi="맑은 고딕"/>
          <w:b/>
          <w:bCs/>
          <w:color w:val="1B3A5C"/>
          <w:sz w:val="32"/>
          <w:szCs w:val="32"/>
        </w:rPr>
        <w:t xml:space="preserve">7. 주요 학술 근거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3600"/>
        <w:gridCol w:w="2206"/>
      </w:tblGrid>
      <w:t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논문/출처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핵심 발견</w:t>
            </w:r>
          </w:p>
        </w:tc>
        <w:tc>
          <w:tcPr>
            <w:tcW w:type="dxa" w:w="22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적용</w:t>
            </w:r>
          </w:p>
        </w:tc>
      </w:tr>
      <w:t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Renneboog &amp; Spaenjers (2013)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작가 명성/크기/매체가 가격의 주 결정 요인</w:t>
            </w:r>
          </w:p>
        </w:tc>
        <w:tc>
          <w:tcPr>
            <w:tcW w:type="dxa" w:w="22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Hedonic 피체 설계</w:t>
            </w:r>
          </w:p>
        </w:tc>
      </w:tr>
      <w:t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Kim &amp; Kim (2024, KES)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한국 경매에서 Two-step이 단일 모델 대비 우위</w:t>
            </w:r>
          </w:p>
        </w:tc>
        <w:tc>
          <w:tcPr>
            <w:tcW w:type="dxa" w:w="22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TwoStep 모델</w:t>
            </w:r>
          </w:p>
        </w:tc>
      </w:tr>
      <w:t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Fraiberger et al. (2018, Science)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갤러리/미술관 네트워크가 가격 괤적 최강 예측자</w:t>
            </w:r>
          </w:p>
        </w:tc>
        <w:tc>
          <w:tcPr>
            <w:tcW w:type="dxa" w:w="22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작가 프로필 피체</w:t>
            </w:r>
          </w:p>
        </w:tc>
      </w:tr>
      <w:t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Fedderke &amp; Carugno (2025, Expert Systems)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RF/GBM이 OLS/CNN 대비 미술품 가격 예측에서 우위</w:t>
            </w:r>
          </w:p>
        </w:tc>
        <w:tc>
          <w:tcPr>
            <w:tcW w:type="dxa" w:w="22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CatBoost 채택 근거</w:t>
            </w:r>
          </w:p>
        </w:tc>
      </w:tr>
      <w:t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Hwang, Ryu &amp; Hong (2025, J. Cultural Econ)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한국 경매 유찰 경험 → 수익률 14.4% 하락</w:t>
            </w:r>
          </w:p>
        </w:tc>
        <w:tc>
          <w:tcPr>
            <w:tcW w:type="dxa" w:w="22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unsold_rate 피체</w:t>
            </w:r>
          </w:p>
        </w:tc>
      </w:tr>
      <w:t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Mei &amp; Moses (2002)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반복 판매 지수 = 미술 수익률 표준</w:t>
            </w:r>
          </w:p>
        </w:tc>
        <w:tc>
          <w:tcPr>
            <w:tcW w:type="dxa" w:w="22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반복 판매 피체</w:t>
            </w:r>
          </w:p>
        </w:tc>
      </w:tr>
      <w:t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Romano et al. (NeurIPS 2019)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CQR로 유한 표본 커버리지 보장</w:t>
            </w:r>
          </w:p>
        </w:tc>
        <w:tc>
          <w:tcPr>
            <w:tcW w:type="dxa" w:w="22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CQR 보정기</w:t>
            </w:r>
          </w:p>
        </w:tc>
      </w:tr>
      <w:t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Mei, Moses, Wälty &amp; Yang (2025)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멀티모달이 Cold-start에서 R² 개선</w:t>
            </w:r>
          </w:p>
        </w:tc>
        <w:tc>
          <w:tcPr>
            <w:tcW w:type="dxa" w:w="22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이미지 피체 (미래)</w:t>
            </w:r>
          </w:p>
        </w:tc>
      </w:tr>
    </w:tbl>
    <w:p>
      <w:pPr>
        <w:pBdr>
          <w:bottom w:val="single" w:color="1B3A5C" w:sz="8" w:space="6"/>
        </w:pBdr>
        <w:spacing w:after="160" w:before="400"/>
      </w:pPr>
      <w:r>
        <w:rPr>
          <w:rFonts w:ascii="맑은 고딕" w:cs="맑은 고딕" w:eastAsia="맑은 고딕" w:hAnsi="맑은 고딕"/>
          <w:b/>
          <w:bCs/>
          <w:color w:val="1B3A5C"/>
          <w:sz w:val="32"/>
          <w:szCs w:val="32"/>
        </w:rPr>
        <w:t xml:space="preserve">8. 주요 산출물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506"/>
      </w:tblGrid>
      <w:tr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파일</w:t>
            </w:r>
          </w:p>
        </w:tc>
        <w:tc>
          <w:tcPr>
            <w:tcW w:type="dxa" w:w="55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data/k-artmarket-cleansed.csv</w:t>
            </w:r>
          </w:p>
        </w:tc>
        <w:tc>
          <w:tcPr>
            <w:tcW w:type="dxa" w:w="55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클렌징 전체 (85,562건 × 19컬럼)</w:t>
            </w:r>
          </w:p>
        </w:tc>
      </w:tr>
      <w:tr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data/k-artmarket-cleansed-known.csv</w:t>
            </w:r>
          </w:p>
        </w:tc>
        <w:tc>
          <w:tcPr>
            <w:tcW w:type="dxa" w:w="55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실제 작가만 (55,948건)</w:t>
            </w:r>
          </w:p>
        </w:tc>
      </w:tr>
      <w:tr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data/난트기준_재료분류.csv</w:t>
            </w:r>
          </w:p>
        </w:tc>
        <w:tc>
          <w:tcPr>
            <w:tcW w:type="dxa" w:w="55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지지체×매체 분류표</w:t>
            </w:r>
          </w:p>
        </w:tc>
      </w:tr>
      <w:tr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data/크롤링_난트매핑.csv</w:t>
            </w:r>
          </w:p>
        </w:tc>
        <w:tc>
          <w:tcPr>
            <w:tcW w:type="dxa" w:w="55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수집 재료 6,049종 매핑</w:t>
            </w:r>
          </w:p>
        </w:tc>
      </w:tr>
      <w:tr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scripts/cleanse_artmarket.py</w:t>
            </w:r>
          </w:p>
        </w:tc>
        <w:tc>
          <w:tcPr>
            <w:tcW w:type="dxa" w:w="55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10단계 클렌징 파이프라인</w:t>
            </w:r>
          </w:p>
        </w:tc>
      </w:tr>
      <w:tr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docs/data_cleansing_spec.md</w:t>
            </w:r>
          </w:p>
        </w:tc>
        <w:tc>
          <w:tcPr>
            <w:tcW w:type="dxa" w:w="55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클렌징 명세서</w:t>
            </w:r>
          </w:p>
        </w:tc>
      </w:tr>
      <w:tr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docs/multi_source_feature_plan.md</w:t>
            </w:r>
          </w:p>
        </w:tc>
        <w:tc>
          <w:tcPr>
            <w:tcW w:type="dxa" w:w="55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피체 재설계 기획서</w:t>
            </w:r>
          </w:p>
        </w:tc>
      </w:tr>
      <w:tr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docs/accuracy_improvement_plan.md</w:t>
            </w:r>
          </w:p>
        </w:tc>
        <w:tc>
          <w:tcPr>
            <w:tcW w:type="dxa" w:w="55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정확도 개선 로드맵</w:t>
            </w:r>
          </w:p>
        </w:tc>
      </w:tr>
      <w:tr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docs/phase5_result_report.md</w:t>
            </w:r>
          </w:p>
        </w:tc>
        <w:tc>
          <w:tcPr>
            <w:tcW w:type="dxa" w:w="550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Phase 5 최종 보고서</w:t>
            </w:r>
          </w:p>
        </w:tc>
      </w:tr>
    </w:tbl>
    <w:p>
      <w:pPr>
        <w:spacing w:before="80"/>
      </w:pPr>
    </w:p>
    <w:p>
      <w:pPr>
        <w:spacing w:before="400"/>
        <w:jc w:val="center"/>
      </w:pPr>
      <w:r>
        <w:rPr>
          <w:rFonts w:ascii="맑은 고딕" w:cs="맑은 고딕" w:eastAsia="맑은 고딕" w:hAnsi="맑은 고딕"/>
          <w:color w:val="999999"/>
          <w:sz w:val="20"/>
          <w:szCs w:val="20"/>
        </w:rPr>
        <w:t xml:space="preserve">— 끝 —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i/>
        <w:iCs/>
        <w:color w:val="999999"/>
        <w:sz w:val="16"/>
        <w:szCs w:val="16"/>
      </w:rPr>
      <w:t xml:space="preserve">VisionAI 가격 예측 AI — 접근 방법론 종합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
<Relationships xmlns="http://schemas.openxmlformats.org/package/2006/relationships"/>
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otnotes" Target="footnotes.xml"/>
  <Relationship Id="rId4" Type="http://schemas.openxmlformats.org/officeDocument/2006/relationships/endnotes" Target="endnotes.xml"/>
  <Relationship Id="rId5" Type="http://schemas.openxmlformats.org/officeDocument/2006/relationships/settings" Target="settings.xml"/>
  <Relationship Id="rId6" Type="http://schemas.openxmlformats.org/officeDocument/2006/relationships/comments" Target="comments.xml"/>
  <Relationship Id="rId7" Type="http://schemas.openxmlformats.org/officeDocument/2006/relationships/header" Target="header1.xml"/>
  <Relationship Id="rId8" Type="http://schemas.openxmlformats.org/officeDocument/2006/relationships/footer" Target="footer1.xml"/>
  <Relationship Id="rId9" Type="http://schemas.openxmlformats.org/officeDocument/2006/relationships/fontTable" Target="fontTable.xml"/>
</Relationships>

</file>

<file path=word/_rels/endnotes.xml.rels><?xml version="1.0" encoding="utf-8"?>
<Relationships xmlns="http://schemas.openxmlformats.org/package/2006/relationships"/>

</file>

<file path=word/_rels/fontTable.xml.rels><?xml version="1.0" encoding="utf-8"?>
<Relationships xmlns="http://schemas.openxmlformats.org/package/2006/relationships"/>

</file>

<file path=word/_rels/footer1.xml.rels><?xml version="1.0" encoding="utf-8"?>
<Relationships xmlns="http://schemas.openxmlformats.org/package/2006/relationships"/>

</file>

<file path=word/_rels/footnotes.xml.rels><?xml version="1.0" encoding="utf-8"?>
<Relationships xmlns="http://schemas.openxmlformats.org/package/2006/relationships"/>

</file>

<file path=word/_rels/header1.xml.rels><?xml version="1.0" encoding="utf-8"?>
<Relationships xmlns="http://schemas.openxmlformats.org/package/2006/relationships"/>
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2026-03-31T07:53:23.040Z</dcterms:created>
  <dcterms:modified xsi:type="dcterms:W3CDTF">2026-03-31T07:53:23.040Z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