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한국 1차 시장(갤러리) 미술품</w:t>
        <w:br/>
        <w:t>가격 예측 모델 연구 계획서</w:t>
      </w:r>
    </w:p>
    <w:p/>
    <w:p>
      <w:pPr>
        <w:jc w:val="center"/>
      </w:pPr>
      <w:r>
        <w:rPr>
          <w:color w:val="444444"/>
          <w:sz w:val="28"/>
        </w:rPr>
        <w:t>헤도닉 가격 이론 기반 호당 가격 모델링 및</w:t>
        <w:br/>
        <w:t>외부 데이터 수집 전략</w:t>
      </w:r>
    </w:p>
    <w:p/>
    <w:p/>
    <w:p/>
    <w:p/>
    <w:p>
      <w:pPr>
        <w:jc w:val="center"/>
      </w:pPr>
      <w:r>
        <w:rPr>
          <w:color w:val="666666"/>
          <w:sz w:val="24"/>
        </w:rPr>
        <w:t>VisionAI</w:t>
        <w:br/>
        <w:t>2026년 4월</w:t>
      </w:r>
    </w:p>
    <w:p>
      <w:r>
        <w:br w:type="page"/>
      </w:r>
    </w:p>
    <w:p>
      <w:pPr>
        <w:pStyle w:val="Heading1"/>
      </w:pPr>
      <w:r>
        <w:t>연구 요약 (Executive Summary)</w:t>
      </w:r>
    </w:p>
    <w:p>
      <w:r>
        <w:t>본 연구는 한국 미술 1차 시장(갤러리/아트페어)에서의 작품 가격을 예측하는 모델을 개발하기 위한 계획서이다. 기존 경매(2차 시장) 가격 예측 모델(MdAPE 40.87%)을 갤러리 데이터에 적용한 결과, 한국 작가 기준으로도 2.0배의 체계적 과소 추정이 발생하여 1차 시장 전용 모델의 필요성이 확인되었다.</w:t>
      </w:r>
    </w:p>
    <w:p>
      <w:r>
        <w:t>한국 갤러리 시장의 고유한 "호당 가격제"를 활용한 역산 모델을 94건/11명 작가 데이터로 검증한 결과, MdAPE 28.0%로 경매 모델보다 우수한 성능을 보였다. 이를 기반으로 3단계 고도화 로드맵을 제시한다.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연구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한국 작가 한정, 갤러리/아트페어 가격 예측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현재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94건 / 11명 작가 / 가격 30만~1억원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핵심 방법론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호당 가격 역산 + 작가 명성 회귀 (헤도닉 이론 기반)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파일럿 성능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MdAPE 28.0% (LOO 교차 검증)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기존 경매 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MdAPE 40.87% (같은 데이터에 적용 시 2.0x 과소추정)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1. 연구 배경 및 필요성</w:t>
      </w:r>
    </w:p>
    <w:p>
      <w:pPr>
        <w:spacing w:after="40"/>
      </w:pPr>
      <w:r>
        <w:t>2. 현재 데이터 현황</w:t>
      </w:r>
    </w:p>
    <w:p>
      <w:pPr>
        <w:spacing w:after="40"/>
      </w:pPr>
      <w:r>
        <w:t>3. 이론적 배경 — 갤러리 가격 결정 구조</w:t>
      </w:r>
    </w:p>
    <w:p>
      <w:pPr>
        <w:spacing w:after="40"/>
      </w:pPr>
      <w:r>
        <w:t>4. 연구 방법론 — 3가지 접근법</w:t>
      </w:r>
    </w:p>
    <w:p>
      <w:pPr>
        <w:spacing w:after="40"/>
      </w:pPr>
      <w:r>
        <w:t>5. 파일럿 검증 결과</w:t>
      </w:r>
    </w:p>
    <w:p>
      <w:pPr>
        <w:spacing w:after="40"/>
      </w:pPr>
      <w:r>
        <w:t>6. 외부 데이터 수집 전략</w:t>
      </w:r>
    </w:p>
    <w:p>
      <w:pPr>
        <w:spacing w:after="40"/>
      </w:pPr>
      <w:r>
        <w:t>7. 데이터 소스 검증 결과</w:t>
      </w:r>
    </w:p>
    <w:p>
      <w:pPr>
        <w:spacing w:after="40"/>
      </w:pPr>
      <w:r>
        <w:t>8. 실행 로드맵 및 기대 효과</w:t>
      </w:r>
    </w:p>
    <w:p>
      <w:pPr>
        <w:spacing w:after="40"/>
      </w:pPr>
      <w:r>
        <w:t>9. 리스크 및 한계</w:t>
      </w:r>
    </w:p>
    <w:p>
      <w:pPr>
        <w:spacing w:after="40"/>
      </w:pPr>
      <w:r>
        <w:t>10. 참고 문헌</w:t>
      </w:r>
    </w:p>
    <w:p>
      <w:r>
        <w:br w:type="page"/>
      </w:r>
    </w:p>
    <w:p>
      <w:pPr>
        <w:pStyle w:val="Heading1"/>
      </w:pPr>
      <w:r>
        <w:t>1. 연구 배경 및 필요성</w:t>
      </w:r>
    </w:p>
    <w:p>
      <w:pPr>
        <w:pStyle w:val="Heading2"/>
      </w:pPr>
      <w:r>
        <w:t>1.1 문제 정의</w:t>
      </w:r>
    </w:p>
    <w:p>
      <w:r>
        <w:t>기존 VisionAI 가격 예측 모델은 한국 경매(K-Auction) 55,938건의 낙찰가 데이터로 학습된 2차 시장 전용 모델이다. 이 모델을 1차 시장(갤러리/아트페어) 데이터 290건에 적용한 결과, 전체 10.2배, 한국 작가 한정 2.0배의 체계적 과소 추정이 발생하였다.</w:t>
      </w:r>
    </w:p>
    <w:p>
      <w:pPr>
        <w:pStyle w:val="Heading2"/>
      </w:pPr>
      <w:r>
        <w:t>1.2 갭 원인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원인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기여도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국제 작가 도메인 불일치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지배적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모델이 해외 블루칩 작가의 브랜드 가치를 전혀 학습하지 못함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Cold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290건 전원 경매 이력 0건 → 매체 평균으로만 폴백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1차/2차 시장 구조 차이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미확정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갤러리 retail vs 경매 공개 입찰의 가격 형성 메커니즘 차이</w:t>
            </w:r>
          </w:p>
        </w:tc>
      </w:tr>
    </w:tbl>
    <w:p>
      <w:pPr>
        <w:spacing w:before="60" w:after="60"/>
        <w:ind w:left="567"/>
      </w:pPr>
      <w:r>
        <w:rPr>
          <w:i/>
          <w:color w:val="555555"/>
          <w:sz w:val="18"/>
        </w:rPr>
        <w:t>※ 기여도 비율은 ablation 분석 없이 추정한 것으로, 정확한 분해에는 추가 검증 필요.</w:t>
      </w:r>
    </w:p>
    <w:p>
      <w:pPr>
        <w:pStyle w:val="Heading2"/>
      </w:pPr>
      <w:r>
        <w:t>1.3 연구 목표</w:t>
      </w:r>
    </w:p>
    <w:p>
      <w:r>
        <w:t>1) 한국 1차 시장(갤러리) 가격을 직접 예측할 수 있는 모델 개발</w:t>
      </w:r>
    </w:p>
    <w:p>
      <w:r>
        <w:t>2) 한국 고유의 "호당 가격제" 구조를 활용한 가격 예측 방법론 검증</w:t>
      </w:r>
    </w:p>
    <w:p>
      <w:r>
        <w:t>3) 외부 데이터 수집 전략 수립 및 실행 가능성 검증</w:t>
      </w:r>
    </w:p>
    <w:p>
      <w:r>
        <w:br w:type="page"/>
      </w:r>
    </w:p>
    <w:p>
      <w:pPr>
        <w:pStyle w:val="Heading1"/>
      </w:pPr>
      <w:r>
        <w:t>2. 현재 데이터 현황</w:t>
      </w:r>
    </w:p>
    <w:p>
      <w:pPr>
        <w:pStyle w:val="Heading2"/>
      </w:pPr>
      <w:r>
        <w:t>2.1 한국 작가 데이터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건수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94건 (11명 작가)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30만 ~ 1억 56만원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중앙값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전시 유형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개인전 54, 그룹전 27, 단체전 10, 아트페어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참여 갤러리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8개 (워크스워크스, 갤러리기체, 더써드갤러리 등)</w:t>
            </w:r>
          </w:p>
        </w:tc>
      </w:tr>
    </w:tbl>
    <w:p>
      <w:pPr>
        <w:pStyle w:val="Heading2"/>
      </w:pPr>
      <w:r>
        <w:t>2.2 작가별 가격 분포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중앙가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범위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8,620~1억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최고가, 원로 작가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1,600~2,000만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안정적 가격대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500~1,800만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넓은 범위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1,400~3,000만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816만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437~1,899만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가장 많은 건수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200~2,500만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높은 변동성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120~1,400만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극단적 범위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50~480만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저가대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순이지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30~900만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최다 건수, 저가</w:t>
            </w:r>
          </w:p>
        </w:tc>
      </w:tr>
    </w:tbl>
    <w:p>
      <w:pPr>
        <w:pStyle w:val="Heading2"/>
      </w:pPr>
      <w:r>
        <w:t>2.3 관찰된 특징</w:t>
      </w:r>
    </w:p>
    <w:p>
      <w:r>
        <w:t>1) 작가 간 가격 차이가 지배적: 김윤신(8,620만) vs 순이지(60만) = 143배</w:t>
      </w:r>
    </w:p>
    <w:p>
      <w:r>
        <w:t>2) 같은 작가 내 변동성도 큼: 정수정 200~2,500만 (12.5배)</w:t>
      </w:r>
    </w:p>
    <w:p>
      <w:r>
        <w:t>3) 데이터 불균형: 순이지 34건(36%) vs 김윤신 3건(3%)</w:t>
      </w:r>
    </w:p>
    <w:p>
      <w:r>
        <w:t>4) 11명으로는 작가 효과를 일반화하기 어려움 — 규칙 기반 접근이 현실적</w:t>
      </w:r>
    </w:p>
    <w:p>
      <w:r>
        <w:br w:type="page"/>
      </w:r>
    </w:p>
    <w:p>
      <w:pPr>
        <w:pStyle w:val="Heading1"/>
      </w:pPr>
      <w:r>
        <w:t>3. 이론적 배경 — 갤러리 가격 결정 구조</w:t>
      </w:r>
    </w:p>
    <w:p>
      <w:pPr>
        <w:pStyle w:val="Heading2"/>
      </w:pPr>
      <w:r>
        <w:t>3.1 호당 가격제 (한국 고유)</w:t>
      </w:r>
    </w:p>
    <w:p>
      <w:r>
        <w:t>한국 미술 시장의 전통적 가격 산정 방식으로, 경매(2차)가 아닌 갤러리(1차) 시장에서 주로 사용된다. 작품의 캔버스 크기를 "호" 단위로 환산하고, 작가의 경력/명성에 따른 "호당 가격"을 곱하여 최종 가격을 산출한다.</w:t>
      </w:r>
    </w:p>
    <w:p>
      <w:r>
        <w:rPr>
          <w:b/>
          <w:sz w:val="22"/>
        </w:rPr>
        <w:t>갤러리 판매가 = 호수 × 호당 가격</w:t>
      </w:r>
    </w:p>
    <w:p>
      <w:r>
        <w:t>호당 가격은 작가의 학력, 경력, 전시 이력, 소속 갤러리, 수상 경력, 시장 인지도에 의해 결정되며, 갤러리와 작가 간 협의를 통해 설정된다. 이 가격은 일반적으로 연 10~15%씩 점진적으로 인상된다.</w:t>
      </w:r>
    </w:p>
    <w:p>
      <w:pPr>
        <w:pStyle w:val="Heading3"/>
      </w:pPr>
      <w:r>
        <w:t>경력별 호당 가격 기준 (업계 관행)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작가 경력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나이대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호당 가격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10호 기준가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5~8만원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50~80만원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 후기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10~15만원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100~150만원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 초기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15~20만원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150~200만원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25~30만원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250~300만원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원로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60대+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40~50만원+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400~500만원+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블루칩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1,000만원+</w:t>
            </w:r>
          </w:p>
        </w:tc>
      </w:tr>
    </w:tbl>
    <w:p>
      <w:pPr>
        <w:spacing w:before="60" w:after="60"/>
        <w:ind w:left="567"/>
      </w:pPr>
      <w:r>
        <w:rPr>
          <w:i/>
          <w:color w:val="555555"/>
          <w:sz w:val="18"/>
        </w:rPr>
        <w:t>출처: 울산매일, 월간 ANDA, 브런치 미술시장 칼럼 등 국내 미술 매체 종합</w:t>
      </w:r>
    </w:p>
    <w:p>
      <w:pPr>
        <w:pStyle w:val="Heading2"/>
      </w:pPr>
      <w:r>
        <w:t>3.2 학술적 근거</w:t>
      </w:r>
    </w:p>
    <w:p>
      <w:pPr>
        <w:pStyle w:val="Heading3"/>
      </w:pPr>
      <w:r>
        <w:t>헤도닉 가격 모델 (Rosen, 1974)</w:t>
      </w:r>
    </w:p>
    <w:p>
      <w:r>
        <w:t>헤도닉 가격 이론은 이질적 상품의 가격을 구성 속성으로 분해하는 방법론이다. 미술품에 적용하면: Price = f(작가 속성, 작품 속성, 거래 속성).</w:t>
      </w:r>
    </w:p>
    <w:p>
      <w:pPr>
        <w:pStyle w:val="Heading3"/>
      </w:pPr>
      <w:r>
        <w:t>1차 시장 실증 연구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연구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핵심 발견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본 연구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Rengers &amp; Velthuis</w:t>
              <w:br/>
              <w:t>(2002, JCE)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네덜란드 갤러리 가격 결정 요인: 크기, 재료, 작가 나이,</w:t>
              <w:br/>
              <w:t>거주지, 기관 인정도. 갤러리 간 차이는</w:t>
              <w:br/>
              <w:t>소속 작가 특성으로 설명됨.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1차 시장 hedonic 모델의 원형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Beckert &amp; Rössel</w:t>
              <w:br/>
              <w:t>(2013, European Societies)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가격은 작품 내재적 속성이 아닌 상호주관적</w:t>
              <w:br/>
              <w:t>명성 인정 과정에서 결정. 갤러리, 큐레이터,</w:t>
              <w:br/>
              <w:t>비평가가 가격 형성의 핵심.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명성 피처의 학술적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Schönfeld &amp; Reinstaller</w:t>
              <w:br/>
              <w:t>(2007, JCE)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명성과 가격 양의 상관.</w:t>
              <w:br/>
              <w:t>갤러리 명성과 가격 음의 상관 (투자적 할인).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gallery_tier 피처의 방향성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Park et al.</w:t>
              <w:br/>
              <w:t>(2024, AStA)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Popularity(인기) + Ability(실력) 통합 모델.</w:t>
              <w:br/>
              <w:t>시간 불변 명성의 한계 극복.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시간 변화하는 명성 지표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Shin</w:t>
              <w:br/>
              <w:t>(2010, JCE)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α × Ho^β, β &lt; 1 (호수 체감 효과).</w:t>
              <w:br/>
              <w:t>한국 시장 고유의 비선형 크기-가격 관계.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호수 기반 가격 모델의 학술적 지지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Fraiberger et al.</w:t>
              <w:br/>
              <w:t>(2018, Science)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초기 고위 기관 접근 → 전시 2배,</w:t>
              <w:br/>
              <w:t>거래 4.7배, 최고가 5.2배.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institution_prestige_score 근거</w:t>
            </w:r>
          </w:p>
        </w:tc>
      </w:tr>
    </w:tbl>
    <w:p>
      <w:pPr>
        <w:pStyle w:val="Heading2"/>
      </w:pPr>
      <w:r>
        <w:t>3.3 핵심 공식</w:t>
      </w:r>
    </w:p>
    <w:p>
      <w:r>
        <w:rPr>
          <w:b/>
        </w:rPr>
        <w:t>전통 헤도닉 회귀 (Rengers &amp; Velthuis 적응):</w:t>
      </w:r>
    </w:p>
    <w:p>
      <w:r>
        <w:rPr>
          <w:rFonts w:ascii="Consolas" w:hAnsi="Consolas"/>
          <w:sz w:val="19"/>
        </w:rPr>
        <w:t>ln(Price) = β₀ + β₁·career_stage + β₂·ln(exhibition_count) + β₃·museum_shows</w:t>
        <w:br/>
        <w:t xml:space="preserve">          + β₄·gallery_tier + β₅·has_auction_record + β₆·ln(auction_avg_price)</w:t>
        <w:br/>
        <w:t xml:space="preserve">          + β₇·collection_count + β₈·award_count + ε</w:t>
      </w:r>
    </w:p>
    <w:p>
      <w:r>
        <w:rPr>
          <w:b/>
        </w:rPr>
        <w:t>한국 호당 가격 모델 (Shin 2010 적응):</w:t>
      </w:r>
    </w:p>
    <w:p>
      <w:r>
        <w:rPr>
          <w:rFonts w:ascii="Consolas" w:hAnsi="Consolas"/>
          <w:sz w:val="19"/>
        </w:rPr>
        <w:t>ln(Price) = ln(α) + β·ln(Ho) + γ·medium + δ·exhibition_type + ε</w:t>
        <w:br/>
        <w:t xml:space="preserve">  파일럿 결과: β = 0.74 (체감 효과 확인), α는 작가별 호당가격</w:t>
      </w:r>
    </w:p>
    <w:p>
      <w:r>
        <w:br w:type="page"/>
      </w:r>
    </w:p>
    <w:p>
      <w:pPr>
        <w:pStyle w:val="Heading1"/>
      </w:pPr>
      <w:r>
        <w:t>4. 연구 방법론 — 3가지 접근법</w:t>
      </w:r>
    </w:p>
    <w:p>
      <w:pPr>
        <w:pStyle w:val="Heading2"/>
      </w:pPr>
      <w:r>
        <w:t>4.1 Option A: 호당 가격 역산 모델 (즉시 적용)</w:t>
      </w:r>
    </w:p>
    <w:p>
      <w:r>
        <w:t>갤러리가 실제로 가격을 정하는 방식을 그대로 모방하는 규칙 기반 접근. 실제 판매가와 작품 크기(호수)로부터 호당 가격을 역산하여 작가별 호당 가격 테이블을 구축한다.</w:t>
      </w:r>
    </w:p>
    <w:p>
      <w:r>
        <w:rPr>
          <w:rFonts w:ascii="Consolas" w:hAnsi="Consolas"/>
          <w:sz w:val="19"/>
        </w:rPr>
        <w:t>Step 1. 호당가격_실측 = 판매가 / 호수</w:t>
        <w:br/>
        <w:t>Step 2. 작가_호당가격 = median(호당가격_실측)</w:t>
        <w:br/>
        <w:t>Step 3. 예측가 = 작가_호당가격 × 호수 × 매체_보정계수</w:t>
      </w:r>
    </w:p>
    <w:p>
      <w:r>
        <w:t>장점: 실제 업계 관행과 동일, 해석 가능, 적은 데이터로 작동</w:t>
      </w:r>
    </w:p>
    <w:p>
      <w:r>
        <w:t>단점: 신규 작가의 호당가격을 알 수 없음, 작가 내 가격 변동 설명 부족</w:t>
      </w:r>
    </w:p>
    <w:p>
      <w:pPr>
        <w:pStyle w:val="Heading2"/>
      </w:pPr>
      <w:r>
        <w:t>4.2 Option B: 작가 명성 점수 기반 회귀 (데이터 수집 후)</w:t>
      </w:r>
    </w:p>
    <w:p>
      <w:r>
        <w:t>호당 가격 자체를 작가의 정량적 속성(경력, 전시, 수상, 소장처)으로 예측하는 모델. Rengers &amp; Velthuis(2002)의 hedonic 공식을 한국 시장에 적응시킨 것으로, 종속변수를 ln(가격) 대신 ln(호당가격)으로 설정하여 크기 효과를 분리한다.</w:t>
      </w:r>
    </w:p>
    <w:p>
      <w:r>
        <w:t>필요 데이터: 작가 프로필 50~100명 × 각 3~5건 = 150~500건</w:t>
      </w:r>
    </w:p>
    <w:p>
      <w:pPr>
        <w:pStyle w:val="Heading2"/>
      </w:pPr>
      <w:r>
        <w:t>4.3 Option C: 경매 앵커 + 갤러리 업리프트 모델 (중장기)</w:t>
      </w:r>
    </w:p>
    <w:p>
      <w:r>
        <w:t>기존 경매 모델의 예측값을 앵커로 사용하고, 갤러리 프리미엄/디스카운트를 별도 모델로 학습한다. Schönfeld &amp; Reinstaller(2007)의 이중 명성 모델을 실용화한 접근이다.</w:t>
      </w:r>
    </w:p>
    <w:p>
      <w:r>
        <w:rPr>
          <w:rFonts w:ascii="Consolas" w:hAnsi="Consolas"/>
          <w:sz w:val="19"/>
        </w:rPr>
        <w:t>gallery_price = auction_anchor × exp(uplift)</w:t>
        <w:br/>
        <w:t>uplift = f(gallery_tier, exhibition_type, career_stage, is_new_work)</w:t>
      </w:r>
    </w:p>
    <w:p>
      <w:pPr>
        <w:pStyle w:val="Heading2"/>
      </w:pPr>
      <w:r>
        <w:t>4.4 접근법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A</w:t>
              <w:br/>
              <w:t>(호당가 역산)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B</w:t>
              <w:br/>
              <w:t>(명성 회귀)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C</w:t>
              <w:br/>
              <w:t>(앵커+업리프트)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필요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94건 충분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150~500건</w:t>
              <w:br/>
              <w:t>+ 프로필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</w:t>
              <w:br/>
              <w:t>경매+갤러리 페어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프로필로 예측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이력 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해석 가능성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 (β 계수)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기대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구현 난이도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 (1일)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 (수집 필요)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학술 근거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Shin (2010)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Rengers (2002)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Schönfeld (2007)</w:t>
            </w:r>
          </w:p>
        </w:tc>
      </w:tr>
    </w:tbl>
    <w:p>
      <w:r>
        <w:br w:type="page"/>
      </w:r>
    </w:p>
    <w:p>
      <w:pPr>
        <w:pStyle w:val="Heading1"/>
      </w:pPr>
      <w:r>
        <w:t>5. 파일럿 검증 결과 (Option A)</w:t>
      </w:r>
    </w:p>
    <w:p>
      <w:pPr>
        <w:pStyle w:val="Heading2"/>
      </w:pPr>
      <w:r>
        <w:t>5.1 호당 가격 역산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215만원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</w:tbl>
    <w:p>
      <w:pPr>
        <w:spacing w:before="60" w:after="60"/>
        <w:ind w:left="567"/>
      </w:pPr>
      <w:r>
        <w:rPr>
          <w:i/>
          <w:color w:val="555555"/>
          <w:sz w:val="18"/>
        </w:rPr>
        <w:t>CV(변동계수) &lt; 0.3: 안정, 0.3~0.5: 보통, &gt; 0.5: 불안정</w:t>
      </w:r>
    </w:p>
    <w:p>
      <w:pPr>
        <w:pStyle w:val="Heading2"/>
      </w:pPr>
      <w:r>
        <w:t>5.2 가설 검증</w:t>
      </w:r>
    </w:p>
    <w:p>
      <w:r>
        <w:rPr>
          <w:b/>
        </w:rPr>
        <w:t>가설 1 (호당가격 일정성): PARTIAL</w:t>
      </w:r>
    </w:p>
    <w:p>
      <w:r>
        <w:t>안정 2명, 보통 3명, 불안정 5명 — 호당가만으로는 부족, 추가 요인 필요</w:t>
      </w:r>
    </w:p>
    <w:p>
      <w:r>
        <w:rPr>
          <w:b/>
        </w:rPr>
        <w:t>가설 2 (크기-가격 비선형): CONFIRMED</w:t>
      </w:r>
    </w:p>
    <w:p>
      <w:r>
        <w:t>ln(Price) = 12.94 + 0.74 × ln(Ho) → β = 0.74 (체감 효과). Shin(2010)의 0.8~0.9보다 낮음.</w:t>
      </w:r>
    </w:p>
    <w:p>
      <w:r>
        <w:rPr>
          <w:b/>
        </w:rPr>
        <w:t>가설 3 (전시 유형 영향): CONFIRMED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전시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아트페어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215만원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단체전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개인전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그룹전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</w:tr>
    </w:tbl>
    <w:p>
      <w:pPr>
        <w:pStyle w:val="Heading2"/>
      </w:pPr>
      <w:r>
        <w:t>5.3 LOO 교차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MdAPE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W30 (30% 이내)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W50 (50% 이내)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421%</w:t>
            </w:r>
          </w:p>
        </w:tc>
      </w:tr>
    </w:tbl>
    <w:p>
      <w:r>
        <w:t>호당가격만으로 MdAPE 28.0% — 경매 모델(40.87%)보다 우수한 성능. 단, 같은 작가의 다른 작품에서 호당가를 참조하므로 비교매출 접근과 유사하며, 11명 한정이라 과적합 위험이 있다.</w:t>
      </w:r>
    </w:p>
    <w:p>
      <w:r>
        <w:br w:type="page"/>
      </w:r>
    </w:p>
    <w:p>
      <w:pPr>
        <w:pStyle w:val="Heading1"/>
      </w:pPr>
      <w:r>
        <w:t>6. 외부 데이터 수집 전략</w:t>
      </w:r>
    </w:p>
    <w:p>
      <w:pPr>
        <w:pStyle w:val="Heading2"/>
      </w:pPr>
      <w:r>
        <w:t>6.1 한국 국내 데이터 소스</w:t>
      </w:r>
    </w:p>
    <w:p>
      <w:pPr>
        <w:pStyle w:val="Heading3"/>
      </w:pPr>
      <w:r>
        <w:t>A. K-ARTMARKET KADA (작가 디지털 아카이브) — 최우선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k-artmarket.kr/kada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운영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예술경영지원센터 (문화체육관광부 산하)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작가 프로필: 학력, 전시이력, 수상, 소장처, 작품 DB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접근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웹 크롤링 (공개 페이지)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검증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— 작가 페이지에서 학력/전시/소장처 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무료</w:t>
            </w:r>
          </w:p>
        </w:tc>
      </w:tr>
    </w:tbl>
    <w:p>
      <w:pPr>
        <w:pStyle w:val="Heading3"/>
      </w:pPr>
      <w:r>
        <w:t>B. K-ARTMARKET 경매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k-artmarket.kr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경매 개별 lot 공개 (작가/작품/가격/일자)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제한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갤러리 거래는 집계 통계만 (개별 건 아님)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검증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PARTIALLY AVAILABLE</w:t>
            </w:r>
          </w:p>
        </w:tc>
      </w:tr>
    </w:tbl>
    <w:p>
      <w:pPr>
        <w:pStyle w:val="Heading3"/>
      </w:pPr>
      <w:r>
        <w:t>C. 공공데이터포털 전시정보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data.go.kr/data/15105037/openapi.do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국립현대미술관 등 14개 기관 전시 정보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접근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 API, 무료, 인증키 발급 즉시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제한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작가 필드 구조화 여부 사전 확인 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검증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PARTIALLY AVAILABLE</w:t>
            </w:r>
          </w:p>
        </w:tc>
      </w:tr>
    </w:tbl>
    <w:p>
      <w:pPr>
        <w:pStyle w:val="Heading3"/>
      </w:pPr>
      <w:r>
        <w:t>D. 네이버 뉴스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developers.naver.com/docs/serviceapi/search/news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뉴스 검색 결과 (미디어 언급 빈도 프록시)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접근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 API, 무료, 일 25,000건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제한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미술 전용 필터 없음 (쿼리 설계로 대응)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검증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2"/>
      </w:pPr>
      <w:r>
        <w:t>6.2 글로벌 데이터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developers.artsy.net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13.5만 작가, 전시/경매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무료 (비상업)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  <w:br/>
              <w:t>(retirement 중)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mutualart.com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93만 작가 경매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$24~39/월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  <w:br/>
              <w:t>(한국작가 포함)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ArtFacts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artfacts.net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30만 작가 랭킹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  <w:br/>
              <w:t>(JS 동적)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Artnet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artnet.com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1,800만 경매 기록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$50~500/월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미확인</w:t>
              <w:br/>
              <w:t>(라이선스 별도)</w:t>
            </w:r>
          </w:p>
        </w:tc>
      </w:tr>
    </w:tbl>
    <w:p>
      <w:pPr>
        <w:pStyle w:val="Heading2"/>
      </w:pPr>
      <w:r>
        <w:t>6.3 대안적 시장 시그널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피처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한계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log(followers),</w:t>
              <w:br/>
              <w:t>engagement_rate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수동 매핑 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미보유 작가 존재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Trends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search_momentum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신진 작가 대부분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네이버 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media_mentions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미술 전용 필터 없음</w:t>
            </w:r>
          </w:p>
        </w:tc>
      </w:tr>
    </w:tbl>
    <w:p>
      <w:pPr>
        <w:spacing w:before="60" w:after="60"/>
        <w:ind w:left="567"/>
      </w:pPr>
      <w:r>
        <w:rPr>
          <w:i/>
          <w:color w:val="555555"/>
          <w:sz w:val="18"/>
        </w:rPr>
        <w:t>※ Google Trends: Google 공식 문서에 따르면 검색량이 낮은 용어는 0을 반환. 현재 11명 작가 중 대부분이 해당. 유명 작가(이우환, 김환기 수준)에만 유효.</w:t>
      </w:r>
    </w:p>
    <w:p>
      <w:r>
        <w:br w:type="page"/>
      </w:r>
    </w:p>
    <w:p>
      <w:pPr>
        <w:pStyle w:val="Heading1"/>
      </w:pPr>
      <w:r>
        <w:t>7. 데이터 소스 검증 결과 (2026-04-06 실측)</w:t>
      </w:r>
    </w:p>
    <w:p>
      <w:r>
        <w:t>외부 AI 리뷰(OpenAI Codex) + 직접 URL 접근으로 각 소스의 실제 접근 가능성을 검증하였다. "웹페이지에 정보 제공이라고 써놓고 실제로 제공이 안 되는 경우"를 중점적으로 확인.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실제 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KADA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학력/전시/소장처/작품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경매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lot 공개. 갤러리는 집계 통계만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공공데이터 전시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존재, 작가 필드 구조화 미검증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네이버 뉴스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25,000건/일, 미술 필터 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진행 중, 언제든 중단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 작가 포함. 가격 $24~39/월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랭킹 존재, 전체 접근 유료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Korean Artist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 오류, 사이트 불안정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신진 작가 검색량 0 반환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서울옥션 크롤링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 렌더링 + 크롤링 명시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아이옥션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도메인 insaauction.com</w:t>
            </w:r>
          </w:p>
        </w:tc>
      </w:tr>
    </w:tbl>
    <w:p>
      <w:r>
        <w:rPr>
          <w:b/>
        </w:rPr>
        <w:t>핵심: Phase 0에서 실제 작동 확인된 무료 소스는 KADA + 네이버 뉴스 API (2개).</w:t>
      </w:r>
    </w:p>
    <w:p>
      <w:r>
        <w:br w:type="page"/>
      </w:r>
    </w:p>
    <w:p>
      <w:pPr>
        <w:pStyle w:val="Heading1"/>
      </w:pPr>
      <w:r>
        <w:t>8. 실행 로드맵 및 기대 효과</w:t>
      </w:r>
    </w:p>
    <w:p>
      <w:pPr>
        <w:pStyle w:val="Heading2"/>
      </w:pPr>
      <w:r>
        <w:t>8.1 단계별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기대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  <w:br/>
              <w:t>(1주)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A 호당가 역산 구현</w:t>
              <w:br/>
              <w:t>KADA 작가 프로필 수집</w:t>
              <w:br/>
              <w:t>네이버 뉴스 미디어 피처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28%</w:t>
              <w:br/>
              <w:t>11명 작가 호당가 테이블</w:t>
              <w:br/>
              <w:t>프로필 보강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KADA 확장 50~100명</w:t>
              <w:br/>
              <w:t>K-ARTMARKET 경매 크롤링</w:t>
              <w:br/>
              <w:t>Artsy API 빠른 수집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프로필 50명+</w:t>
              <w:br/>
              <w:t>경매 앵커 확보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3~6개월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B 호당가 회귀 학습</w:t>
              <w:br/>
              <w:t>갤러리 파트너십 모색</w:t>
              <w:br/>
              <w:t>MutualArt 구독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신규 작가 호당가 예측</w:t>
              <w:br/>
              <w:t>글로벌 경매 앵커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6~12개월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C 앵커+업리프트</w:t>
              <w:br/>
              <w:t>통합 모델 구축</w:t>
              <w:br/>
              <w:t>1차 시장 MdAPE &lt;50%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1차+2차 통합 예측</w:t>
              <w:br/>
              <w:t>서비스화</w:t>
            </w:r>
          </w:p>
        </w:tc>
      </w:tr>
    </w:tbl>
    <w:p>
      <w:pPr>
        <w:pStyle w:val="Heading2"/>
      </w:pPr>
      <w:r>
        <w:t>8.2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MdAPE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커버리지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현재 (경매 모델 직접 적용)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100%+ (2.0x 갭)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Cold Start 붕괴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 (호당가 역산)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LOO 검증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 (프로필 확장)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28~35%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50~100명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 기반 호당가 추정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 (명성 회귀)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35~45%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100명+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신규 작가 예측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 (통합 모델)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1차+2차 시장</w:t>
            </w:r>
          </w:p>
        </w:tc>
      </w:tr>
    </w:tbl>
    <w:p>
      <w:r>
        <w:br w:type="page"/>
      </w:r>
    </w:p>
    <w:p>
      <w:pPr>
        <w:pStyle w:val="Heading1"/>
      </w:pPr>
      <w:r>
        <w:t>9. 리스크 및 한계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완화 방안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갤러리 거래 데이터 비공개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데이터 + 갤러리 파트너십으로 보완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호당 가격의 불안정성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전시 유형, 매체 보정 계수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작가 프로필 수집 노동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KADA 아카이브 활용 (검증 완료)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게시가 ≠ 실거래가 (할인)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게시가 모델임을 명시, 할인율 별도 모델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 API 중단 위험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빠른 수집 후 대안 전환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11명 작가 과적합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확장 (Phase 1~2) 후 재검증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서울옥션 크롤링 법적 리스크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K-ARTMARKET 공개 데이터 우선 활용</w:t>
            </w:r>
          </w:p>
        </w:tc>
      </w:tr>
    </w:tbl>
    <w:p>
      <w:r>
        <w:br w:type="page"/>
      </w:r>
    </w:p>
    <w:p>
      <w:pPr>
        <w:pStyle w:val="Heading1"/>
      </w:pPr>
      <w:r>
        <w:t>10. 참고 문헌</w:t>
      </w:r>
    </w:p>
    <w:p>
      <w:pPr>
        <w:ind w:left="567"/>
      </w:pPr>
      <w:r>
        <w:rPr>
          <w:sz w:val="18"/>
        </w:rPr>
        <w:t>[1] Rengers, M. &amp; Velthuis, O. (2002). Determinants of Prices for Contemporary Art in Dutch Galleries, 1992-1998. Journal of Cultural Economics, 26(1), 1-28.</w:t>
      </w:r>
    </w:p>
    <w:p>
      <w:pPr>
        <w:ind w:left="567"/>
      </w:pPr>
      <w:r>
        <w:rPr>
          <w:sz w:val="18"/>
        </w:rPr>
        <w:t>[2] Beckert, J. &amp; Rössel, J. (2013). The Price of Art: Uncertainty and Reputation in the Art Field. European Societies, 15(2), 178-195.</w:t>
      </w:r>
    </w:p>
    <w:p>
      <w:pPr>
        <w:ind w:left="567"/>
      </w:pPr>
      <w:r>
        <w:rPr>
          <w:sz w:val="18"/>
        </w:rPr>
        <w:t>[3] Schönfeld, S. &amp; Reinstaller, A. (2007). The Effects of Gallery and Artist Reputation on Prices in the Primary Market for Art: A Note. Journal of Cultural Economics, 31(2), 143-153.</w:t>
      </w:r>
    </w:p>
    <w:p>
      <w:pPr>
        <w:ind w:left="567"/>
      </w:pPr>
      <w:r>
        <w:rPr>
          <w:sz w:val="18"/>
        </w:rPr>
        <w:t>[4] Park, S. et al. (2024). Artwork Pricing Model Integrating the Popularity and Ability of Artists. AStA Advances in Statistical Analysis.</w:t>
      </w:r>
    </w:p>
    <w:p>
      <w:pPr>
        <w:ind w:left="567"/>
      </w:pPr>
      <w:r>
        <w:rPr>
          <w:sz w:val="18"/>
        </w:rPr>
        <w:t>[5] Shin, J. (2010). Price Determinants and Genre Effects in the Korean Art Market: A Partial Linear Analysis of Size Effect. Journal of Cultural Economics, 35(4).</w:t>
      </w:r>
    </w:p>
    <w:p>
      <w:pPr>
        <w:ind w:left="567"/>
      </w:pPr>
      <w:r>
        <w:rPr>
          <w:sz w:val="18"/>
        </w:rPr>
        <w:t>[6] Fraiberger, S.P. et al. (2018). Quantifying Reputation and Success in Art. Science, 362(6416), 825-829.</w:t>
      </w:r>
    </w:p>
    <w:p>
      <w:pPr>
        <w:ind w:left="567"/>
      </w:pPr>
      <w:r>
        <w:rPr>
          <w:sz w:val="18"/>
        </w:rPr>
        <w:t>[7] Rosen, S. (1974). Hedonic Prices and Implicit Markets: Product Differentiation in Pure Competition. Journal of Political Economy, 82(1), 34-55.</w:t>
      </w:r>
    </w:p>
    <w:p>
      <w:pPr>
        <w:ind w:left="567"/>
      </w:pPr>
      <w:r>
        <w:rPr>
          <w:sz w:val="18"/>
        </w:rPr>
        <w:t>[8] 월간 ANDA (2019). 그림값, 어떻게 책정되나. https://monthly.newspim.com/news/view/3460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