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w:t>
      </w:r>
    </w:p>
    <w:p>
      <w:pPr>
        <w:pStyle w:val="Heading2"/>
      </w:pPr>
      <w:r>
        <w:t>Five title options</w:t>
      </w:r>
    </w:p>
    <w:p>
      <w:r>
        <w:t>1. Environmental filtering dominates cross-domain soil microbiome coupling, with secondary AMF-linked plant-context effects 2. Do shared abiotic gradients or plant context better explain cross-domain soil microbiome coupling? 3. Layered ecological organization of BAC, ITS, EUK, and AMF coupling across a globally distributed 84-sample cohort 4. From concordance to mechanism constraints: integrated coupling, environmental, and plant-diversity synthesis in soil microbiomes 5. Cross-domain microbial coupling is strong, pH-structured, and differentially sensitive to plant diversity</w:t>
      </w:r>
    </w:p>
    <w:p>
      <w:pPr>
        <w:pStyle w:val="Heading2"/>
      </w:pPr>
      <w:r>
        <w:t>Abstract</w:t>
      </w:r>
    </w:p>
    <w:p>
      <w:r>
        <w:t>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generally around 0.19 to 0.28; p=0.001 in all dbRDA summaries), and pH_KCl repeatedly ranked as the largest predictor-level contribution. Plant-diversity increments over abiotic baselines were positive but smaller, with alpha-containing hypotheses producing the highest mean delta adjusted R2. Together, the evidence supports a layered interpretation: strong cross-domain concordance, major environmental organization, and secondary plant-context modulation.</w:t>
      </w:r>
    </w:p>
    <w:p>
      <w:pPr>
        <w:pStyle w:val="Heading2"/>
      </w:pPr>
      <w:r>
        <w:t>Introduction</w:t>
      </w:r>
    </w:p>
    <w:p>
      <w:r>
        <w:t>Soil microbial communities are assembled through interacting deterministic and stochastic processes that operate simultaneously across bacteria, fungi, and microbial eukaryotes (Vellend, 2010; Luan et al., 2020; Kang et al., 2022). Deterministic processes include environmental filtering and biotic interactions, whereas stochastic processes include dispersal limitation, ecological drift, and historical contingency (Vellend, 2010;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r>
        <w:t>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can generate coordinated turnover among bacterial and fungal communities across environmental gradients (Chemidlin Prévost-Bouré et al., 2014; Shen et al., 2020). However, bacterial-fungal associations may also reflect common responses to soil conditions rather than direct interactions, emphasizing the need to distinguish ecological concordance from mechanistic dependence (Chemidlin Prévost-Bouré et al., 2014; Deutschmann et al., 2021).</w:t>
      </w:r>
    </w:p>
    <w:p>
      <w:r>
        <w:t>Arbuscular mycorrhizal fungi (AMF) introduce an additional ecological dimension because they directly connect plant communities with belowground microbial organization (van der Heijden et al., 2015; Zhang et al., 2022).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 Zhang et al., 2022).</w:t>
      </w:r>
    </w:p>
    <w:p>
      <w:r>
        <w:t>Although individual microbial groups have been extensively studied, comparatively few investigations have integrated bacteria, fungi, microbial eukaryotes, and AMF within a common analytical framework (Geisen et al., 2018; Zhang et al., 2022; Kang et al., 2022; Kayiranga et al., 2024). Most studies focus on a single domain or a limited set of pairwise interactions, making it difficult to evaluate whether environmental filtering and plant-community context influence different microbial domains in similar or contrasting ways (Geisen et al., 2018; Zhang et al., 2022). A broader cross-domain perspective is needed to determine whether observed coupling reflects shared environmental organization, plant-mediated effects, or combinations of both processes (Bahram et al., 2018; Deutschmann et al., 2021).</w:t>
      </w:r>
    </w:p>
    <w:p>
      <w:r>
        <w:t>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 (Bahram et al., 2018; Deutschmann et al., 2021).</w:t>
      </w:r>
    </w:p>
    <w:p>
      <w:r>
        <w:t>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 However, dark-diversity and completeness estimates depend on species-pool definition and should be interpreted cautiously (Lewis et al., 2016; Pärtel et al., 2013).</w:t>
      </w:r>
    </w:p>
    <w:p>
      <w:r>
        <w:t>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(Waring et al., 2013; Fierer and Jackson, 2006; Tripathi et al., 2018; Zhang et al., 2022). By integrating coupling analyses, environmental drivers, and plant-diversity effects within a single framework, this study aims to clarify how multiple ecological layers contribute to the organization of soil microbial communities (Bahram et al., 2018; Zhang et al., 2022).</w:t>
      </w:r>
    </w:p>
    <w:p>
      <w:pPr>
        <w:pStyle w:val="Heading2"/>
      </w:pPr>
      <w:r>
        <w:t>Methods</w:t>
      </w:r>
    </w:p>
    <w:p>
      <w:pPr>
        <w:pStyle w:val="Heading3"/>
      </w:pPr>
      <w:r>
        <w:t>2.1 Study system and matched cohort</w:t>
      </w:r>
    </w:p>
    <w:p>
      <w:r>
        <w:t>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 ,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 Local observed plant richness was recorded by experienced botanists . Dark diversity was estimated from species co-occurrence patterns within each region using 30 similar vegetation plots and dark-diversity probabilities for species absent from the focal site but present regionally . Additional details are provided in Pärtel et al. (2025).</w:t>
      </w:r>
    </w:p>
    <w:p>
      <w:r>
        <w:t>Pairwise cross-domain analyses included BAC↔ITS, EUK↔ITS, AMF↔ITS, AMF↔EUK, BAC↔AMF, and BAC↔EUK, all evaluated on the same matched sample set . In the v26 analytical release, environmental-driver and plant-diversity layers were aligned to this same six-pair design (each in presence/absence and CLR representations), so integrated synthesis was performed across all 12 pair×representation combinations .</w:t>
      </w:r>
    </w:p>
    <w:p>
      <w:pPr>
        <w:pStyle w:val="Heading3"/>
      </w:pPr>
      <w:r>
        <w:t>2.2 Sequencing and bioinformatics</w:t>
      </w:r>
    </w:p>
    <w:p>
      <w:r>
        <w:t>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p>
      <w:pPr>
        <w:pStyle w:val="Heading3"/>
      </w:pPr>
      <w:r>
        <w:t>2.3 Community representations and prevalence filtering</w:t>
      </w:r>
    </w:p>
    <w:p>
      <w:r>
        <w:t>To evaluate cross-domain correspondence under complementary assumptions about community structure, each domain pair was analyzed in two representations: presence/absence and centered log-ratio (CLR) transformed abundance space.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r>
        <w:t>Prevalence filtering was applied before ordination and coupling analyses to reduce sensitivity to extremely rare taxa while retaining ecological signal. Primary analyses used prevalence ≥ 0.05 (taxa with non-zero occurrence in at least 5% of samples). Sensitivity analyses compared no prevalence filtering and prevalence ≥ 0.10. These threshold scenarios were propagated through coupling, environmental-driver, and plant-diversity analyses, and qualitative conclusions were stable across thresholds.</w:t>
      </w:r>
    </w:p>
    <w:p>
      <w:pPr>
        <w:pStyle w:val="Heading3"/>
      </w:pPr>
      <w:r>
        <w:t>2.4 Cross-domain coupling analyses</w:t>
      </w:r>
    </w:p>
    <w:p>
      <w:r>
        <w:t>Cross-domain coupling was quantified using two complementary statistics: Mantel Spearman correlation for concordance among inter-sample distance matrices and Procrustes analysis for geometric alignment between paired ordination configurations . Mantel inference used 999 permutations, and Procrustes uncertainty was summarized from 120 bootstrap replicates with percentile intervals (2.5th and 97.5th percentiles) .</w:t>
      </w:r>
    </w:p>
    <w:p>
      <w:r>
        <w:t>Because Mantel and Procrustes capture different facets of correspondence, both were reported separately and jointly through an integrated coupling score defined as the mean of Mantel correlation and Procrustes similarity . In this formulation, Mantel describes matrix-level concordance, whereas Procrustes describes alignment of multivariate spatial structure; averaging the two provides a descriptive synthesis metric and comparative integration aid when both rank-order and geometric agreement are of interest . The integrated score was used within a descriptive integration framework rather than as a formal inferential statistic.</w:t>
      </w:r>
    </w:p>
    <w:p>
      <w:pPr>
        <w:pStyle w:val="Heading3"/>
      </w:pPr>
      <w:r>
        <w:t>2.5 Environmental-driver analyses</w:t>
      </w:r>
    </w:p>
    <w:p>
      <w:r>
        <w:t>Environmental predictor selection was hypothesis-driven and focused on variables expected to influence microbial assembly across domains, including soil pH (pH_KCl), soil nitrogen content (N_pct), and annual precipitation (bio12) . Geography-sensitivity models additionally included latitude and longitude to evaluate spatially structured residual variation. Distance-based redundancy analysis (dbRDA) was fitted for each pair×representation combination at the default prevalence threshold of 0.05 with 999 permutations .</w:t>
      </w:r>
    </w:p>
    <w:p>
      <w:r>
        <w:t>Soil carbon percentage (C_pct) was not included in models containing soil nitrogen because of strong collinearity between variables. Predictor influence was quantified using leave-one-predictor reductions (ΔR² and Δ adjusted R²), and model adequacy across predictor sets was compared using adjusted R².</w:t>
      </w:r>
    </w:p>
    <w:p>
      <w:pPr>
        <w:pStyle w:val="Heading3"/>
      </w:pPr>
      <w:r>
        <w:t>2.6 Plant-diversity hypothesis testing</w:t>
      </w:r>
    </w:p>
    <w:p>
      <w:r>
        <w:t>To evaluate whether plant diversity explained variation in microbial coupling beyond abiotic conditions, we compared seven a priori candidate models (A–G) against an abiotic baseline model . Model A included abiotic predictors only; model B added alpha diversity; model C added dark diversity; model D added species pool size; model E added community completeness; model F added alpha plus dark diversity; and model G added species pool plus completeness .</w:t>
      </w:r>
    </w:p>
    <w:p>
      <w:r>
        <w:t>Plant-diversity hypotheses were structured to distinguish realized local diversity (alpha diversity), potentially recruitable absent taxa (dark diversity), regional species-pool context, and the extent to which local communities approach that pool (completeness) . Because alpha diversity, dark diversity, and species pool are mathematically related, these metrics were emphasized in separate candidate formulations rather than pooled into a single maximal model . Plant-diversity comparisons used CLR-transformed inputs (pseudocount 1×10⁻⁶), 10 ordination axes, the default prevalence threshold (0.05), and 999 permutations . Incremental support for each hypothesis was quantified as Δ adjusted R² relative to the abiotic baseline.</w:t>
      </w:r>
    </w:p>
    <w:p>
      <w:pPr>
        <w:pStyle w:val="Heading3"/>
      </w:pPr>
      <w:r>
        <w:t>2.7 Integrated synthesis</w:t>
      </w:r>
    </w:p>
    <w:p>
      <w:r>
        <w:t>To compare ecological signal layers across pair×representation combinations, we integrated three outputs: (i) coupling magnitude from Mantel-Procrustes summaries, (ii) environmental explained variation from best-performing dbRDA formulations, and (iii) added plant-diversity variation from best non-baseline plant models . For consistent interpretation across pairings, summaries were evaluated using descriptive thresholds (coupling strength ≥0.50, environmental adjusted R² ≥0.20, and plant-diversity Δ adjusted R² ≥0.01; low-plant criterion &lt;0.005) . These thresholds were used as interpretive guides for comparative synthesis and not as replacements for permutation-based inference.</w:t>
      </w:r>
    </w:p>
    <w:p>
      <w:pPr>
        <w:pStyle w:val="Heading3"/>
      </w:pPr>
      <w:r>
        <w:t>2.8 Statistical analyses</w:t>
      </w:r>
    </w:p>
    <w:p>
      <w:r>
        <w:t>All inferences in this manuscript were derived from completed analysis outputs, and no analyses were rerun during manuscript preparation. Permutation-based inference used 999 permutations. Procrustes uncertainty was estimated by bootstrap resampling (120 replicates), and uncertainty intervals were summarized with percentile limits (2.5th–97.5th) . Across analytical layers, effect-size comparison and ranking focused on adjusted R² and Δ adjusted R² to support consistent interpretation across differing predictor structures.</w:t>
      </w:r>
    </w:p>
    <w:p>
      <w:pPr>
        <w:pStyle w:val="Heading2"/>
      </w:pPr>
      <w:r>
        <w:t>Results</w:t>
      </w:r>
    </w:p>
    <w:p>
      <w:r>
        <w:t>Figure 1 defines the matched cohort (n = 84), and Figures 2–5 present a connected results sequence from cross-domain coupling to environmental structure, plant-diversity effects, and final synthesis.</w:t>
      </w:r>
    </w:p>
    <w:p>
      <w:pPr>
        <w:pStyle w:val="Heading3"/>
      </w:pPr>
      <w:r>
        <w:t>3.1 Cross-domain coupling patterns</w:t>
      </w:r>
    </w:p>
    <w:p>
      <w:r>
        <w:t>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r>
        <w:t>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r>
        <w:t>The dominant BAC↔ITS signal remained robust under prevalence sensitivity checks (Mantel ρ = 0.597 at prevalence 0.05; 0.571 at prevalence 0.10). BAC↔AMF and BAC↔EUK combinations remained comparatively weaker than BAC↔ITS and EUK↔ITS across representations, reinforcing a non-uniform coupling hierarchy.</w:t>
      </w:r>
    </w:p>
    <w:p>
      <w:pPr>
        <w:pStyle w:val="Heading3"/>
      </w:pPr>
      <w:r>
        <w:t>3.2 Environmental structure of coupled turnover</w:t>
      </w:r>
    </w:p>
    <w:p>
      <w:r>
        <w:t>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r>
        <w:t>Environmental effects were coherent across pairings: model-level permutation tests were significant across all pair×representation combinations (p = 0.001), and pH_KCl remained the dominant predictor by leave-one-predictor reductions (Δadjusted R² range 0.085–0.151 across primary models). Geography sensitivity terms remained positive where included.</w:t>
      </w:r>
    </w:p>
    <w:p>
      <w:pPr>
        <w:pStyle w:val="Heading3"/>
      </w:pPr>
      <w:r>
        <w:t>3.3 Plant-diversity contrasts across pairings</w:t>
      </w:r>
    </w:p>
    <w:p>
      <w:r>
        <w:t>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r>
        <w:t>At the pair level, best-model plant-diversity increments ranged from 0.0063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p>
      <w:pPr>
        <w:pStyle w:val="Heading3"/>
      </w:pPr>
      <w:r>
        <w:t>3.4 Integrated pattern across analytical layers</w:t>
      </w:r>
    </w:p>
    <w:p>
      <w:r>
        <w:t>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r>
        <w:t>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p>
      <w:pPr>
        <w:pStyle w:val="Heading2"/>
      </w:pPr>
      <w:r>
        <w:t>Discussion</w:t>
      </w:r>
    </w:p>
    <w:p>
      <w:pPr>
        <w:pStyle w:val="Heading3"/>
      </w:pPr>
      <w:r>
        <w:t>Cross-domain structure is strong but uneven</w:t>
      </w:r>
    </w:p>
    <w:p>
      <w:r>
        <w:t>Across Figures 1–5, the central ecological signal is not simply that communities are coupled, but that coupling strength is strongly domain-pair dependent. BAC↔ITS repeatedly occupies the top tier across representations, indicating that bacterial–fungal turnover is the most coherent cross-domain axis in this dataset . EUK↔ITS remains intermediate, while AMF-linked pairings tend to sit lower in absolute coupling rank but show distinct responsiveness patterns in downstream analyses . This layered structure is important because it argues against a single “whole-soil microbiome” coupling regime; instead, different domain interfaces appear to operate under different constraint sets.</w:t>
      </w:r>
    </w:p>
    <w:p>
      <w:r>
        <w:t>This interpretation is consistent with broader cross-kingdom ecology, where multi-domain interactions are often structured around specific biological interfaces rather than uniform whole-community synchronization . In that context, the BAC↔ITS dominance observed here is plausibly the signature of broad bacterial–saprotrophic/pathotrophic fungal co-responses to shared resource and edaphic gradients, while AMF-linked relationships may reflect tighter plant-mediated filtering windows .</w:t>
      </w:r>
    </w:p>
    <w:p>
      <w:pPr>
        <w:pStyle w:val="Heading3"/>
      </w:pPr>
      <w:r>
        <w:t>Environmental filtering is a first-order organizer, with pH as a recurrent axis</w:t>
      </w:r>
    </w:p>
    <w:p>
      <w:r>
        <w:t>The environmental layer indicates substantial deterministic structure, with pH-centered predictor contributions recurring across pair-representation combinations . Taken together with the dbRDA profiles, this supports an interpretation in which environmental filtering is not a background effect but a first-order organizer of cross-domain community geometry . In practical terms, the dominant signal is that shifts in abiotic context (especially pH-related chemistry) coincide with coordinated reconfiguration of between-domain composition.</w:t>
      </w:r>
    </w:p>
    <w:p>
      <w:r>
        <w:t>This is aligned with microbial assembly literature showing that deterministic filtering can dominate when strong environmental gradients are present, even when dispersal and biotic contingencies remain active . It also aligns with rhizosphere and soil studies reporting pH-linked compositional turnover across multiple microbial groups . Our results therefore fit a conservative ecological reading: deterministic environmental sorting defines most of the large-scale cross-domain scaffold, and other influences are superimposed on that scaffold rather than replacing it .</w:t>
      </w:r>
    </w:p>
    <w:p>
      <w:pPr>
        <w:pStyle w:val="Heading3"/>
      </w:pPr>
      <w:r>
        <w:t>Plant-diversity effects are modest in magnitude but biologically non-random</w:t>
      </w:r>
    </w:p>
    <w:p>
      <w:r>
        <w:t>Relative to the abiotic layer, plant-diversity increments are smaller on average, but they are consistently positive for the strongest hypotheses and non-randomly distributed across domain pairs . The key point is not large effect size; it is patterned sensitivity. AMF-linked relationships show disproportionate responsiveness to plant-diversity framing, whereas BAC↔ITS remains strongest overall in coupling and environmental structure .</w:t>
      </w:r>
    </w:p>
    <w:p>
      <w:r>
        <w:t>This asymmetry is ecologically coherent. AMF are positioned at a direct plant–soil interface and are therefore expected to track plant composition and host-related filtering more closely than many free-living bacterial–fungal components . Recent cross-domain and AMF-hyphosphere work supports this view, showing that AMF-associated compartments can concentrate interaction structure and resource-mediated linkages among microbial groups . Under this interpretation, plant-diversity signals in our synthesis are neither noise nor dominant drivers; they are targeted modifiers superimposed on stronger abiotic organization .</w:t>
      </w:r>
    </w:p>
    <w:p>
      <w:pPr>
        <w:pStyle w:val="Heading3"/>
      </w:pPr>
      <w:r>
        <w:t>Coupling interpreted through dark-diversity and completeness logic</w:t>
      </w:r>
    </w:p>
    <w:p>
      <w:r>
        <w:t>The dark-diversity/completeness framing is useful here as an interpretive bridge rather than a replacement for observed composition analyses. Completeness-oriented logic asks how much of the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potentially suitable multi-domain assemblage space.</w:t>
      </w:r>
    </w:p>
    <w:p>
      <w:r>
        <w:t>Methodologically, this interpretation follows the same caution emphasized in dark-diversity literature: absences in suitable conditions can emerge from multiple mechanisms, including dispersal limitation, establishment constraints, and interaction-mediated exclusion . Our synthesis does not disentangle those mechanisms directly, but it provides a structured comparative map of where these constraints are most likely to matter for cross-domain coordination.</w:t>
      </w:r>
    </w:p>
    <w:p>
      <w:pPr>
        <w:pStyle w:val="Heading3"/>
      </w:pPr>
      <w:r>
        <w:t>Deterministic vs stochastic assembly: interpretation without overreach</w:t>
      </w:r>
    </w:p>
    <w:p>
      <w:r>
        <w:t>The results are most consistent with a deterministic-leaning assembly regime at the analyzed scale, with stochasticity and contingency still contributing to residual variation . This balance is critical: deterministic dominance in variance-structure metrics does not imply a fully predictable system, only that environmental constraints explain a substantial fraction of observed organization .</w:t>
      </w:r>
    </w:p>
    <w:p>
      <w:r>
        <w:t>Accordingly, the integrated coupling framework should be read as a descriptive integration layer, not an inferential test of mechanism hierarchy. It is useful for comparing relative signal strength across coupling, environmental structuring, and plant-diversity increments, but it does not by itself identify causal pathways .</w:t>
      </w:r>
    </w:p>
    <w:p>
      <w:pPr>
        <w:pStyle w:val="Heading3"/>
      </w:pPr>
      <w:r>
        <w:t>Inference boundaries and future integration priorities</w:t>
      </w:r>
    </w:p>
    <w:p>
      <w:r>
        <w:t>Two inference boundaries are especially important. First, correlation-based cross-domain association summaries can identify coherent co-variation but cannot by themselves establish direct interactions or directionality . Second, representation choices and prevalence thresholds can shift apparent effect magnitudes even when rank-order patterns remain stable, so robustness should be judged by convergence of qualitative conclusions rather than by over-interpretation of small numeric differences.</w:t>
      </w:r>
    </w:p>
    <w:p>
      <w:r>
        <w:t>Within those boundaries, the core story is stable and ecologically interpretable: BAC↔ITS provides the strongest shared compositional axis; pH-centered environmental filtering provides the dominant organizing gradient; plant-diversity effects are modest but structured; and AMF-linked pairings contribute disproportionate plant-responsive sensitivity . Framed this way, the synthesis supports a multi-layer view of belowground organization in which abiotic filtering sets the broad template and biotic coupling channels domain-specific responses within that template.</w:t>
      </w:r>
    </w:p>
    <w:p>
      <w:pPr>
        <w:pStyle w:val="Heading2"/>
      </w:pPr>
      <w:r>
        <w:t>Conclusions</w:t>
      </w:r>
    </w:p>
    <w:p>
      <w:r>
        <w:t>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r>
        <w:t>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r>
        <w:t>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p>
    <w:p>
      <w:pPr>
        <w:pStyle w:val="Heading2"/>
      </w:pPr>
      <w:r>
        <w:t>Figure legends</w:t>
      </w:r>
    </w:p>
    <w:p>
      <w:r>
        <w:t>Figure 1. Global cohort and environmental context of the cross-domain microbiome analysis. Global distribution of the final matched cohort (n=84), environmental gradient space (pH_KCl, bio12now.100), plant-diversity distributions, and pair-set analysis design.</w:t>
      </w:r>
    </w:p>
    <w:p>
      <w:r>
        <w:t>Figure 2. Cross-domain coupling hierarchy. Left: rank ordering of pair-representation combinations by composite coupling strength. Right: Mantel vs Procrustes comparison for each combination.</w:t>
      </w:r>
    </w:p>
    <w:p>
      <w:r>
        <w:t>Figure 3. Environmental driver analysis. Left: dbRDA adjusted R2 across pair-representation combinations. Right: predictor-level mean delta adjusted R2 rankings.</w:t>
      </w:r>
    </w:p>
    <w:p>
      <w:r>
        <w:t>Figure 4. Plant-diversity hypothesis comparison (A-G). Left: mean delta adjusted R2 versus abiotic baseline. Right: pair-level response profiles across hypotheses.</w:t>
      </w:r>
    </w:p>
    <w:p>
      <w:r>
        <w:t>Figure 5. Integrated ecological synthesis network. Network-style integration of coupling (C), environmental structure (E), and plant-diversity increments across domain pairs.</w:t>
      </w:r>
    </w:p>
    <w:p>
      <w:pPr>
        <w:pStyle w:val="Heading2"/>
      </w:pPr>
      <w:r>
        <w:t>References</w:t>
      </w:r>
    </w:p>
    <w:p>
      <w:r>
        <w:t>Bahram, M., Hildebrand, F., Forslund, S. K., et al. 2018. Structure and function of the global topsoil microbiome. Nature 560: 233–237. https://doi.org/10.1038/s41586-018-0386-6 Chemidlin Prévost-Bouré, N., Dequiedt, S., Thioulouse, J., et al. 2014. Similar processes but different environmental filters for soil bacterial and fungal community composition turnover on a broad spatial scale. PLoS ONE 9(11): e111667. https://doi.org/10.1371/journal.pone.0111667 Deutschmann, I. M., Lima-Mendez, G., Krabberød, A. K., et al. 2021. Disentangling environmental effects in microbial association networks. Microbiome 9: 232. https://doi.org/10.1186/s40168-021-01141-7 Fellbaum, C. R., Mensah, J. A., Cloos, A. J., et al. 2014. Fungal nutrient allocation in common mycorrhizal networks is regulated by the carbon source strength of individual host plants. New Phytologist 203(2): 646–656. https://doi.org/10.1111/nph.12827 Fierer, N., and Jackson, R. B. 2006. The diversity and biogeography of soil bacterial communities. Proceedings of the National Academy of Sciences of the United States of America 103(3): 626–631. https://doi.org/10.1073/pnas.0507535103 Geisen, S., Mitchell, E. A. D., Adl, S., et al. 2018. Soil protists: a fertile frontier in soil biology research. FEMS Microbiology Reviews 42(3): 293–323. https://doi.org/10.1093/femsre/fuy006 Jiao, S., Chu, H., Zhang, B., et al. 2022. Linking soil fungi to bacterial community assembly in arid ecosystems. iMeta 1(1): e2. https://doi.org/10.1002/imt2.2 Jin, Z., Jiang, F., Wang, L., Declerck, S., Feng, G., and Zhang, L. 2024. Arbuscular mycorrhizal fungi and Streptomyces: brothers in arms to shape the structure and function of the hyphosphere microbiome in the early stage of interaction. Microbiome. https://doi.org/10.1186/s40168-024-01811-2 Kakouridis, A., et al. 2024. Arbuscular mycorrhiza convey significant plant carbon to a diverse hyphosphere microbial food web and mineral-associated organic matter. New Phytologist. https://doi.org/10.1111/nph.19560 Kang, L., Chen, L., Zhang, D., et al. 2022. Stochastic processes regulate belowground community assembly in alpine grasslands on the Tibetan Plateau. Environmental Microbiology 24(1): 179–194. https://doi.org/10.1111/1462-2920.15827 Kayiranga, A., Isabwe, A., Yao, H., et al. 2024. Distribution patterns of soil bacteria, fungi, and protists emerge from distinct assembly processes across subcommunities. Ecology and Evolution 14(7): e11672. https://doi.org/10.1002/ece3.11672 Lewis, R. J., de Bello, F., Bennett, J. A., et al. 2016. Estimating dark diversity and species pools: an empirical assessment of two methods. Methods in Ecology and Evolution. https://doi.org/10.1111/2041-210X.12443 Luan, L., Jiang, Y., Cheng, M., et al. 2020. Organism body size structures the soil microbial and nematode community assembly at a continental and global scale. Nature Communications 11: 6406. https://doi.org/10.1038/s41467-020-20271-4 Ning, D., Yuan, M., Wu, L., et al. 2020. A quantitative framework reveals ecological drivers of grassland microbial community assembly in response to warming. Nature Communications 11: 4717. https://doi.org/10.1038/s41467-020-18560-z Oliverio, A. M., Geisen, S., Delgado-Baquerizo, M., et al. 2020. The global-scale distributions of soil protists and their contributions to belowground systems. Science Advances 6(4): eaax8787. https://doi.org/10.1126/sciadv.aax8787 Pärtel, M., Szava-Kovats, R., and Zobel, M. 2011. Dark diversity: shedding light on absent species. Trends in Ecology &amp; Evolution 26(3): 124–128. Pärtel, M., Szava-Kovats, R., and Zobel, M. 2013. Community completeness: linking local and dark diversity within the species pool concept. Folia Geobotanica 48: 307–317. Rousk, J., Brookes, P. C., and Bååth, E. 2009. Contrasting soil pH effects on fungal and bacterial growth suggest functional redundancy in carbon mineralization. Applied and Environmental Microbiology 75(6): 1589–1596. https://doi.org/10.1128/AEM.02775-08 Rousk, J., Bååth, E., Brookes, P. C., et al. 2010. Soil bacterial and fungal communities across a pH gradient in an arable soil. The ISME Journal 4(10): 1340–1351. https://doi.org/10.1038/ismej.2010.58 Shen, C., Gunina, A., Luo, Y., et al. 2020. Contrasting patterns and drivers of soil bacterial and fungal diversity across a mountain gradient. Environmental Microbiology 22(8): 3287–3301. https://doi.org/10.1111/1462-2920.15090 Stegen, J. C., Lin, X., Fredrickson, J. K., et al. 2013. Quantifying community assembly processes and identifying features that impose them. The ISME Journal 7: 2069–2079. https://doi.org/10.1038/ismej.2013.93 Tripathi, B. M., Stegen, J. C., Kim, M., et al. 2018. Soil pH mediates the balance between stochastic and deterministic assembly of bacteria. The ISME Journal 12(4): 1072–1083. https://doi.org/10.1038/s41396-018-0082-4 van der Heijden, M. G. A., Martin, F. M., Selosse, M.-A., and Sanders, I. R. 2015. Mycorrhizal ecology and evolution: the past, the present, and the future. New Phytologist 205(4): 1406–1423. https://doi.org/10.1111/nph.13288 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 Wang, C., and Kuzyakov, Y. 2024. Mechanisms and implications of bacterial-fungal competition for organic carbon in soils. The ISME Journal 18: wrae073. https://doi.org/10.1093/ismejo/wrae073 Wang, L., Zhang, L., George, T. S., et al. 2023. A core microbiome in the hyphosphere of arbuscular mycorrhizal fungi has functional significance in organic phosphorus mineralization. New Phytologist 238: 859–873. https://doi.org/10.1111/nph.18642 Waring, B. G., Averill, C., and Hawkes, C. V. 2013. Differences in fungal and bacterial physiology alter soil carbon and nitrogen cycling: insights from meta-analysis and theoretical models. Ecology Letters 16(7): 887–894. https://doi.org/10.1111/ele.12125 Zhalnina, K., Louie, K. B., Hao, Z., et al. 2018. Dynamic root exudate chemistry and microbial substrate preferences drive patterns in rhizosphere microbial community assembly. Nature Microbiology 3: 470–480. https://doi.org/10.1038/s41564-018-0129-3 Zhang, C., et al. 2024. Specialized protist communities on mycorrhizal fungal hyphae. Mycorrhiza. https://doi.org/10.1007/s00572-024-01167-3 Zhang, L., Zhou, J., George, T. S., Limpens, E., and Feng, G. 2022. Arbuscular mycorrhizal fungi conducting the hyphosphere bacterial orchestra. Trends in Plant Science 27(4): 402–411. https://doi.org/10.1016/j.tplants.2021.10.008 Zhou, J., Chai, X., Zhang, L., George, T. S., Wang, F., and Feng, G. 2020. Different arbuscular mycorrhizal fungi cocolonizing on a single plant root system recruit distinct microbiomes. mSystems 5(6): e00929-20. https://doi.org/10.1128/mSystems.00929-20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