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filtering dominates cross-domain soil microbiome coupling, with secondary AMF-linked plant-context effects</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(2025),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data.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Pairwise cross-domain analyses included BAC↔ITS, EUK↔ITS, AMF↔ITS, AMF↔EUK, BAC↔AMF, and BAC↔EUK, all evaluated on the same matched sample set. Environmental-driver and plant-diversity layers used this same six-pair design in both presence/absence and CLR representations, yielding 12 pair×representation combinations for cross-layer synthesis.</w:t>
      </w:r>
    </w:p>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In this formulation, Mantel describes matrix-level concordance, whereas Procrustes describes alignment of multivariate ordination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w:t>
      </w:r>
    </w:p>
    <w:p/>
    <w:p>
      <w:r>
        <w:t>For each pair×representation combination, we constructed a combined microbial dissimilarity matrix as the mean of the two domain-specific distance matrices (Jaccard for presence/absence; Euclidean distance on CLR-transformed profiles for CLR). We then performed principal coordinates analysis (PCoA) on that combined dissimilarity matrix and retained positive-eigenvalue axes (up to 12 axes) as the multivariate response in a dbRDA-style constrained-ordination model. Predictor matrices were fit to these ordination coordinates by multivariate linear modeling, and model significance was evaluated with a permutation pseudo-F test (999 permutations).</w:t>
      </w:r>
    </w:p>
    <w:p/>
    <w:p>
      <w:r>
        <w:t>Model fit was summarized as R² and adjusted R² from the full constrained model for each pair×representation combination. Predictor influence was quantified by leave-one-predictor reduction: for each predictor, we refit the model after dropping that predictor and computed ΔR² = R²_full − R²_reduced and Δadjusted R² = adjusted R²_full − adjusted R²_reduced. Model adequacy across predictor sets (primary abiotic set vs geography-sensitivity extension with latitude/longitude)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was the abiotic baseline (pH, soil nitrogen, and annual precipitation). Models B–G were alternative extensions of that same abiotic baseline (not a stepwise cumulative sequence): B added alpha diversity; C added dark diversity; D added species pool size; E added community completeness; F added alpha plus dark diversity; and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w:t>
      </w:r>
    </w:p>
    <w:p/>
    <w:p>
      <w:r>
        <w:t>For each pair×representation combination, the microbial response matrix was derived from the same combined-distance-to-PCoA workflow used above. Positive-eigenvalue PCoA axes (up to 12 axes) were used as multivariate response coordinates in each hypothesis model. The CLR branch used the direct Aitchison-distance workflow as primary analysis; the optional pca10 route in code is a distance-construction sensitivity option and not the primary inferential setting. Plant-diversity model inference used 999 permutations, and incremental support for each hypothesis was quantified as Δadjusted R² relative to model A.</w:t>
      </w:r>
    </w:p>
    <w:p/>
    <w:p>
      <w:pPr>
        <w:pStyle w:val="Heading3"/>
      </w:pPr>
      <w:r>
        <w:t>2.7 Integrated synthesis</w:t>
      </w:r>
    </w:p>
    <w:p>
      <w:r>
        <w:t>Integrated synthesis was performed at the pair×representation level by joining outputs from three completed analysis layers: (i) coupling summaries (Mantel, Procrustes, and their mean coupling score), (ii) environmental-driver dbRDA summaries and predictor rankings, and (iii) plant-diversity hypothesis comparisons.</w:t>
      </w:r>
    </w:p>
    <w:p/>
    <w:p>
      <w:r>
        <w:t>For each pair×representation combination, we retained the best environmental model (primary abiotic or geography-sensitivity) based on adjusted R² and recorded the top-ranked environmental predictor by Δadjusted R². For plant diversity, model A served as the abiotic baseline and we identified the best non-baseline hypothesis (B–G) by maximum Δadjusted R² versus model A. These per-combination summaries were then integrated into a single comparative table and visualization layer used for cross-pair interpretation.</w:t>
      </w:r>
    </w:p>
    <w:p/>
    <w:p>
      <w:r>
        <w:t>For consistent interpretation across pairings, summaries were evaluated using descriptive thresholds (coupling strength ≥0.50, environmental adjusted R² ≥0.20, and plant-diversity Δadjusted R² ≥0.01; low-plant criterion &lt;0.005). These thresholds were used as interpretive guides for comparative synthesis and not as replacements for permutation-based inference.</w:t>
      </w:r>
    </w:p>
    <w:p/>
    <w:p>
      <w:pPr>
        <w:pStyle w:val="Heading2"/>
      </w:pPr>
      <w:r>
        <w:t>Results</w:t>
      </w:r>
    </w:p>
    <w:p>
      <w:r>
        <w:t>Figure 1 defines the matched cohort (n = 84), and Figures 2–5 present a connected results sequence from cross-domain coupling to environmental structure, plant-diversity effects, and final synthesis.</w:t>
      </w:r>
    </w:p>
    <w:p/>
    <w:p>
      <w:r>
        <w:drawing>
          <wp:inline xmlns:a="http://schemas.openxmlformats.org/drawingml/2006/main" xmlns:pic="http://schemas.openxmlformats.org/drawingml/2006/picture">
            <wp:extent cx="5943600" cy="4624891"/>
            <wp:docPr id="1" name="Picture 1"/>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9"/>
                    <a:stretch>
                      <a:fillRect/>
                    </a:stretch>
                  </pic:blipFill>
                  <pic:spPr>
                    <a:xfrm>
                      <a:off x="0" y="0"/>
                      <a:ext cx="5943600" cy="4624891"/>
                    </a:xfrm>
                    <a:prstGeom prst="rect"/>
                  </pic:spPr>
                </pic:pic>
              </a:graphicData>
            </a:graphic>
          </wp:inline>
        </w:drawing>
      </w:r>
    </w:p>
    <w:p/>
    <w:p>
      <w:pPr>
        <w:pStyle w:val="Heading3"/>
      </w:pPr>
      <w:r>
        <w:t>3.1 Cross-domain coupling patterns</w:t>
      </w:r>
    </w:p>
    <w:p>
      <w:r>
        <w:drawing>
          <wp:inline xmlns:a="http://schemas.openxmlformats.org/drawingml/2006/main" xmlns:pic="http://schemas.openxmlformats.org/drawingml/2006/picture">
            <wp:extent cx="5943600" cy="2671404"/>
            <wp:docPr id="2" name="Picture 2"/>
            <wp:cNvGraphicFramePr>
              <a:graphicFrameLocks noChangeAspect="1"/>
            </wp:cNvGraphicFramePr>
            <a:graphic>
              <a:graphicData uri="http://schemas.openxmlformats.org/drawingml/2006/picture">
                <pic:pic>
                  <pic:nvPicPr>
                    <pic:cNvPr id="0" name="Figure2_cross_domain_coupling_hierarchy.png"/>
                    <pic:cNvPicPr/>
                  </pic:nvPicPr>
                  <pic:blipFill>
                    <a:blip r:embed="rId10"/>
                    <a:stretch>
                      <a:fillRect/>
                    </a:stretch>
                  </pic:blipFill>
                  <pic:spPr>
                    <a:xfrm>
                      <a:off x="0" y="0"/>
                      <a:ext cx="5943600" cy="2671404"/>
                    </a:xfrm>
                    <a:prstGeom prst="rect"/>
                  </pic:spPr>
                </pic:pic>
              </a:graphicData>
            </a:graphic>
          </wp:inline>
        </w:drawing>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pPr>
        <w:pStyle w:val="Heading3"/>
      </w:pPr>
      <w:r>
        <w:t>3.2 Environmental structure of coupled turnover</w:t>
      </w:r>
    </w:p>
    <w:p>
      <w:r>
        <w:drawing>
          <wp:inline xmlns:a="http://schemas.openxmlformats.org/drawingml/2006/main" xmlns:pic="http://schemas.openxmlformats.org/drawingml/2006/picture">
            <wp:extent cx="5943600" cy="2746879"/>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943600" cy="2746879"/>
                    </a:xfrm>
                    <a:prstGeom prst="rect"/>
                  </pic:spPr>
                </pic:pic>
              </a:graphicData>
            </a:graphic>
          </wp:inline>
        </w:drawing>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(Δadjusted R² range 0.085–0.151 across primary models). Geography sensitivity terms remained positive where included.</w:t>
      </w:r>
    </w:p>
    <w:p/>
    <w:p>
      <w:pPr>
        <w:pStyle w:val="Heading3"/>
      </w:pPr>
      <w:r>
        <w:t>3.3 Plant-diversity contrasts across pairings</w:t>
      </w:r>
    </w:p>
    <w:p>
      <w:r>
        <w:drawing>
          <wp:inline xmlns:a="http://schemas.openxmlformats.org/drawingml/2006/main" xmlns:pic="http://schemas.openxmlformats.org/drawingml/2006/picture">
            <wp:extent cx="5943600" cy="3246296"/>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943600" cy="3246296"/>
                    </a:xfrm>
                    <a:prstGeom prst="rect"/>
                  </pic:spPr>
                </pic:pic>
              </a:graphicData>
            </a:graphic>
          </wp:inline>
        </w:drawing>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943600" cy="3899962"/>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943600" cy="3899962"/>
                    </a:xfrm>
                    <a:prstGeom prst="rect"/>
                  </pic:spPr>
                </pic:pic>
              </a:graphicData>
            </a:graphic>
          </wp:inline>
        </w:drawing>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Global distribution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across pair-representation combinations. Right: predictor-level mean delta adjusted R² rankings.</w:t>
      </w:r>
    </w:p>
    <w:p/>
    <w:p>
      <w:r>
        <w:t>Figure 4. Plant-diversity hypothesis comparison (A-G). Left: mean delta adjusted R² versus abiotic baseline. Right: pair-level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p>
      <w:r>
        <w:t>Emmett, B. D., Lévesque-Tremblay, V., &amp; Harrison, M. J. (2021). Conserved and reproducible bacterial communities associate with extraradical hyphae of arbuscular mycorrhizal fungi. The ISME Journal, 15(8), 2276–2288. DOI: https://doi.org/10.1038/s41396-021-00920-2 [7]</w:t>
      </w:r>
    </w:p>
    <w:p>
      <w:r>
        <w:t>Lahrach, Z., Legeay, J., Ahmed, B., et al. (2024). The composition of the arbuscular mycorrhizal fungal bacteriome is species dependent. Environmental Microbiome, 19, 77. DOI: https://doi.org/10.1186/s40793-024-00623-z [9]</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