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pPr>
        <w:pStyle w:val="Heading2"/>
      </w:pPr>
      <w:r>
        <w:t>Five title options</w:t>
      </w:r>
    </w:p>
    <w:p>
      <w:r>
        <w:t>1. Environmental filtering dominates cross-domain soil microbiome coupling, with secondary AMF-linked plant-context effects</w:t>
      </w:r>
    </w:p>
    <w:p>
      <w:r>
        <w:t>2. Do shared abiotic gradients or plant context better explain cross-domain soil microbiome coupling?</w:t>
      </w:r>
    </w:p>
    <w:p>
      <w:r>
        <w:t>3. Layered ecological organization of BAC, ITS, EUK, and AMF coupling across a globally distributed 84-sample cohort</w:t>
      </w:r>
    </w:p>
    <w:p>
      <w:r>
        <w:t>4. From concordance to mechanism constraints: integrated coupling, environmental, and plant-diversity synthesis in soil microbiomes</w:t>
      </w:r>
    </w:p>
    <w:p>
      <w:r>
        <w:t>5. Cross-domain microbial coupling is strong, pH-structured, and differentially sensitive to plant diversity</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R2 values generally around 0.18 to 0.28; p=0.002 in all dbRDA summaries), and pH_KCl repeatedly ranked as the largest predictor-level contribution. Plant-diversity increments over abiotic baselines were positive but smaller, with alpha-containing hypotheses producing the highest mean delta adjusted R2.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Deterministic processes include environmental filtering and biotic interactions, whereas stochastic processes include dispersal limitation, ecological drift, and historical contingency. The relative importance of these mechanisms varies among microbial groups, across spatial scales, and along environmental gradients. Consequently, concordant patterns among microbial domains can arise because different groups respond similarly to environmental conditions, because they interact directly through trophic, competitive, or metabolic relationships, or because both mechanisms operate together. Cross-domain concordance is therefore informative about ecological organization, but it does not by itself identify the mechanisms responsible for observed patterns.</w:t>
      </w:r>
    </w:p>
    <w:p/>
    <w:p>
      <w:r>
        <w:t>Bacteria and fungi are expected to exhibit strong cross-domain coupling because they jointly mediate decomposition, nutrient turnover, and rhizosphere processes. Root exudates influence bacterial community composition through substrate-specific selection, while fungal communities contribute to resource acquisition, organic matter transformation, and habitat structuring. These shared ecological functions can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AMF depend on host-derived carbon and influence nutrient acquisition through extensive hyphal networks that extend beyond the root zone. Variation in host identity, plant functional traits, and nutrient availability can therefore alter AMF-associated microbial assemblages in ways that differ from patterns observed for free-living soil microorganisms. Experimental studies have shown that AM fungi can recruit distinct bacterial, fungal, and protistan communities and modify network structure within the hyphosphere. These observations suggest that AMF-linked microbial relationships may be particularly sensitive to plant-community context.</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Among soil variables, pH is consistently identified as one of the strongest predictors of bacterial community composition and can influence the balance between deterministic and stochastic assembly processes. Soil pH also affects nutrient availability, enzyme activity, and microbial physiology, creating constraints that extend across multiple microbial groups. Other environmental factors, including nutrient availability and climate, can further structure microbial communities and contribute to coordinated turnover among domains. As a result, strong cross-domain coupling may often reflect shared environmental responses that are subsequently modified by biological interactions.</w:t>
      </w:r>
    </w:p>
    <w:p/>
    <w:p>
      <w:r>
        <w:t>Plant-community context provides a complementary perspective on microbial assembly. Traditional diversity metrics focus on realized richness, but dark-diversity approaches extend this framework by considering taxa that are absent locally despite being members of the regional species pool. Community completeness quantifies the relationship between observed diversity and the diversity that could potentially occur at a site. Together, these metrics offer a means of evaluating whether microbial community organization is associated primarily with realized plant diversity or with broader constraints related to species pools and community assembly processes. However, dark-diversity and completeness estimates depend on species-pool definition and should be interpreted cautiously.</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
      <w:pPr>
        <w:pStyle w:val="Heading2"/>
      </w:pPr>
      <w:r>
        <w:t>Methods</w:t>
      </w:r>
    </w:p>
    <w:p>
      <w:pPr>
        <w:pStyle w:val="Heading3"/>
      </w:pPr>
      <w:r>
        <w:t>Study system and dataset assembly</w:t>
      </w:r>
    </w:p>
    <w:p>
      <w:r>
        <w:t>#### DarkDivNet sampling network</w:t>
      </w:r>
    </w:p>
    <w:p>
      <w:r>
        <w:t>The synthesis used the committed DarkDivNet-derived overlap cohort for BAC, ITS, EUK, and AMF domains (n=84 shared samples; final overlap). Figure 1 is the cohort-context panel for all downstream analyses.</w:t>
      </w:r>
    </w:p>
    <w:p/>
    <w:p>
      <w:r>
        <w:t>#### Site selection and metadata</w:t>
      </w:r>
    </w:p>
    <w:p>
      <w:r>
        <w:t>Geographic coordinates (lat, lon) and metadata variables were taken from committed repository files only, with no new data generation. The same final matched cohort was used consistently across coupling, environmental, and plant-diversity analyses.</w:t>
      </w:r>
    </w:p>
    <w:p/>
    <w:p>
      <w:r>
        <w:t>#### Construction of the final analytical cohort</w:t>
      </w:r>
    </w:p>
    <w:p>
      <w:r>
        <w:t>Final cohort construction was inherited from committed filtering outputs and overlap manifests. All pairwise analyses were restricted to the same sample-level overlap to preserve comparability.</w:t>
      </w:r>
    </w:p>
    <w:p/>
    <w:p>
      <w:r>
        <w:t>#### Environmental and plant-diversity variables</w:t>
      </w:r>
    </w:p>
    <w:p>
      <w:r>
        <w:t>Environmental predictors were pH_KCl, N_pct, and bio12now.100 (with geography-sensitivity models additionally including lat and lon). Plant-diversity terms included alpha, dark, pool, and compl depending on hypothesis model.</w:t>
      </w:r>
    </w:p>
    <w:p/>
    <w:p>
      <w:pPr>
        <w:pStyle w:val="Heading3"/>
      </w:pPr>
      <w:r>
        <w:t>DNA sequencing and bioinformatics processing</w:t>
      </w:r>
    </w:p>
    <w:p>
      <w:r>
        <w:t>#### BAC, ITS, EUK, and AMF sequencing datasets</w:t>
      </w:r>
    </w:p>
    <w:p>
      <w:r>
        <w:t>Intentionally left blank per reviewer request.</w:t>
      </w:r>
    </w:p>
    <w:p/>
    <w:p>
      <w:r>
        <w:t>#### Quality filtering</w:t>
      </w:r>
    </w:p>
    <w:p>
      <w:r>
        <w:t>Intentionally left blank per reviewer request.</w:t>
      </w:r>
    </w:p>
    <w:p/>
    <w:p>
      <w:r>
        <w:t>#### Sequence processing pipeline</w:t>
      </w:r>
    </w:p>
    <w:p>
      <w:r>
        <w:t>Intentionally left blank per reviewer request.</w:t>
      </w:r>
    </w:p>
    <w:p/>
    <w:p>
      <w:r>
        <w:t>#### Taxonomic assignment</w:t>
      </w:r>
    </w:p>
    <w:p>
      <w:r>
        <w:t>Intentionally left blank per reviewer request.</w:t>
      </w:r>
    </w:p>
    <w:p/>
    <w:p>
      <w:r>
        <w:t>#### Construction of community matrices</w:t>
      </w:r>
    </w:p>
    <w:p>
      <w:r>
        <w:t>Intentionally left blank per reviewer request.</w:t>
      </w:r>
    </w:p>
    <w:p/>
    <w:p>
      <w:pPr>
        <w:pStyle w:val="Heading3"/>
      </w:pPr>
      <w:r>
        <w:t>Cross-domain coupling analyses</w:t>
      </w:r>
    </w:p>
    <w:p>
      <w:r>
        <w:t>#### Mantel correlations</w:t>
      </w:r>
    </w:p>
    <w:p>
      <w:r>
        <w:t>Mantel correlations were read from committed Phase 2 outputs (Spearman matrix-correlation form) across pairings, transformations (presence/absence and CLR), and prevalence thresholds (0.05 and 0.10), with matched sample sets.</w:t>
      </w:r>
    </w:p>
    <w:p/>
    <w:p>
      <w:r>
        <w:t>#### Procrustes analyses</w:t>
      </w:r>
    </w:p>
    <w:p>
      <w:r>
        <w:t>Procrustes fits were read from the same committed Phase 2 output table as the geometric-alignment complement to Mantel correlations.</w:t>
      </w:r>
    </w:p>
    <w:p/>
    <w:p>
      <w:r>
        <w:t>#### Coupling network construction</w:t>
      </w:r>
    </w:p>
    <w:p>
      <w:r>
        <w:t>Coupling hierarchy and integrated interpretation were aligned with Figure 2 and Figure 5 summaries, where pairwise coupling magnitudes were interpreted comparatively (not causally) across domain pairs.</w:t>
      </w:r>
    </w:p>
    <w:p/>
    <w:p>
      <w:r>
        <w:t>#### BAC integration framework (Phase 5A)</w:t>
      </w:r>
    </w:p>
    <w:p>
      <w:r>
        <w:t>BAC-linked pair comparisons were interpreted from committed cross-domain synthesis outputs; no additional reruns were performed in this manuscript round.</w:t>
      </w:r>
    </w:p>
    <w:p/>
    <w:p>
      <w:pPr>
        <w:pStyle w:val="Heading3"/>
      </w:pPr>
      <w:r>
        <w:t>Environmental and plant-diversity drivers of microbial coupling</w:t>
      </w:r>
    </w:p>
    <w:p>
      <w:r>
        <w:t>#### Environmental predictor selection (pH, N, precipitation)</w:t>
      </w:r>
    </w:p>
    <w:p>
      <w:r>
        <w:t>dbRDA model families were taken directly from committed Phase 5B outputs with primary and geography-sensitivity scopes.</w:t>
      </w:r>
    </w:p>
    <w:p/>
    <w:p>
      <w:r>
        <w:t>#### dbRDA / variation-partitioning framework</w:t>
      </w:r>
    </w:p>
    <w:p>
      <w:r>
        <w:t>For each pair/branch/scope combination, model outputs included R2, adjusted R2, pseudo-F, and permutation p-values (499 permutations per model).</w:t>
      </w:r>
    </w:p>
    <w:p/>
    <w:p>
      <w:r>
        <w:t>#### Plant-diversity hypothesis models</w:t>
      </w:r>
    </w:p>
    <w:p>
      <w:r>
        <w:t>Phase 5C hypothesis sets A-G were compared against abiotic baselines for each pair and branch under primary and geography-sensitivity scopes.</w:t>
      </w:r>
    </w:p>
    <w:p/>
    <w:p>
      <w:r>
        <w:t>#### Alpha diversity, dark diversity, species pool, and completeness analyses</w:t>
      </w:r>
    </w:p>
    <w:p>
      <w:r>
        <w:t>Plant-diversity effects were quantified as delta adjusted R2 versus abiotic baselines, with direct model-wise comparisons across alpha, dark, pool, and compl-containing hypotheses.</w:t>
      </w:r>
    </w:p>
    <w:p/>
    <w:p>
      <w:pPr>
        <w:pStyle w:val="Heading3"/>
      </w:pPr>
      <w:r>
        <w:t>Integrated synthesis and statistical framework</w:t>
      </w:r>
    </w:p>
    <w:p>
      <w:r>
        <w:t>#### Ranking and synthesis of coupling metrics</w:t>
      </w:r>
    </w:p>
    <w:p>
      <w:r>
        <w:t>Results were interpreted in sequence: coupling strength (Figure 2), environmental structure (Figure 3), and plant-diversity increments (Figure 4), then integrated as a network-style synthesis (Figure 5).</w:t>
      </w:r>
    </w:p>
    <w:p/>
    <w:p>
      <w:r>
        <w:t>#### Composite coupling framework</w:t>
      </w:r>
    </w:p>
    <w:p>
      <w:r>
        <w:t>Composite interpretation used jointly reported Mantel and Procrustes outputs rather than a single metric.</w:t>
      </w:r>
    </w:p>
    <w:p/>
    <w:p>
      <w:r>
        <w:t>#### Permutation procedures</w:t>
      </w:r>
    </w:p>
    <w:p>
      <w:r>
        <w:t>Permutation-derived p-values in dbRDA/model comparisons used 499 permutations in committed outputs.</w:t>
      </w:r>
    </w:p>
    <w:p/>
    <w:p>
      <w:r>
        <w:t>#### Reproducibility and software environment</w:t>
      </w:r>
    </w:p>
    <w:p>
      <w:r>
        <w:t>Python 3.12.3; numpy 2.4.5; pandas 3.0.3; scipy 1.17.1; scikit-learn 1.8.0; matplotlib 3.10.9; seaborn 0.13.2; statsmodels 0.14.6.</w:t>
      </w:r>
    </w:p>
    <w:p/>
    <w:p>
      <w:pPr>
        <w:pStyle w:val="Heading2"/>
      </w:pPr>
      <w:r>
        <w:t>Results</w:t>
      </w:r>
    </w:p>
    <w:p>
      <w:r>
        <w:t>Figure 1 (global cohort context) is first referenced here and anchors all downstream analyses (n=84 matched samples across BAC, ITS, EUK, AMF).</w:t>
      </w:r>
    </w:p>
    <w:p/>
    <w:p>
      <w:pPr>
        <w:pStyle w:val="Heading3"/>
      </w:pPr>
      <w:r>
        <w:t>Cross-domain coupling results (Mantel and Procrustes)</w:t>
      </w:r>
    </w:p>
    <w:p>
      <w:r>
        <w:t>Figure 2 summarizes the cross-domain coupling hierarchy and Mantel/Procrustes comparisons. Full pair-by-branch-by-threshold values from committed Phase 2 outputs are:</w:t>
      </w:r>
    </w:p>
    <w:p>
      <w:pPr>
        <w:pStyle w:val="ListBullet"/>
      </w:pPr>
      <w:r>
        <w:t>AMF↔EUK | CLR | threshold 0.05: Mantel rho = 0.478, Procrustes fit = 0.591 (distance=euclidean, ordination=pca, features=148/4126).</w:t>
      </w:r>
    </w:p>
    <w:p>
      <w:pPr>
        <w:pStyle w:val="ListBullet"/>
      </w:pPr>
      <w:r>
        <w:t>AMF↔ITS | CLR | threshold 0.05: Mantel rho = 0.556, Procrustes fit = 0.585 (distance=euclidean, ordination=pca, features=148/1286).</w:t>
      </w:r>
    </w:p>
    <w:p>
      <w:pPr>
        <w:pStyle w:val="ListBullet"/>
      </w:pPr>
      <w:r>
        <w:t>EUK↔ITS | CLR | threshold 0.05: Mantel rho = 0.409, Procrustes fit = 0.310 (distance=euclidean, ordination=pca, features=4126/1286).</w:t>
      </w:r>
    </w:p>
    <w:p>
      <w:pPr>
        <w:pStyle w:val="ListBullet"/>
      </w:pPr>
      <w:r>
        <w:t>AMF↔EUK | presence/absence | threshold 0.05: Mantel rho = 0.447, Procrustes fit = 0.626 (distance=jaccard, ordination=pcoa, features=148/4126).</w:t>
      </w:r>
    </w:p>
    <w:p>
      <w:pPr>
        <w:pStyle w:val="ListBullet"/>
      </w:pPr>
      <w:r>
        <w:t>AMF↔ITS | presence/absence | threshold 0.05: Mantel rho = 0.460, Procrustes fit = 0.555 (distance=jaccard, ordination=pcoa, features=148/1286).</w:t>
      </w:r>
    </w:p>
    <w:p>
      <w:pPr>
        <w:pStyle w:val="ListBullet"/>
      </w:pPr>
      <w:r>
        <w:t>EUK↔ITS | presence/absence | threshold 0.05: Mantel rho = 0.438, Procrustes fit = 0.337 (distance=jaccard, ordination=pcoa, features=4126/1286).</w:t>
      </w:r>
    </w:p>
    <w:p>
      <w:pPr>
        <w:pStyle w:val="ListBullet"/>
      </w:pPr>
      <w:r>
        <w:t>AMF↔EUK | CLR | threshold 0.10: Mantel rho = 0.467, Procrustes fit = 0.622 (distance=euclidean, ordination=pca, features=106/1651).</w:t>
      </w:r>
    </w:p>
    <w:p>
      <w:pPr>
        <w:pStyle w:val="ListBullet"/>
      </w:pPr>
      <w:r>
        <w:t>AMF↔ITS | CLR | threshold 0.10: Mantel rho = 0.495, Procrustes fit = 0.626 (distance=euclidean, ordination=pca, features=106/518).</w:t>
      </w:r>
    </w:p>
    <w:p>
      <w:pPr>
        <w:pStyle w:val="ListBullet"/>
      </w:pPr>
      <w:r>
        <w:t>EUK↔ITS | CLR | threshold 0.10: Mantel rho = 0.365, Procrustes fit = 0.323 (distance=euclidean, ordination=pca, features=1651/518).</w:t>
      </w:r>
    </w:p>
    <w:p>
      <w:pPr>
        <w:pStyle w:val="ListBullet"/>
      </w:pPr>
      <w:r>
        <w:t>AMF↔EUK | presence/absence | threshold 0.10: Mantel rho = 0.428, Procrustes fit = 0.648 (distance=jaccard, ordination=pcoa, features=106/1651).</w:t>
      </w:r>
    </w:p>
    <w:p>
      <w:pPr>
        <w:pStyle w:val="ListBullet"/>
      </w:pPr>
      <w:r>
        <w:t>AMF↔ITS | presence/absence | threshold 0.10: Mantel rho = 0.459, Procrustes fit = 0.584 (distance=jaccard, ordination=pcoa, features=106/518).</w:t>
      </w:r>
    </w:p>
    <w:p>
      <w:pPr>
        <w:pStyle w:val="ListBullet"/>
      </w:pPr>
      <w:r>
        <w:t>EUK↔ITS | presence/absence | threshold 0.10: Mantel rho = 0.390, Procrustes fit = 0.340 (distance=jaccard, ordination=pcoa, features=1651/518).</w:t>
      </w:r>
    </w:p>
    <w:p/>
    <w:p>
      <w:pPr>
        <w:pStyle w:val="Heading3"/>
      </w:pPr>
      <w:r>
        <w:t>Environmental drivers of coupling</w:t>
      </w:r>
    </w:p>
    <w:p>
      <w:r>
        <w:t>Figure 3 summarizes environmental model performance and predictor-level influence. dbRDA summary results (all pair by branch by model-scope combinations) are:</w:t>
      </w:r>
    </w:p>
    <w:p>
      <w:pPr>
        <w:pStyle w:val="ListBullet"/>
      </w:pPr>
      <w:r>
        <w:t>AMF↔EUK | CLR | geography_sensitivity: R2=0.257, adjusted R2=0.188, pseudo-F=3.748, p=0.002, predictors=(pH_KCl,N_pct,bio12now.100,alpha,compl,lat,lon).</w:t>
      </w:r>
    </w:p>
    <w:p>
      <w:pPr>
        <w:pStyle w:val="ListBullet"/>
      </w:pPr>
      <w:r>
        <w:t>AMF↔EUK | CLR | primary: R2=0.230, adjusted R2=0.180, pseudo-F=4.648, p=0.002, predictors=(pH_KCl,N_pct,bio12now.100,alpha,compl).</w:t>
      </w:r>
    </w:p>
    <w:p>
      <w:pPr>
        <w:pStyle w:val="ListBullet"/>
      </w:pPr>
      <w:r>
        <w:t>AMF↔EUK | presence/absence | geography_sensitivity: R2=0.273, adjusted R2=0.206, pseudo-F=4.068, p=0.002, predictors=(pH_KCl,N_pct,bio12now.100,alpha,compl,lat,lon).</w:t>
      </w:r>
    </w:p>
    <w:p>
      <w:pPr>
        <w:pStyle w:val="ListBullet"/>
      </w:pPr>
      <w:r>
        <w:t>AMF↔EUK | presence/absence | primary: R2=0.241, adjusted R2=0.192, pseudo-F=4.946, p=0.002, predictors=(pH_KCl,N_pct,bio12now.100,alpha,compl).</w:t>
      </w:r>
    </w:p>
    <w:p>
      <w:pPr>
        <w:pStyle w:val="ListBullet"/>
      </w:pPr>
      <w:r>
        <w:t>AMF↔ITS | CLR | geography_sensitivity: R2=0.271, adjusted R2=0.204, pseudo-F=4.039, p=0.002, predictors=(pH_KCl,N_pct,bio12now.100,alpha,compl,lat,lon).</w:t>
      </w:r>
    </w:p>
    <w:p>
      <w:pPr>
        <w:pStyle w:val="ListBullet"/>
      </w:pPr>
      <w:r>
        <w:t>AMF↔ITS | CLR | primary: R2=0.243, adjusted R2=0.195, pseudo-F=5.009, p=0.002, predictors=(pH_KCl,N_pct,bio12now.100,alpha,compl).</w:t>
      </w:r>
    </w:p>
    <w:p>
      <w:pPr>
        <w:pStyle w:val="ListBullet"/>
      </w:pPr>
      <w:r>
        <w:t>AMF↔ITS | presence/absence | geography_sensitivity: R2=0.290, adjusted R2=0.225, pseudo-F=4.433, p=0.002, predictors=(pH_KCl,N_pct,bio12now.100,alpha,compl,lat,lon).</w:t>
      </w:r>
    </w:p>
    <w:p>
      <w:pPr>
        <w:pStyle w:val="ListBullet"/>
      </w:pPr>
      <w:r>
        <w:t>AMF↔ITS | presence/absence | primary: R2=0.254, adjusted R2=0.206, pseudo-F=5.303, p=0.002, predictors=(pH_KCl,N_pct,bio12now.100,alpha,compl).</w:t>
      </w:r>
    </w:p>
    <w:p>
      <w:pPr>
        <w:pStyle w:val="ListBullet"/>
      </w:pPr>
      <w:r>
        <w:t>BAC↔ITS | CLR | geography_sensitivity: R2=0.339, adjusted R2=0.278, pseudo-F=5.558, p=0.002, predictors=(pH_KCl,N_pct,bio12now.100,alpha,compl,lat,lon).</w:t>
      </w:r>
    </w:p>
    <w:p>
      <w:pPr>
        <w:pStyle w:val="ListBullet"/>
      </w:pPr>
      <w:r>
        <w:t>BAC↔ITS | CLR | primary: R2=0.313, adjusted R2=0.269, pseudo-F=7.116, p=0.002, predictors=(pH_KCl,N_pct,bio12now.100,alpha,compl).</w:t>
      </w:r>
    </w:p>
    <w:p>
      <w:pPr>
        <w:pStyle w:val="ListBullet"/>
      </w:pPr>
      <w:r>
        <w:t>BAC↔ITS | presence/absence | geography_sensitivity: R2=0.327, adjusted R2=0.265, pseudo-F=5.267, p=0.002, predictors=(pH_KCl,N_pct,bio12now.100,alpha,compl,lat,lon).</w:t>
      </w:r>
    </w:p>
    <w:p>
      <w:pPr>
        <w:pStyle w:val="ListBullet"/>
      </w:pPr>
      <w:r>
        <w:t>BAC↔ITS | presence/absence | primary: R2=0.289, adjusted R2=0.244, pseudo-F=6.354, p=0.002, predictors=(pH_KCl,N_pct,bio12now.100,alpha,compl).</w:t>
      </w:r>
    </w:p>
    <w:p>
      <w:pPr>
        <w:pStyle w:val="ListBullet"/>
      </w:pPr>
      <w:r>
        <w:t>EUK↔ITS | CLR | geography_sensitivity: R2=0.263, adjusted R2=0.195, pseudo-F=3.874, p=0.002, predictors=(pH_KCl,N_pct,bio12now.100,alpha,compl,lat,lon).</w:t>
      </w:r>
    </w:p>
    <w:p>
      <w:pPr>
        <w:pStyle w:val="ListBullet"/>
      </w:pPr>
      <w:r>
        <w:t>EUK↔ITS | CLR | primary: R2=0.234, adjusted R2=0.185, pseudo-F=4.761, p=0.002, predictors=(pH_KCl,N_pct,bio12now.100,alpha,compl).</w:t>
      </w:r>
    </w:p>
    <w:p>
      <w:pPr>
        <w:pStyle w:val="ListBullet"/>
      </w:pPr>
      <w:r>
        <w:t>EUK↔ITS | presence/absence | geography_sensitivity: R2=0.288, adjusted R2=0.222, pseudo-F=4.384, p=0.002, predictors=(pH_KCl,N_pct,bio12now.100,alpha,compl,lat,lon).</w:t>
      </w:r>
    </w:p>
    <w:p>
      <w:pPr>
        <w:pStyle w:val="ListBullet"/>
      </w:pPr>
      <w:r>
        <w:t>EUK↔ITS | presence/absence | primary: R2=0.248, adjusted R2=0.200, pseudo-F=5.154, p=0.002, predictors=(pH_KCl,N_pct,bio12now.100,alpha,compl).</w:t>
      </w:r>
    </w:p>
    <w:p/>
    <w:p>
      <w:r>
        <w:t>Pairwise ranking means from Phase 5B showed BAC↔ITS highest in both geography-sensitivity (mean adjusted R2=0.271) and primary models (mean adjusted R2=0.257).</w:t>
      </w:r>
    </w:p>
    <w:p/>
    <w:p>
      <w:pPr>
        <w:pStyle w:val="Heading3"/>
      </w:pPr>
      <w:r>
        <w:t>Plant-diversity model comparisons</w:t>
      </w:r>
    </w:p>
    <w:p>
      <w:r>
        <w:t>Figure 4 summarizes hypothesis-level and pair-level plant-context effects. Hypothesis means across all models were:</w:t>
      </w:r>
    </w:p>
    <w:p>
      <w:pPr>
        <w:pStyle w:val="ListBullet"/>
      </w:pPr>
      <w:r>
        <w:t>B (abiotic_plus_alpha): mean delta adjusted R2=0.013, mean adjusted R2=0.214, mean R2=0.252, significant models=8/8.</w:t>
      </w:r>
    </w:p>
    <w:p>
      <w:pPr>
        <w:pStyle w:val="ListBullet"/>
      </w:pPr>
      <w:r>
        <w:t>F (abiotic_plus_alpha_dark): mean delta adjusted R2=0.011, mean adjusted R2=0.212, mean R2=0.260, significant models=8/8.</w:t>
      </w:r>
    </w:p>
    <w:p>
      <w:pPr>
        <w:pStyle w:val="ListBullet"/>
      </w:pPr>
      <w:r>
        <w:t>D (abiotic_plus_pool): mean delta adjusted R2=0.009, mean adjusted R2=0.210, mean R2=0.248, significant models=8/8.</w:t>
      </w:r>
    </w:p>
    <w:p>
      <w:pPr>
        <w:pStyle w:val="ListBullet"/>
      </w:pPr>
      <w:r>
        <w:t>G (abiotic_plus_pool_compl): mean delta adjusted R2=0.008, mean adjusted R2=0.209, mean R2=0.257, significant models=8/8.</w:t>
      </w:r>
    </w:p>
    <w:p>
      <w:pPr>
        <w:pStyle w:val="ListBullet"/>
      </w:pPr>
      <w:r>
        <w:t>C (abiotic_plus_dark): mean delta adjusted R2=0.003, mean adjusted R2=0.204, mean R2=0.242, significant models=8/8.</w:t>
      </w:r>
    </w:p>
    <w:p>
      <w:pPr>
        <w:pStyle w:val="ListBullet"/>
      </w:pPr>
      <w:r>
        <w:t>A (abiotic_base): mean delta adjusted R2=0.000, mean adjusted R2=0.201, mean R2=0.230, significant models=8/8.</w:t>
      </w:r>
    </w:p>
    <w:p>
      <w:pPr>
        <w:pStyle w:val="ListBullet"/>
      </w:pPr>
      <w:r>
        <w:t>E (abiotic_plus_compl): mean delta adjusted R2=-0.004, mean adjusted R2=0.197, mean R2=0.236, significant models=8/8.</w:t>
      </w:r>
    </w:p>
    <w:p/>
    <w:p>
      <w:r>
        <w:t>Best model per pair/branch/scope from committed Phase 5C rankings:</w:t>
      </w:r>
    </w:p>
    <w:p>
      <w:pPr>
        <w:pStyle w:val="ListBullet"/>
      </w:pPr>
      <w:r>
        <w:t>AMF↔EUK | CLR | geography_sensitivity: best hypothesis B (abiotic_plus_alpha), adjusted R2=0.197, delta adjusted R2 vs abiotic base=0.015, p=0.002.</w:t>
      </w:r>
    </w:p>
    <w:p>
      <w:pPr>
        <w:pStyle w:val="ListBullet"/>
      </w:pPr>
      <w:r>
        <w:t>AMF↔EUK | CLR | primary: best hypothesis B (abiotic_plus_alpha), adjusted R2=0.188, delta adjusted R2 vs abiotic base=0.013, p=0.002.</w:t>
      </w:r>
    </w:p>
    <w:p>
      <w:pPr>
        <w:pStyle w:val="ListBullet"/>
      </w:pPr>
      <w:r>
        <w:t>AMF↔EUK | presence/absence | geography_sensitivity: best hypothesis B (abiotic_plus_alpha), adjusted R2=0.211, delta adjusted R2 vs abiotic base=0.019, p=0.002.</w:t>
      </w:r>
    </w:p>
    <w:p>
      <w:pPr>
        <w:pStyle w:val="ListBullet"/>
      </w:pPr>
      <w:r>
        <w:t>AMF↔EUK | presence/absence | primary: best hypothesis B (abiotic_plus_alpha), adjusted R2=0.198, delta adjusted R2 vs abiotic base=0.017, p=0.002.</w:t>
      </w:r>
    </w:p>
    <w:p>
      <w:pPr>
        <w:pStyle w:val="ListBullet"/>
      </w:pPr>
      <w:r>
        <w:t>AMF↔ITS | CLR | geography_sensitivity: best hypothesis B (abiotic_plus_alpha), adjusted R2=0.209, delta adjusted R2 vs abiotic base=0.018, p=0.002.</w:t>
      </w:r>
    </w:p>
    <w:p>
      <w:pPr>
        <w:pStyle w:val="ListBullet"/>
      </w:pPr>
      <w:r>
        <w:t>AMF↔ITS | CLR | primary: best hypothesis B (abiotic_plus_alpha), adjusted R2=0.199, delta adjusted R2 vs abiotic base=0.017, p=0.002.</w:t>
      </w:r>
    </w:p>
    <w:p>
      <w:pPr>
        <w:pStyle w:val="ListBullet"/>
      </w:pPr>
      <w:r>
        <w:t>AMF↔ITS | presence/absence | geography_sensitivity: best hypothesis B (abiotic_plus_alpha), adjusted R2=0.231, delta adjusted R2 vs abiotic base=0.022, p=0.002.</w:t>
      </w:r>
    </w:p>
    <w:p>
      <w:pPr>
        <w:pStyle w:val="ListBullet"/>
      </w:pPr>
      <w:r>
        <w:t>AMF↔ITS | presence/absence | primary: best hypothesis B (abiotic_plus_alpha), adjusted R2=0.212, delta adjusted R2 vs abiotic base=0.019, p=0.002.</w:t>
      </w:r>
    </w:p>
    <w:p>
      <w:pPr>
        <w:pStyle w:val="ListBullet"/>
      </w:pPr>
      <w:r>
        <w:t>BAC↔ITS | CLR | geography_sensitivity: best hypothesis B (abiotic_plus_alpha), adjusted R2=0.281, delta adjusted R2 vs abiotic base=0.008, p=0.002.</w:t>
      </w:r>
    </w:p>
    <w:p>
      <w:pPr>
        <w:pStyle w:val="ListBullet"/>
      </w:pPr>
      <w:r>
        <w:t>BAC↔ITS | CLR | primary: best hypothesis B (abiotic_plus_alpha), adjusted R2=0.273, delta adjusted R2 vs abiotic base=0.007, p=0.002.</w:t>
      </w:r>
    </w:p>
    <w:p>
      <w:pPr>
        <w:pStyle w:val="ListBullet"/>
      </w:pPr>
      <w:r>
        <w:t>BAC↔ITS | presence/absence | geography_sensitivity: best hypothesis B (abiotic_plus_alpha), adjusted R2=0.269, delta adjusted R2 vs abiotic base=0.011, p=0.002.</w:t>
      </w:r>
    </w:p>
    <w:p>
      <w:pPr>
        <w:pStyle w:val="ListBullet"/>
      </w:pPr>
      <w:r>
        <w:t>BAC↔ITS | presence/absence | primary: best hypothesis B (abiotic_plus_alpha), adjusted R2=0.248, delta adjusted R2 vs abiotic base=0.009, p=0.002.</w:t>
      </w:r>
    </w:p>
    <w:p>
      <w:pPr>
        <w:pStyle w:val="ListBullet"/>
      </w:pPr>
      <w:r>
        <w:t>EUK↔ITS | CLR | geography_sensitivity: best hypothesis B (abiotic_plus_alpha), adjusted R2=0.202, delta adjusted R2 vs abiotic base=0.015, p=0.002.</w:t>
      </w:r>
    </w:p>
    <w:p>
      <w:pPr>
        <w:pStyle w:val="ListBullet"/>
      </w:pPr>
      <w:r>
        <w:t>EUK↔ITS | CLR | primary: best hypothesis B (abiotic_plus_alpha), adjusted R2=0.191, delta adjusted R2 vs abiotic base=0.013, p=0.002.</w:t>
      </w:r>
    </w:p>
    <w:p>
      <w:pPr>
        <w:pStyle w:val="ListBullet"/>
      </w:pPr>
      <w:r>
        <w:t>EUK↔ITS | presence/absence | geography_sensitivity: best hypothesis B (abiotic_plus_alpha), adjusted R2=0.227, delta adjusted R2 vs abiotic base=0.014, p=0.002.</w:t>
      </w:r>
    </w:p>
    <w:p>
      <w:pPr>
        <w:pStyle w:val="ListBullet"/>
      </w:pPr>
      <w:r>
        <w:t>EUK↔ITS | presence/absence | primary: best hypothesis B (abiotic_plus_alpha), adjusted R2=0.205, delta adjusted R2 vs abiotic base=0.011, p=0.002.</w:t>
      </w:r>
    </w:p>
    <w:p/>
    <w:p>
      <w:pPr>
        <w:pStyle w:val="Heading3"/>
      </w:pPr>
      <w:r>
        <w:t>Integrated synthesis</w:t>
      </w:r>
    </w:p>
    <w:p>
      <w:r>
        <w:t>Figure 5 integrates coupling strength, environmental explained variation, and plant-diversity increments. The integrated pattern supports strong cross-domain concordance with substantial environmental organization and smaller, context-dependent plant-diversity increments.</w:t>
      </w:r>
    </w:p>
    <w:p/>
    <w:p>
      <w:pPr>
        <w:pStyle w:val="Heading2"/>
      </w:pPr>
      <w:r>
        <w:t>Discussion</w:t>
      </w:r>
    </w:p>
    <w:p>
      <w:r>
        <w:t>Across Figures 1 to 5, the most defensible interpretation is layered: (i) strong cross-domain concordance, (ii) substantial environmental structuring with strong pH influence, and (iii) additional but smaller plant-diversity increments, especially for alpha-containing hypotheses.</w:t>
      </w:r>
    </w:p>
    <w:p/>
    <w:p>
      <w:pPr>
        <w:pStyle w:val="Heading2"/>
      </w:pPr>
      <w:r>
        <w:t>Conclusions</w:t>
      </w:r>
    </w:p>
    <w:p>
      <w:r>
        <w:t>Using only committed outputs and reviewer-directed restructuring, v8 shows that cross-domain coupling is strong but heterogeneously structured; environmental gradients explain a substantial share of variation; and plant-diversity effects are positive but generally smaller than environmental effects, with alpha-associated increments ranking highest on average.</w:t>
      </w:r>
    </w:p>
    <w:p/>
    <w:p>
      <w:pPr>
        <w:pStyle w:val="Heading2"/>
      </w:pPr>
      <w:r>
        <w:t>Figure legends</w:t>
      </w:r>
    </w:p>
    <w:p>
      <w:r>
        <w:t>Figure 1. Global cohort and environmental context of the cross-domain microbiome analysis. Global distribution of the final matched cohort (n=84), environmental gradient space (pH_KCl,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R2 across pair-representation combinations. Right: predictor-level mean delta adjusted R2 rankings.</w:t>
      </w:r>
    </w:p>
    <w:p/>
    <w:p>
      <w:r>
        <w:t>Figure 4. Plant-diversity hypothesis comparison (A-G). Left: mean delta adjusted R2 versus abiotic baseline. Right: pair-level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pPr>
        <w:pStyle w:val="ListBullet"/>
      </w:pPr>
      <w:r>
        <w:t>Legendre, P., and Legendre, L. (2012). Numerical Ecology.</w:t>
      </w:r>
    </w:p>
    <w:p>
      <w:pPr>
        <w:pStyle w:val="ListBullet"/>
      </w:pPr>
      <w:r>
        <w:t>Peres-Neto, P. R., et al. (2006). Variation partitioning of species data matrices.</w:t>
      </w:r>
    </w:p>
    <w:p>
      <w:pPr>
        <w:pStyle w:val="ListBullet"/>
      </w:pPr>
      <w:r>
        <w:t>McArdle, B. H., and Anderson, M. J. (2001). Fitting multivariate models to community data.</w:t>
      </w:r>
    </w:p>
    <w:p>
      <w:pPr>
        <w:pStyle w:val="ListBullet"/>
      </w:pPr>
      <w:r>
        <w:t>Python Software Foundation. Python 3.12.3. https://www.python.org/</w:t>
      </w:r>
    </w:p>
    <w:p>
      <w:pPr>
        <w:pStyle w:val="ListBullet"/>
      </w:pPr>
      <w:r>
        <w:t>Harris, C. R., et al. (2020). Array programming with NumPy. Nature.</w:t>
      </w:r>
    </w:p>
    <w:p>
      <w:pPr>
        <w:pStyle w:val="ListBullet"/>
      </w:pPr>
      <w:r>
        <w:t>McKinney, W. (2010). Data structures for statistical computing in Python.</w:t>
      </w:r>
    </w:p>
    <w:p>
      <w:pPr>
        <w:pStyle w:val="ListBullet"/>
      </w:pPr>
      <w:r>
        <w:t>Virtanen, P., et al. (2020). SciPy 1.0. Nature Methods.</w:t>
      </w:r>
    </w:p>
    <w:p>
      <w:pPr>
        <w:pStyle w:val="ListBullet"/>
      </w:pPr>
      <w:r>
        <w:t>Pedregosa, F., et al. (2011). Scikit-learn. Journal of Machine Learning Research.</w:t>
      </w:r>
    </w:p>
    <w:p>
      <w:pPr>
        <w:pStyle w:val="ListBullet"/>
      </w:pPr>
      <w:r>
        <w:t>Hunter, J. D. (2007). Matplotlib. Computing in Science and Engineering.</w:t>
      </w:r>
    </w:p>
    <w:p>
      <w:pPr>
        <w:pStyle w:val="ListBullet"/>
      </w:pPr>
      <w:r>
        <w:t>Waskom, M. (2021). seaborn: statistical data visualization. Journal of Open Source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