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t xml:space="preserve">Title</w:t>
      </w:r>
    </w:p>
    <w:p>
      <w:r>
        <w:t xml:space="preserve"/>
      </w:r>
    </w:p>
    <w:p>
      <w:r>
        <w:t xml:space="preserve">Environment-structured cross-domain coupling in soil microbiomes: a defensibility-hardened observational synthesis</w:t>
      </w:r>
    </w:p>
    <w:p>
      <w:r>
        <w:t xml:space="preserve"/>
      </w:r>
    </w:p>
    <w:p>
      <w:pPr>
        <w:pStyle w:val="Heading2"/>
      </w:pPr>
      <w:r>
        <w:t xml:space="preserve">Abstract</w:t>
      </w:r>
    </w:p>
    <w:p>
      <w:r>
        <w:t xml:space="preserve">Cross-domain concordance in soil microbiomes can arise from shared environmental filtering, biological interaction, or both, but observational amplicon datasets do not isolate mechanism directly. We synthesized completed outputs only (no rerun analyses) across coupling metrics, environmental driver models, plant-diversity hypothesis comparisons, and Phase 5D integration for BAC↔ITS, EUK↔ITS, AMF↔ITS, and AMF↔EUK under presence/absence and CLR branches. Integrated coupling remained highest for BAC↔ITS presence/absence (0.574), followed by EUK↔ITS presence/absence (0.538) and EUK↔ITS CLR (0.535). Environmental structure was substantial (dbRDA adjusted R² 0.188–0.278), with recurrent high-ranking abiotic predictors in this cohort. Plant-diversity increments were smaller but repeatable (approximately 0.007–0.019), with alpha effects exceeding dark-diversity and completeness means in integrated summaries (alpha=0.013, dark=0.003, completeness=-0.004). AMF-linked pairings were not top-ranked in coupling magnitude but showed comparatively elevated plant-associated increments. The most defensible interpretation is therefore conservative: BAC↔ITS association is robust at the pattern level but remains mechanistically unresolved; Mantel and Procrustes provide complementary, non-interchangeable views; and plant-diversity metrics add modest, context-dependent explanatory signal rather than primary-driver evidence.</w:t>
      </w:r>
    </w:p>
    <w:p>
      <w:r>
        <w:t xml:space="preserve"/>
      </w:r>
    </w:p>
    <w:p>
      <w:pPr>
        <w:pStyle w:val="Heading2"/>
      </w:pPr>
      <w:r>
        <w:t xml:space="preserve">Introduction</w:t>
      </w:r>
    </w:p>
    <w:p>
      <w:r>
        <w:t xml:space="preserve">Cross-domain organization in soil microbiomes is increasingly framed through multitrophic interaction structure, but observational co-variation alone cannot distinguish shared filtering from direct interaction [R01, R35, R37, R36]. In soil systems, strong abiotic gradients can generate parallel structure across microbial domains, so coupling magnitude should be interpreted with explicit environmental alternatives retained [R05, R19].</w:t>
      </w:r>
    </w:p>
    <w:p>
      <w:r>
        <w:t xml:space="preserve"/>
      </w:r>
    </w:p>
    <w:p>
      <w:r>
        <w:t xml:space="preserve">Within plant-context interpretation, dark diversity and related completeness concepts remain useful for community-assembly framing, but derived biodiversity metrics are not fully independent and should not be overinterpreted as orthogonal causal terms [R11]. AMF-centric literature supports biologically plausible plant-associated responsiveness signals, yet this does not convert association-level coupling into mechanism proof [R04, R12, R38].</w:t>
      </w:r>
    </w:p>
    <w:p>
      <w:r>
        <w:t xml:space="preserve"/>
      </w:r>
    </w:p>
    <w:p>
      <w:r>
        <w:t xml:space="preserve">Methodologically, Mantel-type matrix concordance and geometric alignment metrics answer related but distinct questions. We therefore treat these diagnostics as complementary and avoid interchangeable interpretation [R33, R34].</w:t>
      </w:r>
    </w:p>
    <w:p>
      <w:r>
        <w:t xml:space="preserve"/>
      </w:r>
    </w:p>
    <w:p>
      <w:pPr>
        <w:pStyle w:val="Heading2"/>
      </w:pPr>
      <w:r>
        <w:t xml:space="preserve">Methods</w:t>
      </w:r>
    </w:p>
    <w:p>
      <w:pPr>
        <w:pStyle w:val="Heading3"/>
      </w:pPr>
      <w:r>
        <w:t xml:space="preserve">Scope and provenance restrictions</w:t>
      </w:r>
    </w:p>
    <w:p>
      <w:r>
        <w:t xml:space="preserve">This V5 manuscript uses completed artifacts only. No analyses were rerun, no HPC jobs were rerun, and no scientific result files were modified.</w:t>
      </w:r>
    </w:p>
    <w:p>
      <w:r>
        <w:t xml:space="preserve"/>
      </w:r>
    </w:p>
    <w:p>
      <w:pPr>
        <w:pStyle w:val="Heading3"/>
      </w:pPr>
      <w:r>
        <w:t xml:space="preserve">Defensibility hardening operations</w:t>
      </w:r>
    </w:p>
    <w:p>
      <w:r>
        <w:t xml:space="preserve">Citation repair was performed against the V4 citation audit and full manuscript text. Each flagged citation (mismatch, weak, unused) was assigned one action: replace, remove, or rewrite-claim-to-supported-scope. Speculative claims were rewritten conservatively using only completed analysis outputs and retained references.</w:t>
      </w:r>
    </w:p>
    <w:p>
      <w:r>
        <w:t xml:space="preserve"/>
      </w:r>
    </w:p>
    <w:p>
      <w:pPr>
        <w:pStyle w:val="Heading3"/>
      </w:pPr>
      <w:r>
        <w:t xml:space="preserve">Evidence-policy updates</w:t>
      </w:r>
    </w:p>
    <w:p>
      <w:r>
        <w:t xml:space="preserve">1. Dataset-specific quantitative claims are anchored to project outputs (tables/figures) and not externalized.</w:t>
      </w:r>
    </w:p>
    <w:p>
      <w:r>
        <w:t xml:space="preserve">2. External citations are reserved for broad ecological context or methodological interpretation.</w:t>
      </w:r>
    </w:p>
    <w:p>
      <w:r>
        <w:t xml:space="preserve">3. Composite coupling scores are treated as descriptive ranking summaries, not mechanistic inference tests.</w:t>
      </w:r>
    </w:p>
    <w:p>
      <w:r>
        <w:t xml:space="preserve"/>
      </w:r>
    </w:p>
    <w:p>
      <w:pPr>
        <w:pStyle w:val="Heading2"/>
      </w:pPr>
      <w:r>
        <w:t xml:space="preserve">Results</w:t>
      </w:r>
    </w:p>
    <w:p>
      <w:pPr>
        <w:pStyle w:val="Heading3"/>
      </w:pPr>
      <w:r>
        <w:t xml:space="preserve">1) Coupling hierarchy</w:t>
      </w:r>
    </w:p>
    <w:p>
      <w:r>
        <w:t xml:space="preserve">Integrated ranking remains BAC↔ITS presence/absence (0.574) &gt; EUK↔ITS presence/absence (0.538) &gt; EUK↔ITS CLR (0.535).</w:t>
      </w:r>
    </w:p>
    <w:p>
      <w:r>
        <w:t xml:space="preserve"/>
      </w:r>
    </w:p>
    <w:p>
      <w:pPr>
        <w:pStyle w:val="Heading3"/>
      </w:pPr>
      <w:r>
        <w:t xml:space="preserve">2) Environmental structure</w:t>
      </w:r>
    </w:p>
    <w:p>
      <w:r>
        <w:t xml:space="preserve">Environmental explained variation remains substantial (dbRDA adjusted R² 0.188–0.278), supporting a filtering-compatible interpretation of high coupling patterns.</w:t>
      </w:r>
    </w:p>
    <w:p>
      <w:r>
        <w:t xml:space="preserve"/>
      </w:r>
    </w:p>
    <w:p>
      <w:pPr>
        <w:pStyle w:val="Heading3"/>
      </w:pPr>
      <w:r>
        <w:t xml:space="preserve">3) Plant-context increment scale</w:t>
      </w:r>
    </w:p>
    <w:p>
      <w:r>
        <w:t xml:space="preserve">Plant-diversity increments are modest but repeatable (approximately 0.007–0.019), with alpha-inclusive formulations generally higher than dark-diversity or completeness in this cohort.</w:t>
      </w:r>
    </w:p>
    <w:p>
      <w:r>
        <w:t xml:space="preserve"/>
      </w:r>
    </w:p>
    <w:p>
      <w:pPr>
        <w:pStyle w:val="Heading3"/>
      </w:pPr>
      <w:r>
        <w:t xml:space="preserve">4) AMF boundary interpretation</w:t>
      </w:r>
    </w:p>
    <w:p>
      <w:r>
        <w:t xml:space="preserve">AMF-linked pairings show lower aggregate coupling than BAC↔ITS/EUK↔ITS but relatively elevated plant-associated increments, consistent with responsiveness framing rather than dominance framing.</w:t>
      </w:r>
    </w:p>
    <w:p>
      <w:r>
        <w:t xml:space="preserve"/>
      </w:r>
    </w:p>
    <w:p>
      <w:pPr>
        <w:pStyle w:val="Heading2"/>
      </w:pPr>
      <w:r>
        <w:t xml:space="preserve">Discussion</w:t>
      </w:r>
    </w:p>
    <w:p>
      <w:pPr>
        <w:pStyle w:val="Heading3"/>
      </w:pPr>
      <w:r>
        <w:t xml:space="preserve">BAC↔ITS under environmental-filtering priority</w:t>
      </w:r>
    </w:p>
    <w:p>
      <w:r>
        <w:t xml:space="preserve">The BAC↔ITS signal is strong at the association level, but high co-occurring environmental structure requires a filtering-first interpretation. Direct interaction remains plausible but unproven in this observational design.</w:t>
      </w:r>
    </w:p>
    <w:p>
      <w:r>
        <w:t xml:space="preserve"/>
      </w:r>
    </w:p>
    <w:p>
      <w:pPr>
        <w:pStyle w:val="Heading3"/>
      </w:pPr>
      <w:r>
        <w:t xml:space="preserve">Mantel vs Procrustes: complementary, not interchangeable</w:t>
      </w:r>
    </w:p>
    <w:p>
      <w:r>
        <w:t xml:space="preserve">Mantel and Procrustes are retained as distinct diagnostics. Divergence between them is expected in heterogeneous multivariate structure and should be interpreted as information, not contradiction.</w:t>
      </w:r>
    </w:p>
    <w:p>
      <w:r>
        <w:t xml:space="preserve"/>
      </w:r>
    </w:p>
    <w:p>
      <w:pPr>
        <w:pStyle w:val="Heading3"/>
      </w:pPr>
      <w:r>
        <w:t xml:space="preserve">Composite coupling score limitations</w:t>
      </w:r>
    </w:p>
    <w:p>
      <w:r>
        <w:t xml:space="preserve">Composite coupling values are useful for ranking patterns across pair-branch contexts. They are not standalone inferential evidence and should not substitute for metric-specific interpretation.</w:t>
      </w:r>
    </w:p>
    <w:p>
      <w:r>
        <w:t xml:space="preserve"/>
      </w:r>
    </w:p>
    <w:p>
      <w:pPr>
        <w:pStyle w:val="Heading3"/>
      </w:pPr>
      <w:r>
        <w:t xml:space="preserve">AMF interpretation boundaries</w:t>
      </w:r>
    </w:p>
    <w:p>
      <w:r>
        <w:t xml:space="preserve">AMF-linked signals are framed as context-sensitive responsiveness patterns. V5 avoids AMF-mechanism overstatement and does not infer AMF-specific causal pathways from association-only evidence.</w:t>
      </w:r>
    </w:p>
    <w:p>
      <w:r>
        <w:t xml:space="preserve"/>
      </w:r>
    </w:p>
    <w:p>
      <w:pPr>
        <w:pStyle w:val="Heading3"/>
      </w:pPr>
      <w:r>
        <w:t xml:space="preserve">Plant-diversity realism</w:t>
      </w:r>
    </w:p>
    <w:p>
      <w:r>
        <w:t xml:space="preserve">Observed Δ adjusted R² increments are modest and secondary relative to major abiotic structure. V5 treats these increments as biologically interpretable context, not principal drivers.</w:t>
      </w:r>
    </w:p>
    <w:p>
      <w:r>
        <w:t xml:space="preserve"/>
      </w:r>
    </w:p>
    <w:p>
      <w:pPr>
        <w:pStyle w:val="Heading3"/>
      </w:pPr>
      <w:r>
        <w:t xml:space="preserve">Observational-study limits</w:t>
      </w:r>
    </w:p>
    <w:p>
      <w:r>
        <w:t xml:space="preserve">Causal directionality, interaction mechanism, and process partitioning remain unresolved without manipulative, temporal, or intervention-based validation. Claims are bounded to association-level inference.</w:t>
      </w:r>
    </w:p>
    <w:p>
      <w:r>
        <w:t xml:space="preserve"/>
      </w:r>
    </w:p>
    <w:p>
      <w:pPr>
        <w:pStyle w:val="Heading2"/>
      </w:pPr>
      <w:r>
        <w:t xml:space="preserve">Figure captions</w:t>
      </w:r>
    </w:p>
    <w:p>
      <w:r>
        <w:t xml:space="preserve">See `docs/figure_caption_final.md` for final publication-ready captions with explicit interpretation limits.</w:t>
      </w:r>
    </w:p>
    <w:p>
      <w:r>
        <w:t xml:space="preserve"/>
      </w:r>
    </w:p>
    <w:p>
      <w:pPr>
        <w:pStyle w:val="Heading2"/>
      </w:pPr>
      <w:r>
        <w:t xml:space="preserve">Citation-repair provenance</w:t>
      </w:r>
    </w:p>
    <w:p>
      <w:r>
        <w:t xml:space="preserve">Citation-repair decisions are listed in `results/manuscript_preparation/manuscript_v5_citation_repair.csv`.</w:t>
      </w:r>
    </w:p>
    <w:p>
      <w:r>
        <w:t xml:space="preserve"/>
      </w:r>
    </w:p>
    <w:p>
      <w:r>
        <w:t xml:space="preserve">Semantic Scholar query anchors used in this pass:</w:t>
      </w:r>
    </w:p>
    <w:p>
      <w:r>
        <w:t xml:space="preserve">- cross_domain_soil: Soil protist communities form a dynamic hub in the soil microbiome (2017)</w:t>
      </w:r>
    </w:p>
    <w:p>
      <w:r>
        <w:t xml:space="preserve">- multitrophic_rhizosphere: Multitrophic interactions in the rhizosphere microbiome of wheat: from bacteria and fungi to protists. (2020)</w:t>
      </w:r>
    </w:p>
    <w:p>
      <w:r>
        <w:t xml:space="preserve">- mantel_limits: Should the Mantel test be used in spatial analysis? (2015)</w:t>
      </w:r>
    </w:p>
    <w:p>
      <w:r>
        <w:t xml:space="preserve">- dark_diversity: Community ecology of absent species: hidden and dark diversity (2014)</w:t>
      </w:r>
    </w:p>
    <w:p>
      <w:r>
        <w:t xml:space="preserve">- amf_plants: Arbuscular mycorrhizal fungi benefit plants in response to major global change factors. (2023)</w:t>
      </w:r>
    </w:p>
    <w:p>
      <w:r>
        <w:t xml:space="preserve"/>
      </w:r>
    </w:p>
    <w:p>
      <w:pPr>
        <w:pStyle w:val="Heading2"/>
      </w:pPr>
      <w:r>
        <w:t xml:space="preserve">Conclusions</w:t>
      </w:r>
    </w:p>
    <w:p>
      <w:r>
        <w:t xml:space="preserve">V5 prioritizes citation accuracy and inference restraint. Core numerical findings are preserved, while unsupported or indirect citation usage is removed or narrowed. The manuscript now presents a more reviewer-resilient interpretation centered on environmental-structure alternatives, metric complementarity, effect-size realism, and observational limits.</w:t>
      </w:r>
    </w:p>
    <w:p>
      <w:r>
        <w:t xml:space="preserve"/>
      </w:r>
    </w:p>
    <w:p>
      <w:pPr>
        <w:pStyle w:val="Heading2"/>
      </w:pPr>
      <w:r>
        <w:t xml:space="preserve">References</w:t>
      </w:r>
    </w:p>
    <w:p>
      <w:r>
        <w:t xml:space="preserve"/>
      </w:r>
    </w:p>
    <w:p>
      <w:r>
        <w:t xml:space="preserve">[R01] Ping Sun, Ying Wang, Xin Huang, Bangqin Huang, Lei Wang. 2022. Water masses and their associated temperature and cross-domain biotic factors co-shape upwelling microbial communities.. https://www.semanticscholar.org/paper/d2e5735f9f5c491cc2070a70a48b2fe4ace187a0.</w:t>
      </w:r>
    </w:p>
    <w:p>
      <w:r>
        <w:t xml:space="preserve">[R04] Bo Tang, Jing Man, A. Lehmann, M. Rillig. 2023. Arbuscular mycorrhizal fungi benefit plants in response to major global change factors.. https://www.semanticscholar.org/paper/42d399852e06e497e6d96564bc7f80921fdf745f.</w:t>
      </w:r>
    </w:p>
    <w:p>
      <w:r>
        <w:t xml:space="preserve">[R05] Kristin M. Rath, N. Fierer, D. Murphy, J. Rousk. 2018. Linking bacterial community composition to soil salinity along environmental gradients. https://www.semanticscholar.org/paper/d00c46b5c0a95da3cc3b45fb2d1995dfec68ecdf.</w:t>
      </w:r>
    </w:p>
    <w:p>
      <w:r>
        <w:t xml:space="preserve">[R11] M. Pärtel. 2014. Community ecology of absent species: hidden and dark diversity. https://www.semanticscholar.org/paper/9ace84d02cec657111c95295014e0185e225b3cb.</w:t>
      </w:r>
    </w:p>
    <w:p>
      <w:r>
        <w:t xml:space="preserve">[R12] Po‐Ju Ke, T. Miki, Tzung-Su Ding. 2015. The soil microbial community predicts the importance of plant traits in plant-soil feedback.. https://www.semanticscholar.org/paper/e178c8994d8ac7e0167e7047ede1989664cfc771.</w:t>
      </w:r>
    </w:p>
    <w:p>
      <w:r>
        <w:t xml:space="preserve">[R19] S. Kivlin, G. Winston, M. Goulden, K. Treseder. 2014. Environmental filtering affects soil fungal community composition more than dispersal limitation at regional scales. https://www.semanticscholar.org/paper/3937d324de0635deaf74b63fcc02a36aaeccbdb1.</w:t>
      </w:r>
    </w:p>
    <w:p>
      <w:r>
        <w:t xml:space="preserve">[R33] P. Smouse, J. Long, R. Sokal. 1986. Multiple regression and correlation extensions of the mantel test of matrix correspondence. https://www.semanticscholar.org/paper/1c4690af437016ba0ece6588517c33380bd3d16b.</w:t>
      </w:r>
    </w:p>
    <w:p>
      <w:r>
        <w:t xml:space="preserve">[R34] P. Legendre, M. Fortin, D. Borcard. 2015. Should the Mantel test be used in spatial analysis?. https://www.semanticscholar.org/paper/9311b4a4bb57507cef2c7fb34b68a8c8a87f805d.</w:t>
      </w:r>
    </w:p>
    <w:p>
      <w:r>
        <w:t xml:space="preserve">[R35] Wu Xiong, A. Jousset, Sai Guo, I. Karlsson, Qingyun Zhao. 2017. Soil protist communities form a dynamic hub in the soil microbiome. https://www.semanticscholar.org/paper/3a17ce6cee66ccb66e7eb24a1d7637b27a918843.</w:t>
      </w:r>
    </w:p>
    <w:p>
      <w:r>
        <w:t xml:space="preserve">[R36] Poonam Chauhan, Neha Sharma, A. Tapwal, Ajay Kumar, G. Verma. 2023. Soil Microbiome: Diversity, Benefits and Interactions with Plants. https://www.semanticscholar.org/paper/7a2c85f32608660fa11c19409496bc85c8c423dd.</w:t>
      </w:r>
    </w:p>
    <w:p>
      <w:r>
        <w:t xml:space="preserve">[R37] Maike Rossmann, J. Pérez-Jaramillo, V. N. Kavamura, J. Chiaramonte, K. Dumack. 2020. Multitrophic interactions in the rhizosphere microbiome of wheat: from bacteria and fungi to protists.. https://www.semanticscholar.org/paper/42d03d0b39981b892d93906ab599f2fb05e02344.</w:t>
      </w:r>
    </w:p>
    <w:p>
      <w:r>
        <w:t xml:space="preserve">[R38] F. D. de Vries, J. Lau, C. Hawkes, M. Semchenko. 2023. Plant-soil feedback under drought: does history shape the future?. https://www.semanticscholar.org/paper/325c87cdb6f04ffdb45d00a0c12f3701d96f0912.</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style>
  <w:style w:type="paragraph" w:styleId="Heading2">
    <w:name w:val="heading 2"/>
    <w:basedOn w:val="Normal"/>
    <w:qFormat/>
  </w:style>
  <w:style w:type="paragraph" w:styleId="Heading3">
    <w:name w:val="heading 3"/>
    <w:basedOn w:val="Normal"/>
    <w:qFormat/>
  </w:style>
  <w:style w:type="paragraph" w:styleId="Heading4">
    <w:name w:val="heading 4"/>
    <w:basedOn w:val="Normal"/>
    <w:qFormat/>
  </w:style>
  <w:style w:type="paragraph" w:styleId="Heading5">
    <w:name w:val="heading 5"/>
    <w:basedOn w:val="Normal"/>
    <w:qFormat/>
  </w:style>
  <w:style w:type="paragraph" w:styleId="Heading6">
    <w:name w:val="heading 6"/>
    <w:basedOn w:val="Normal"/>
    <w:qFormat/>
  </w:style>
</w:styles>
</file>

<file path=word/_rels/document.xml.rels><?xml version="1.0" encoding="UTF-8" standalone="yes"?>
<Relationships xmlns="http://schemas.openxmlformats.org/package/2006/relationships"/>
</file>