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Environmental filtering dominates cross-domain soil microbiome coupling, with secondary AMF-linked plant-context effects</w:t>
      </w:r>
    </w:p>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p/>
    <w:p>
      <w:pPr>
        <w:pStyle w:val="Heading2"/>
      </w:pPr>
      <w:r>
        <w:t>Introduction</w:t>
      </w:r>
    </w:p>
    <w:p>
      <w:r>
        <w:t>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p>
      <w:r>
        <w:t>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
      <w:r>
        <w:t>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p>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
      <w:r>
        <w:t>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w:t>
      </w:r>
    </w:p>
    <w:p/>
    <w:p>
      <w:r>
        <w:t xml:space="preserve">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 </w:t>
      </w:r>
    </w:p>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pPr>
        <w:pStyle w:val="Heading2"/>
      </w:pPr>
      <w:r>
        <w:t>Methods</w:t>
      </w:r>
    </w:p>
    <w:p>
      <w:pPr>
        <w:pStyle w:val="Heading3"/>
      </w:pPr>
      <w:r>
        <w:t>2.1 Study system</w:t>
      </w:r>
    </w:p>
    <w:p>
      <w:r>
        <w:t>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(2025),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p>
      <w:r>
        <w:drawing>
          <wp:inline xmlns:a="http://schemas.openxmlformats.org/drawingml/2006/main" xmlns:pic="http://schemas.openxmlformats.org/drawingml/2006/picture">
            <wp:extent cx="5760720" cy="4482587"/>
            <wp:docPr id="1" name="Picture 1"/>
            <wp:cNvGraphicFramePr>
              <a:graphicFrameLocks noChangeAspect="1"/>
            </wp:cNvGraphicFramePr>
            <a:graphic>
              <a:graphicData uri="http://schemas.openxmlformats.org/drawingml/2006/picture">
                <pic:pic>
                  <pic:nvPicPr>
                    <pic:cNvPr id="0" name="Figure1_global_cohort_environmental_context.png"/>
                    <pic:cNvPicPr/>
                  </pic:nvPicPr>
                  <pic:blipFill>
                    <a:blip r:embed="rId9"/>
                    <a:stretch>
                      <a:fillRect/>
                    </a:stretch>
                  </pic:blipFill>
                  <pic:spPr>
                    <a:xfrm>
                      <a:off x="0" y="0"/>
                      <a:ext cx="5760720" cy="4482587"/>
                    </a:xfrm>
                    <a:prstGeom prst="rect"/>
                  </pic:spPr>
                </pic:pic>
              </a:graphicData>
            </a:graphic>
          </wp:inline>
        </w:drawing>
      </w:r>
    </w:p>
    <w:p>
      <w:r>
        <w:t>*Figure 1 displays the locations of the matched cohort and associated environmental context.*</w:t>
      </w:r>
    </w:p>
    <w:p/>
    <w:p>
      <w:pPr>
        <w:pStyle w:val="Heading3"/>
      </w:pPr>
      <w:r>
        <w:t>2.2 Sequencing and bioinformatics</w:t>
      </w:r>
    </w:p>
    <w:p>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p>
      <w:pPr>
        <w:pStyle w:val="Heading3"/>
      </w:pPr>
      <w:r>
        <w:t>2.3 Community representations and prevalence filtering</w:t>
      </w:r>
    </w:p>
    <w:p>
      <w:r>
        <w:t>To evaluate cross-domain correspondence under complementary assumptions about community structure, each domain pair was analyzed in two representations: presence/absence and centered log-ratio (CLR) transformed abundance data.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p>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p>
      <w:pPr>
        <w:pStyle w:val="Heading3"/>
      </w:pPr>
      <w:r>
        <w:t>2.4 Cross-domain coupling analyses</w:t>
      </w:r>
    </w:p>
    <w:p>
      <w:r>
        <w:t>Pairwise cross-domain analyses included BAC↔ITS, EUK↔ITS, AMF↔ITS, AMF↔EUK, BAC↔AMF, and BAC↔EUK, all evaluated on the same matched sample set. Environmental-driver and plant-diversity layers used this same six-pair design in both presence/absence and CLR representations, yielding 12 pair×representation combinations for cross-layer synthesis.</w:t>
      </w:r>
    </w:p>
    <w:p/>
    <w:p>
      <w:r>
        <w:t>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w:t>
      </w:r>
    </w:p>
    <w:p/>
    <w:p>
      <w:r>
        <w:t>Because Mantel and Procrustes capture different facets of correspondence, both were reported separately and jointly through an integrated coupling score defined as the mean of Mantel correlation and Procrustes similarity. Averaging these two statistics creates a consensus turnover space representing the paired microbial domains. In this formulation, Mantel describes matrix-level concordance, whereas Procrustes describes alignment of multivariate ordination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p/>
    <w:p>
      <w:pPr>
        <w:pStyle w:val="Heading3"/>
      </w:pPr>
      <w:r>
        <w:t>2.5 Environmental-driver analyses</w:t>
      </w:r>
    </w:p>
    <w:p>
      <w:r>
        <w:t>Environmental predictors were selected a priori to represent major abiotic gradients expected to influence microbial community assembly while maintaining a parsimonious and interpretable modeling framework. Soil pH was included because it is widely recognized as a dominant determinant of microbial community composition across multiple taxonomic groups, soil nitrogen was included as an indicator of nutrient availability, and annual precipitation was included to represent broad-scale climatic variation. Additional variables, including temperature, phosphorus availability, and other soil properties, may also influence microbial communities, but were not included here to limit model complexity and focus on a small set of ecologically interpretable predictors consistently available across all sites.</w:t>
      </w:r>
    </w:p>
    <w:p/>
    <w:p>
      <w:r>
        <w:t>For each pair×representation combination, we constructed a combined microbial dissimilarity matrix as the mean of the two domain-specific distance matrices (Jaccard for presence/absence; Euclidean distance on CLR-transformed profiles for CLR). We then performed principal coordinates analysis (PCoA) on that combined dissimilarity matrix and retained positive-eigenvalue axes (up to 12 axes) as the multivariate response in a dbRDA-style constrained-ordination model. Predictor matrices were fit to these ordination coordinates by multivariate linear modeling, and model significance was evaluated with a permutation pseudo-F test (999 permutations).</w:t>
      </w:r>
    </w:p>
    <w:p/>
    <w:p>
      <w:r>
        <w:t>Model fit was summarized as R² and adjusted R² from the full constrained model for each pair×representation combination. Predictor influence was quantified by leave-one-predictor reduction: for each predictor, we refit the model after dropping that predictor and computed ΔR² = R²_full − R²_reduced and Δadjusted R² = adjusted R²_full − adjusted R²_reduced. Model adequacy across predictor sets (primary abiotic set vs geography-sensitivity extension with latitude/longitude) was compared using adjusted R².</w:t>
      </w:r>
    </w:p>
    <w:p/>
    <w:p>
      <w:pPr>
        <w:pStyle w:val="Heading3"/>
      </w:pPr>
      <w:r>
        <w:t>2.6 Plant-diversity hypothesis testing</w:t>
      </w:r>
    </w:p>
    <w:p>
      <w:r>
        <w:t>To evaluate whether plant diversity explained variation in microbial coupling beyond abiotic conditions, we compared seven a priori candidate models (A–G) against an abiotic baseline model. Model A was the abiotic baseline (pH, soil nitrogen, and annual precipitation). Models B–G were alternative extensions of that same abiotic baseline (not a stepwise cumulative sequence): B added alpha diversity; C added dark diversity; D added species pool size; E added community completeness; F added alpha plus dark diversity; and G added species pool plus completeness.</w:t>
      </w:r>
    </w:p>
    <w:p/>
    <w:p>
      <w:r>
        <w:t>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w:t>
      </w:r>
    </w:p>
    <w:p/>
    <w:p>
      <w:r>
        <w:t>For each pair×representation combination, the microbial response matrix was derived from the same combined-distance-to-PCoA workflow used above. Positive-eigenvalue PCoA axes (up to 12 axes) were used as multivariate response coordinates in each hypothesis model. The CLR branch used the direct Aitchison-distance workflow as primary analysis; the optional pca10 route in code is a distance-construction sensitivity option and not the primary inferential setting. Plant-diversity model inference used 999 permutations, and incremental support for each hypothesis was quantified as Δadjusted R² relative to model A.</w:t>
      </w:r>
    </w:p>
    <w:p/>
    <w:p>
      <w:pPr>
        <w:pStyle w:val="Heading3"/>
      </w:pPr>
      <w:r>
        <w:t>2.7 Integrated synthesis</w:t>
      </w:r>
    </w:p>
    <w:p>
      <w:r>
        <w:t>Integrated synthesis was performed at the pair×representation level by joining outputs from three completed analysis layers: (i) coupling summaries (Mantel, Procrustes, and their mean coupling score), (ii) environmental-driver dbRDA summaries and predictor rankings, and (iii) plant-diversity hypothesis comparisons.</w:t>
      </w:r>
    </w:p>
    <w:p/>
    <w:p>
      <w:r>
        <w:t>For each pair×representation combination, we retained the best environmental model (primary abiotic or geography-sensitivity) based on adjusted R² and recorded the top-ranked environmental predictor by Δadjusted R². For plant diversity, model A served as the abiotic baseline and we identified the best non-baseline hypothesis (B–G) by maximum Δadjusted R² versus model A. These per-combination summaries were then integrated into a single comparative table and visualization layer used for cross-pair interpretation.</w:t>
      </w:r>
    </w:p>
    <w:p/>
    <w:p>
      <w:r>
        <w:t>For consistent interpretation across pairings, summaries were evaluated using descriptive thresholds (coupling strength ≥0.50, environmental adjusted R² ≥0.20, and plant-diversity Δadjusted R² ≥0.01; low-plant criterion &lt;0.005). These thresholds were used as interpretive guides for comparative synthesis and not as replacements for permutation-based inference.</w:t>
      </w:r>
    </w:p>
    <w:p/>
    <w:p>
      <w:pPr>
        <w:pStyle w:val="Heading2"/>
      </w:pPr>
      <w:r>
        <w:t>Results</w:t>
      </w:r>
    </w:p>
    <w:p>
      <w:r>
        <w:t>Figures 2–5 present a connected results sequence from cross-domain coupling to environmental structure, plant-diversity effects, and final synthesis.</w:t>
      </w:r>
    </w:p>
    <w:p/>
    <w:p>
      <w:pPr>
        <w:pStyle w:val="Heading3"/>
      </w:pPr>
      <w:r>
        <w:t>3.1 Cross-domain coupling patterns</w:t>
      </w:r>
    </w:p>
    <w:p>
      <w:r>
        <w:drawing>
          <wp:inline xmlns:a="http://schemas.openxmlformats.org/drawingml/2006/main" xmlns:pic="http://schemas.openxmlformats.org/drawingml/2006/picture">
            <wp:extent cx="5760720" cy="2426970"/>
            <wp:docPr id="2" name="Picture 2"/>
            <wp:cNvGraphicFramePr>
              <a:graphicFrameLocks noChangeAspect="1"/>
            </wp:cNvGraphicFramePr>
            <a:graphic>
              <a:graphicData uri="http://schemas.openxmlformats.org/drawingml/2006/picture">
                <pic:pic>
                  <pic:nvPicPr>
                    <pic:cNvPr id="0" name="Figure2_cross_domain_coupling_hierarchy.png"/>
                    <pic:cNvPicPr/>
                  </pic:nvPicPr>
                  <pic:blipFill>
                    <a:blip r:embed="rId10"/>
                    <a:stretch>
                      <a:fillRect/>
                    </a:stretch>
                  </pic:blipFill>
                  <pic:spPr>
                    <a:xfrm>
                      <a:off x="0" y="0"/>
                      <a:ext cx="5760720" cy="2426970"/>
                    </a:xfrm>
                    <a:prstGeom prst="rect"/>
                  </pic:spPr>
                </pic:pic>
              </a:graphicData>
            </a:graphic>
          </wp:inline>
        </w:drawing>
      </w:r>
    </w:p>
    <w:p>
      <w:r>
        <w:t>*Figure 2 shows pair-level coupling metrics (Mantel/Procrustes-derived integration) across domain combinations.*</w:t>
      </w:r>
    </w:p>
    <w:p/>
    <w:p>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p>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p>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p/>
    <w:p>
      <w:pPr>
        <w:pStyle w:val="Heading3"/>
      </w:pPr>
      <w:r>
        <w:t>3.2 Environmental structure of coupled turnover</w:t>
      </w:r>
    </w:p>
    <w:p>
      <w:r>
        <w:drawing>
          <wp:inline xmlns:a="http://schemas.openxmlformats.org/drawingml/2006/main" xmlns:pic="http://schemas.openxmlformats.org/drawingml/2006/picture">
            <wp:extent cx="5760720" cy="2519642"/>
            <wp:docPr id="3" name="Picture 3"/>
            <wp:cNvGraphicFramePr>
              <a:graphicFrameLocks noChangeAspect="1"/>
            </wp:cNvGraphicFramePr>
            <a:graphic>
              <a:graphicData uri="http://schemas.openxmlformats.org/drawingml/2006/picture">
                <pic:pic>
                  <pic:nvPicPr>
                    <pic:cNvPr id="0" name="Figure3_environmental_driver_analysis.png"/>
                    <pic:cNvPicPr/>
                  </pic:nvPicPr>
                  <pic:blipFill>
                    <a:blip r:embed="rId11"/>
                    <a:stretch>
                      <a:fillRect/>
                    </a:stretch>
                  </pic:blipFill>
                  <pic:spPr>
                    <a:xfrm>
                      <a:off x="0" y="0"/>
                      <a:ext cx="5760720" cy="2519642"/>
                    </a:xfrm>
                    <a:prstGeom prst="rect"/>
                  </pic:spPr>
                </pic:pic>
              </a:graphicData>
            </a:graphic>
          </wp:inline>
        </w:drawing>
      </w:r>
    </w:p>
    <w:p>
      <w:r>
        <w:t>*Figure 3 left values are dbRDA adjusted R² by pair×representation; right values are mean predictor contributions (Δadjusted R²).*</w:t>
      </w:r>
    </w:p>
    <w:p/>
    <w:p>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p>
      <w:r>
        <w:t>Environmental effects were coherent across pairings: model-level permutation tests were significant across all pair×representation combinations (p = 0.001), and pH remained the dominant predictor by leave-one-predictor reductions (pH contribution range 0.087–0.153 in the Figure 3 source-data summaries; corresponding primary-model ranking-table range 0.085–0.151). Geography sensitivity terms remained positive where included, but their magnitudes were comparatively small, indicating limited spatial autocorrelation relative to the primary abiotic structure.</w:t>
      </w:r>
    </w:p>
    <w:p/>
    <w:p>
      <w:pPr>
        <w:pStyle w:val="Heading3"/>
      </w:pPr>
      <w:r>
        <w:t>3.3 Plant-diversity contrasts across pairings</w:t>
      </w:r>
    </w:p>
    <w:p>
      <w:r>
        <w:drawing>
          <wp:inline xmlns:a="http://schemas.openxmlformats.org/drawingml/2006/main" xmlns:pic="http://schemas.openxmlformats.org/drawingml/2006/picture">
            <wp:extent cx="5760720" cy="2838766"/>
            <wp:docPr id="4" name="Picture 4"/>
            <wp:cNvGraphicFramePr>
              <a:graphicFrameLocks noChangeAspect="1"/>
            </wp:cNvGraphicFramePr>
            <a:graphic>
              <a:graphicData uri="http://schemas.openxmlformats.org/drawingml/2006/picture">
                <pic:pic>
                  <pic:nvPicPr>
                    <pic:cNvPr id="0" name="Figure4_plant_diversity_hypothesis_comparison.png"/>
                    <pic:cNvPicPr/>
                  </pic:nvPicPr>
                  <pic:blipFill>
                    <a:blip r:embed="rId12"/>
                    <a:stretch>
                      <a:fillRect/>
                    </a:stretch>
                  </pic:blipFill>
                  <pic:spPr>
                    <a:xfrm>
                      <a:off x="0" y="0"/>
                      <a:ext cx="5760720" cy="2838766"/>
                    </a:xfrm>
                    <a:prstGeom prst="rect"/>
                  </pic:spPr>
                </pic:pic>
              </a:graphicData>
            </a:graphic>
          </wp:inline>
        </w:drawing>
      </w:r>
    </w:p>
    <w:p>
      <w:r>
        <w:t>*Figure 4 values are Δadjusted R² relative to the abiotic baseline (Model A), summarized by hypothesis and pair-level profiles.*</w:t>
      </w:r>
    </w:p>
    <w:p/>
    <w:p>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p>
      <w:r>
        <w:t>At the pair level (pair-collapsed maxima across branches/scopes), best-model plant-diversity increments ranged from 0.0076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p>
      <w:pPr>
        <w:pStyle w:val="Heading3"/>
      </w:pPr>
      <w:r>
        <w:t>3.4 Integrated pattern across analytical layers</w:t>
      </w:r>
    </w:p>
    <w:p>
      <w:r>
        <w:drawing>
          <wp:inline xmlns:a="http://schemas.openxmlformats.org/drawingml/2006/main" xmlns:pic="http://schemas.openxmlformats.org/drawingml/2006/picture">
            <wp:extent cx="5760720" cy="4497645"/>
            <wp:docPr id="5" name="Picture 5"/>
            <wp:cNvGraphicFramePr>
              <a:graphicFrameLocks noChangeAspect="1"/>
            </wp:cNvGraphicFramePr>
            <a:graphic>
              <a:graphicData uri="http://schemas.openxmlformats.org/drawingml/2006/picture">
                <pic:pic>
                  <pic:nvPicPr>
                    <pic:cNvPr id="0" name="Figure5_integrated_ecological_synthesis_network.png"/>
                    <pic:cNvPicPr/>
                  </pic:nvPicPr>
                  <pic:blipFill>
                    <a:blip r:embed="rId13"/>
                    <a:stretch>
                      <a:fillRect/>
                    </a:stretch>
                  </pic:blipFill>
                  <pic:spPr>
                    <a:xfrm>
                      <a:off x="0" y="0"/>
                      <a:ext cx="5760720" cy="4497645"/>
                    </a:xfrm>
                    <a:prstGeom prst="rect"/>
                  </pic:spPr>
                </pic:pic>
              </a:graphicData>
            </a:graphic>
          </wp:inline>
        </w:drawing>
      </w:r>
    </w:p>
    <w:p>
      <w:r>
        <w:t>*Figure 5 integrates coupling, environmental structure, and plant-diversity increments into a comparative cross-pair synthesis.*</w:t>
      </w:r>
    </w:p>
    <w:p/>
    <w:p>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p>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p>
      <w:pPr>
        <w:pStyle w:val="Heading2"/>
      </w:pPr>
      <w:r>
        <w:t>Discussion</w:t>
      </w:r>
    </w:p>
    <w:p>
      <w:r>
        <w:t>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p>
      <w:r>
        <w:t>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p>
      <w:r>
        <w:t>Our environmental analyses focused on a limited set of predictors chosen to represent major edaphic and climatic gradients. Consequently, the importance of pH observed here should be interpreted relative to the other variables included in the models rather than as evidence that pH is necessarily the strongest environmental driver across all possible environmental dimensions. Future analyses incorporating broader climatic, edaphic, and anthropogenic predictors may help refine the relative contribution of additional environmental constraints.</w:t>
      </w:r>
    </w:p>
    <w:p/>
    <w:p>
      <w:r>
        <w:t>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p>
      <w:r>
        <w:t>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p>
      <w:r>
        <w:t>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p>
      <w:r>
        <w:t>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p/>
    <w:p>
      <w:pPr>
        <w:pStyle w:val="Heading2"/>
      </w:pPr>
      <w:r>
        <w:t>Conclusions</w:t>
      </w:r>
    </w:p>
    <w:p/>
    <w:p>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p>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p>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pPr>
        <w:pStyle w:val="Heading2"/>
      </w:pPr>
      <w:r>
        <w:t>Figure legends</w:t>
      </w:r>
    </w:p>
    <w:p>
      <w:r>
        <w:t>Figure 1. Global cohort and environmental context of the cross-domain microbiome analysis. Displays the locations of the final matched cohort (n=84), environmental gradient space (pH, bio12now.100), plant-diversity distributions, and pair-set analysis design.</w:t>
      </w:r>
    </w:p>
    <w:p/>
    <w:p>
      <w:r>
        <w:t>Figure 2. Cross-domain coupling hierarchy. Left: rank ordering of pair-representation combinations by composite coupling strength. Right: Mantel vs Procrustes comparison for each combination.</w:t>
      </w:r>
    </w:p>
    <w:p/>
    <w:p>
      <w:r>
        <w:t>Figure 3. Environmental driver analysis. Left: dbRDA adjusted R² values across pair-representation combinations. Right: predictor-level mean delta adjusted R² values (leave-one-predictor reductions) used for ranking.</w:t>
      </w:r>
    </w:p>
    <w:p/>
    <w:p>
      <w:r>
        <w:t>Figure 4. Plant-diversity hypothesis comparison (A-G). Left: mean delta adjusted R² values versus the abiotic baseline. Right: pair-level delta adjusted R² response profiles across hypotheses.</w:t>
      </w:r>
    </w:p>
    <w:p/>
    <w:p>
      <w:r>
        <w:t>Figure 5. Integrated ecological synthesis network. Network-style integration of coupling (C), environmental structure (E), and plant-diversity increments across domain pairs.</w:t>
      </w:r>
    </w:p>
    <w:p/>
    <w:p>
      <w:pPr>
        <w:pStyle w:val="Heading2"/>
      </w:pPr>
      <w:r>
        <w:t>References</w:t>
      </w:r>
    </w:p>
    <w:p>
      <w:r>
        <w:t>Bahram, M., Hildebrand, F., Forslund, S. K., et al. 2018. Structure and function of the global topsoil microbiome. Nature 560: 233–237. https://doi.org/10.1038/s41586-018-0386-6</w:t>
      </w:r>
    </w:p>
    <w:p>
      <w:r>
        <w:t>Chemidlin Prévost-Bouré, N., Dequiedt, S., Thioulouse, J., et al. 2014. Similar processes but different environmental filters for soil bacterial and fungal community composition turnover on a broad spatial scale. PLoS ONE 9(11): e111667. https://doi.org/10.1371/journal.pone.0111667</w:t>
      </w:r>
    </w:p>
    <w:p>
      <w:r>
        <w:t>Deutschmann, I. M., Lima-Mendez, G., Krabberød, A. K., et al. 2021. Disentangling environmental effects in microbial association networks. Microbiome 9: 232. https://doi.org/10.1186/s40168-021-01141-7</w:t>
      </w:r>
    </w:p>
    <w:p>
      <w:r>
        <w:t>Emmett, B. D., Lévesque-Tremblay, V., &amp; Harrison, M. J. (2021). Conserved and reproducible bacterial communities associate with extraradical hyphae of arbuscular mycorrhizal fungi. The ISME Journal, 15(8), 2276–2288. DOI: https://doi.org/10.1038/s41396-021-00920-2 [7]</w:t>
      </w:r>
    </w:p>
    <w:p>
      <w:r>
        <w:t>Fellbaum, C. R., Mensah, J. A., Cloos, A. J., et al. 2014. Fungal nutrient allocation in common mycorrhizal networks is regulated by the carbon source strength of individual host plants. New Phytologist 203(2): 646–656. https://doi.org/10.1111/nph.12827</w:t>
      </w:r>
    </w:p>
    <w:p>
      <w:r>
        <w:t>Fierer, N., and Jackson, R. B. 2006. The diversity and biogeography of soil bacterial communities. Proceedings of the National Academy of Sciences of the United States of America 103(3): 626–631. https://doi.org/10.1073/pnas.0507535103</w:t>
      </w:r>
    </w:p>
    <w:p>
      <w:r>
        <w:t>Geisen, S., Mitchell, E. A. D., Adl, S., et al. 2018. Soil protists: a fertile frontier in soil biology research. FEMS Microbiology Reviews 42(3): 293–323. https://doi.org/10.1093/femsre/fuy006</w:t>
      </w:r>
    </w:p>
    <w:p>
      <w:r>
        <w:t>Jiao, S., Chu, H., Zhang, B., et al. 2022. Linking soil fungi to bacterial community assembly in arid ecosystems. iMeta 1(1): e2. https://doi.org/10.1002/imt2.2</w:t>
      </w:r>
    </w:p>
    <w:p>
      <w:r>
        <w:t>Jin, Z., Jiang, F., Wang, L., Declerck, S., Feng, G., and Zhang, L. 2024. Arbuscular mycorrhizal fungi and Streptomyces: brothers in arms to shape the structure and function of the hyphosphere microbiome in the early stage of interaction. Microbiome. https://doi.org/10.1186/s40168-024-01811-2</w:t>
      </w:r>
    </w:p>
    <w:p>
      <w:r>
        <w:t>Kakouridis, A., et al. 2024. Arbuscular mycorrhiza convey significant plant carbon to a diverse hyphosphere microbial food web and mineral-associated organic matter. New Phytologist. https://doi.org/10.1111/nph.19560</w:t>
      </w:r>
    </w:p>
    <w:p>
      <w:r>
        <w:t>Kang, L., Chen, L., Zhang, D., et al. 2022. Stochastic processes regulate belowground community assembly in alpine grasslands on the Tibetan Plateau. Environmental Microbiology 24(1): 179–194. https://doi.org/10.1111/1462-2920.15827</w:t>
      </w:r>
    </w:p>
    <w:p>
      <w:r>
        <w:t>Kayiranga, A., Isabwe, A., Yao, H., et al. 2024. Distribution patterns of soil bacteria, fungi, and protists emerge from distinct assembly processes across subcommunities. Ecology and Evolution 14(7): e11672. https://doi.org/10.1002/ece3.11672</w:t>
      </w:r>
    </w:p>
    <w:p>
      <w:r>
        <w:t>Lahrach, Z., Legeay, J., Ahmed, B., et al. (2024). The composition of the arbuscular mycorrhizal fungal bacteriome is species dependent. Environmental Microbiome, 19, 77. DOI: https://doi.org/10.1186/s40793-024-00623-z [9]</w:t>
      </w:r>
    </w:p>
    <w:p>
      <w:r>
        <w:t>Lewis, R. J., de Bello, F., Bennett, J. A., et al. 2016. Estimating dark diversity and species pools: an empirical assessment of two methods. Methods in Ecology and Evolution. https://doi.org/10.1111/2041-210X.12443</w:t>
      </w:r>
    </w:p>
    <w:p>
      <w:r>
        <w:t>Luan, L., Jiang, Y., Cheng, M., et al. 2020. Organism body size structures the soil microbial and nematode community assembly at a continental and global scale. Nature Communications 11: 6406. https://doi.org/10.1038/s41467-020-20271-4</w:t>
      </w:r>
    </w:p>
    <w:p>
      <w:r>
        <w:t>Ning, D., Yuan, M., Wu, L., et al. 2020. A quantitative framework reveals ecological drivers of grassland microbial community assembly in response to warming. Nature Communications 11: 4717. https://doi.org/10.1038/s41467-020-18560-z</w:t>
      </w:r>
    </w:p>
    <w:p>
      <w:r>
        <w:t>Oliverio, A. M., Geisen, S., Delgado-Baquerizo, M., et al. 2020. The global-scale distributions of soil protists and their contributions to belowground systems. Science Advances 6(4): eaax8787. https://doi.org/10.1126/sciadv.aax8787</w:t>
      </w:r>
    </w:p>
    <w:p>
      <w:r>
        <w:t>Pärtel, M., Szava-Kovats, R., and Zobel, M. 2011. Dark diversity: shedding light on absent species. Trends in Ecology &amp; Evolution 26(3): 124–128.</w:t>
      </w:r>
    </w:p>
    <w:p>
      <w:r>
        <w:t>Pärtel, M., Szava-Kovats, R., and Zobel, M. 2013. Community completeness: linking local and dark diversity within the species pool concept. Folia Geobotanica 48: 307–317.</w:t>
      </w:r>
    </w:p>
    <w:p>
      <w:r>
        <w:t>Rousk, J., Brookes, P. C., and Bååth, E. 2009. Contrasting soil pH effects on fungal and bacterial growth suggest functional redundancy in carbon mineralization. Applied and Environmental Microbiology 75(6): 1589–1596. https://doi.org/10.1128/AEM.02775-08</w:t>
      </w:r>
    </w:p>
    <w:p>
      <w:r>
        <w:t>Rousk, J., Bååth, E., Brookes, P. C., et al. 2010. Soil bacterial and fungal communities across a pH gradient in an arable soil. The ISME Journal 4(10): 1340–1351. https://doi.org/10.1038/ismej.2010.58</w:t>
      </w:r>
    </w:p>
    <w:p>
      <w:r>
        <w:t>Rozmoš, M., Bukovská, P., Hršelová, H., Kotianová, M., Dudáš, M., Gančarčíková, K., et al. (2022). Organic nitrogen utilisation by an arbuscular mycorrhizal fungus is mediated by specific soil bacteria and a protist. The ISME Journal, 16, 676–685. DOI: https://doi.org/10.1038/s41396-021-01112-8 [12]</w:t>
      </w:r>
    </w:p>
    <w:p>
      <w:r>
        <w:t>Scheublin, T. R., Sanders, I. R., Keel, C., &amp; van der Meer, J. R. (2010). Characterisation of microbial communities colonising the hyphal surfaces of arbuscular mycorrhizal fungi. The ISME Journal, 4, 752–763. DOI: https://doi.org/10.1038/ismej.2010.5 [13]</w:t>
      </w:r>
    </w:p>
    <w:p>
      <w:r>
        <w:t>Shen, C., Gunina, A., Luo, Y., et al. 2020. Contrasting patterns and drivers of soil bacterial and fungal diversity across a mountain gradient. Environmental Microbiology 22(8): 3287–3301. https://doi.org/10.1111/1462-2920.15090</w:t>
      </w:r>
    </w:p>
    <w:p>
      <w:r>
        <w:t>Stegen, J. C., Lin, X., Fredrickson, J. K., et al. 2013. Quantifying community assembly processes and identifying features that impose them. The ISME Journal 7: 2069–2079. https://doi.org/10.1038/ismej.2013.93</w:t>
      </w:r>
    </w:p>
    <w:p>
      <w:r>
        <w:t>Tripathi, B. M., Stegen, J. C., Kim, M., et al. 2018. Soil pH mediates the balance between stochastic and deterministic assembly of bacteria. The ISME Journal 12(4): 1072–1083. https://doi.org/10.1038/s41396-018-0082-4</w:t>
      </w:r>
    </w:p>
    <w:p>
      <w:r>
        <w:t>van der Heijden, M. G. A., Martin, F. M., Selosse, M.-A., and Sanders, I. R. 2015. Mycorrhizal ecology and evolution: the past, the present, and the future. New Phytologist 205(4): 1406–1423. https://doi.org/10.1111/nph.13288</w:t>
      </w:r>
    </w:p>
    <w:p>
      <w:r>
        <w:t>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p>
    <w:p>
      <w:r>
        <w:t>Wang, C., and Kuzyakov, Y. 2024. Mechanisms and implications of bacterial-fungal competition for organic carbon in soils. The ISME Journal 18: wrae073. https://doi.org/10.1093/ismejo/wrae073</w:t>
      </w:r>
    </w:p>
    <w:p>
      <w:r>
        <w:t>Wang, L., Zhang, L., George, T. S., et al. 2023. A core microbiome in the hyphosphere of arbuscular mycorrhizal fungi has functional significance in organic phosphorus mineralization. New Phytologist 238: 859–873. https://doi.org/10.1111/nph.18642</w:t>
      </w:r>
    </w:p>
    <w:p>
      <w:r>
        <w:t>Waring, B. G., Averill, C., and Hawkes, C. V. 2013. Differences in fungal and bacterial physiology alter soil carbon and nitrogen cycling: insights from meta-analysis and theoretical models. Ecology Letters 16(7): 887–894. https://doi.org/10.1111/ele.12125</w:t>
      </w:r>
    </w:p>
    <w:p>
      <w:r>
        <w:t>Zhalnina, K., Louie, K. B., Hao, Z., et al. 2018. Dynamic root exudate chemistry and microbial substrate preferences drive patterns in rhizosphere microbial community assembly. Nature Microbiology 3: 470–480. https://doi.org/10.1038/s41564-018-0129-3</w:t>
      </w:r>
    </w:p>
    <w:p>
      <w:r>
        <w:t>Zhang, C., et al. 2024. Specialized protist communities on mycorrhizal fungal hyphae. Mycorrhiza. https://doi.org/10.1007/s00572-024-01167-3</w:t>
      </w:r>
    </w:p>
    <w:p>
      <w:r>
        <w:t>Zhang, C., van der Heijden, M. G. A., Dodds, B. K., Nguyen, T. B., Spooren, J., Valzano-Held, A., Cosme, M., et al. (2024). A tripartite bacterial-fungal-plant symbiosis in the mycorrhiza-shaped microbiome drives plant growth and mycorrhization. Microbiome, 12, 13. DOI: https://doi.org/10.1186/s40168-023-01726-4 [17]</w:t>
      </w:r>
    </w:p>
    <w:p>
      <w:r>
        <w:t>Zhang, L., Zhou, J., George, T. S., Limpens, E., and Feng, G. 2022. Arbuscular mycorrhizal fungi conducting the hyphosphere bacterial orchestra. Trends in Plant Science 27(4): 402–411. https://doi.org/10.1016/j.tplants.2021.10.008</w:t>
      </w:r>
    </w:p>
    <w:p>
      <w:r>
        <w:t>Zhou, J., Chai, X., Zhang, L., George, T. S., Wang, F., and Feng, G. 2020. Different arbuscular mycorrhizal fungi cocolonizing on a single plant root system recruit distinct microbiomes. mSystems 5(6): e00929-20. https://doi.org/10.1128/mSystems.00929-20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