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2A47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Dear Editor-in-Chief,</w:t>
      </w:r>
    </w:p>
    <w:p w14:paraId="6B33931F" w14:textId="1071247B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We sincerely thank you and the reviewers for the valuable feedback provided on our earlier submission to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IEEE Transactions on Neural Networks and Learning Systems (TNNLS)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 Following the rejection decision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on our earlier submission</w:t>
      </w:r>
      <w:r w:rsidRPr="002916A1">
        <w:rPr>
          <w:rFonts w:ascii="Times New Roman" w:hAnsi="Times New Roman" w:cs="Times New Roman"/>
          <w:b w:val="0"/>
          <w:bCs w:val="0"/>
          <w:sz w:val="24"/>
          <w:szCs w:val="24"/>
          <w:lang w:val="en-CA"/>
        </w:rPr>
        <w:t xml:space="preserve">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TNNLS-2024-P-35335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on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1 December </w:t>
      </w:r>
      <w:r w:rsidR="00F93BF2"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2024,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we have undertaken a comprehensive revision of the manuscript to address every comment in detail, substantially improving both the theoretical and experimental components.</w:t>
      </w:r>
    </w:p>
    <w:p w14:paraId="34A00858" w14:textId="5E955EFB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The revised paper, now entitled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br/>
        <w:t xml:space="preserve">“Enhanced Adaptive Stochastic Gradient Descent: Convergence Analysis and Its Application in Single-Cell Perturbation </w:t>
      </w:r>
      <w:r w:rsidR="00F93BF2"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Analysis, “is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being submitted as a new manuscript for consideration.</w:t>
      </w:r>
    </w:p>
    <w:p w14:paraId="7A6CEA03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In this new version, we have:</w:t>
      </w:r>
    </w:p>
    <w:p w14:paraId="3F5A7152" w14:textId="56EEDE2C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Expanded the theoretical foundation providing complete proofs for all theorems and lemmas in convex, nonconvex, and non-ergodic settings.</w:t>
      </w:r>
    </w:p>
    <w:p w14:paraId="0BBA36ED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Strengthened the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theoretical and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experimental section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adding new and comprehensive 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concept and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statistica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l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analyses demonstrating significant improvements over baseline optimizers.</w:t>
      </w:r>
    </w:p>
    <w:p w14:paraId="01D9D74D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Clarified the intrinsic motivation for curvature-sensitive learning-rate adjustment with theoretical justification and ablation studies.</w:t>
      </w:r>
    </w:p>
    <w:p w14:paraId="1D25571A" w14:textId="77777777" w:rsidR="002916A1" w:rsidRPr="00B8610B" w:rsidRDefault="002916A1" w:rsidP="002916A1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Improved manuscript structure and readability by revising grammar, standardizing notation, and removing redundant content.</w:t>
      </w:r>
    </w:p>
    <w:p w14:paraId="0EDCB6B3" w14:textId="77777777" w:rsidR="006A75F4" w:rsidRDefault="002916A1" w:rsidP="006A75F4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Released full source code and datasets via an open-access repository to ensure transparency and reproducibility.</w:t>
      </w:r>
    </w:p>
    <w:p w14:paraId="3C8B47C8" w14:textId="09AEB830" w:rsidR="002916A1" w:rsidRPr="006A75F4" w:rsidRDefault="006A75F4" w:rsidP="006A75F4">
      <w:pPr>
        <w:pStyle w:val="Heading1"/>
        <w:ind w:left="720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6A75F4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lastRenderedPageBreak/>
        <w:t xml:space="preserve"> https://gitlab.com/researchpaper-group/adaptive-sgd/-/blob/main/MultiModal_Nonconvex_Optimizer_RNA-ATAC-CITE_modalities_-updated.ipynb</w:t>
      </w:r>
    </w:p>
    <w:p w14:paraId="464D8B23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We respectfully request that the manuscript be reconsidered as a new submission to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TNNLS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 We believe that the substantial theoretical and empirical improvements presented in this version now meet the journal’s standards and contribute meaningfully to adaptive optimization and biological learning applications.</w:t>
      </w:r>
    </w:p>
    <w:p w14:paraId="27DFA27F" w14:textId="7777777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Thank you for your time and consideration. We would be honored if our revised work could again be reviewed by </w:t>
      </w:r>
      <w:r w:rsidRPr="00B8610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en-CA"/>
        </w:rPr>
        <w:t>TNNLS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.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Please, find attached the comments and response to reviewers.</w:t>
      </w:r>
    </w:p>
    <w:p w14:paraId="4969A160" w14:textId="1842E9B7" w:rsidR="002916A1" w:rsidRPr="00B8610B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Sincerely,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br/>
        <w:t>Francis Boabang</w:t>
      </w: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 xml:space="preserve"> and </w:t>
      </w:r>
      <w:r w:rsidRPr="00B8610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br/>
        <w:t>Concordia Institute for Information and Systems Engineering</w:t>
      </w:r>
      <w:r w:rsidR="00F93BF2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, Montreal, Quebec, Canada</w:t>
      </w:r>
    </w:p>
    <w:p w14:paraId="7460C566" w14:textId="7D916127" w:rsidR="002916A1" w:rsidRPr="002916A1" w:rsidRDefault="002916A1" w:rsidP="002916A1">
      <w:pPr>
        <w:pStyle w:val="Heading1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</w:pPr>
      <w:r w:rsidRPr="002916A1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t>Samuel Asante Gyamerah</w:t>
      </w:r>
    </w:p>
    <w:p w14:paraId="0721D6B5" w14:textId="39C6F66F" w:rsidR="002916A1" w:rsidRPr="002916A1" w:rsidRDefault="002916A1" w:rsidP="002916A1">
      <w:pPr>
        <w:rPr>
          <w:lang w:val="en-CA"/>
        </w:rPr>
      </w:pPr>
      <w:r w:rsidRPr="002916A1">
        <w:rPr>
          <w:lang w:val="en-CA"/>
        </w:rPr>
        <w:t>Department of Mathematics, Toronto Metropolitan University, Toronto, Ontario, Canada.</w:t>
      </w:r>
    </w:p>
    <w:p w14:paraId="38ADEAA8" w14:textId="77777777" w:rsidR="00B8610B" w:rsidRPr="002916A1" w:rsidRDefault="00B8610B">
      <w:pPr>
        <w:pStyle w:val="Heading1"/>
        <w:rPr>
          <w:rFonts w:ascii="Times New Roman" w:hAnsi="Times New Roman" w:cs="Times New Roman"/>
          <w:sz w:val="24"/>
          <w:szCs w:val="24"/>
          <w:lang w:val="en-CA"/>
        </w:rPr>
      </w:pPr>
    </w:p>
    <w:p w14:paraId="186CEC82" w14:textId="77777777" w:rsidR="00B8610B" w:rsidRPr="002916A1" w:rsidRDefault="00B8610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0F40D0E" w14:textId="7C3BAD1B" w:rsidR="00F6559C" w:rsidRPr="002916A1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Response to Reviewers</w:t>
      </w:r>
    </w:p>
    <w:p w14:paraId="5DA5CBB1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1</w:t>
      </w:r>
    </w:p>
    <w:p w14:paraId="3C843E03" w14:textId="77777777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1. Intrinsic motivation for different learning rates</w:t>
      </w:r>
    </w:p>
    <w:p w14:paraId="480A59FE" w14:textId="10D3EC36" w:rsidR="00E004E6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appreciate this observation. The motivation </w:t>
      </w:r>
      <w:r w:rsidR="005D0DF4" w:rsidRPr="002916A1">
        <w:rPr>
          <w:rFonts w:ascii="Times New Roman" w:hAnsi="Times New Roman" w:cs="Times New Roman"/>
          <w:sz w:val="24"/>
          <w:szCs w:val="24"/>
        </w:rPr>
        <w:t xml:space="preserve">behind </w:t>
      </w:r>
      <w:r w:rsidR="005D0DF4">
        <w:rPr>
          <w:rFonts w:ascii="Times New Roman" w:hAnsi="Times New Roman" w:cs="Times New Roman"/>
          <w:sz w:val="24"/>
          <w:szCs w:val="24"/>
        </w:rPr>
        <w:t>is</w:t>
      </w:r>
      <w:r w:rsidR="00E004E6">
        <w:rPr>
          <w:rFonts w:ascii="Times New Roman" w:hAnsi="Times New Roman" w:cs="Times New Roman"/>
          <w:sz w:val="24"/>
          <w:szCs w:val="24"/>
        </w:rPr>
        <w:t xml:space="preserve"> introduced in </w:t>
      </w:r>
      <w:r w:rsidR="005D0DF4">
        <w:rPr>
          <w:rFonts w:ascii="Times New Roman" w:hAnsi="Times New Roman" w:cs="Times New Roman"/>
          <w:sz w:val="24"/>
          <w:szCs w:val="24"/>
        </w:rPr>
        <w:t>motivation</w:t>
      </w:r>
      <w:r w:rsidR="00E004E6">
        <w:rPr>
          <w:rFonts w:ascii="Times New Roman" w:hAnsi="Times New Roman" w:cs="Times New Roman"/>
          <w:sz w:val="24"/>
          <w:szCs w:val="24"/>
        </w:rPr>
        <w:t xml:space="preserve"> subsection III.A, and by stating verbatim in the introduction section that,</w:t>
      </w:r>
    </w:p>
    <w:p w14:paraId="4B0912A6" w14:textId="61304EF0" w:rsidR="00E004E6" w:rsidRDefault="00E004E6" w:rsidP="00E004E6">
      <w:r w:rsidRPr="005B2E55">
        <w:t xml:space="preserve">Compared to the work in </w:t>
      </w:r>
      <w:r w:rsidR="005D0DF4">
        <w:t xml:space="preserve">[7], </w:t>
      </w:r>
      <w:r w:rsidR="005D0DF4" w:rsidRPr="005B2E55">
        <w:t>we</w:t>
      </w:r>
      <w:r w:rsidRPr="005B2E55">
        <w:t xml:space="preserve"> improve</w:t>
      </w:r>
      <w:r w:rsidR="005D0DF4">
        <w:t>d</w:t>
      </w:r>
      <w:r w:rsidRPr="005B2E55">
        <w:t xml:space="preserve"> the mechanism for selecting the base learning rate by introducing curvature-sensitive switching factors that determine whether the optimization dynamics are dominated by high variability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</m:t>
        </m:r>
      </m:oMath>
      <w:r w:rsidRPr="005B2E55">
        <w:t>) or smoother, more stable curvature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</m:t>
        </m:r>
      </m:oMath>
      <w:r w:rsidRPr="005B2E55">
        <w:t>). These indicators guide adaptive adjustments to the parameter update direction, thereby enhancing stability and convergence in complex, high-dimensional loss landscapes.</w:t>
      </w:r>
    </w:p>
    <w:p w14:paraId="4F06982F" w14:textId="77777777" w:rsidR="00E004E6" w:rsidRDefault="00E004E6">
      <w:pPr>
        <w:rPr>
          <w:rFonts w:ascii="Times New Roman" w:hAnsi="Times New Roman" w:cs="Times New Roman"/>
          <w:sz w:val="24"/>
          <w:szCs w:val="24"/>
        </w:rPr>
      </w:pPr>
    </w:p>
    <w:p w14:paraId="2554F664" w14:textId="77777777" w:rsidR="00E004E6" w:rsidRDefault="00E004E6">
      <w:pPr>
        <w:rPr>
          <w:rFonts w:ascii="Times New Roman" w:hAnsi="Times New Roman" w:cs="Times New Roman"/>
          <w:sz w:val="24"/>
          <w:szCs w:val="24"/>
        </w:rPr>
      </w:pPr>
    </w:p>
    <w:p w14:paraId="2C276339" w14:textId="77777777" w:rsidR="006A75F4" w:rsidRDefault="00E004E6" w:rsidP="006A7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i</w:t>
      </w:r>
      <w:r w:rsidRPr="002916A1">
        <w:rPr>
          <w:rFonts w:ascii="Times New Roman" w:hAnsi="Times New Roman" w:cs="Times New Roman"/>
          <w:sz w:val="24"/>
          <w:szCs w:val="24"/>
        </w:rPr>
        <w:t xml:space="preserve">n our formulation, the coordinate magnitude correlates with local curvature estimated from the second-order momentum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. When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is small (flat region), a larger base learning rate accelerates convergence; when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is large (sharp curvature), a smaller rate prevents divergence. To clarify, we have expanded Section III-C to include the intuition derived from the curvature-sensitive switching factors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f_min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f_max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Eqs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. 2–5) </w:t>
      </w:r>
    </w:p>
    <w:p w14:paraId="39334D82" w14:textId="77777777" w:rsidR="006A75F4" w:rsidRDefault="006A75F4" w:rsidP="006A75F4">
      <w:pPr>
        <w:rPr>
          <w:rFonts w:ascii="Times New Roman" w:hAnsi="Times New Roman" w:cs="Times New Roman"/>
          <w:sz w:val="24"/>
          <w:szCs w:val="24"/>
        </w:rPr>
      </w:pPr>
    </w:p>
    <w:p w14:paraId="4DBCFF18" w14:textId="7E165121" w:rsidR="00F6559C" w:rsidRPr="002916A1" w:rsidRDefault="00000000" w:rsidP="006A75F4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2. Missing theoretical proofs for theorems and lemmas</w:t>
      </w:r>
    </w:p>
    <w:p w14:paraId="66930AD7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have now included the full theoretical derivations in Appendix A (Convex Setting), Appendix B (Nonconvex Setting), and Appendix C (Non-Ergodic Convergence). These proofs follow the methodology of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AMSGrad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[13] and Zhou et al. [11] but substitute the fixed base learning rate with the proposed linear function α_base = u f(H) + C. Each theorem now contains detailed assumptions, bounding steps, and intermediate lemmas for clarity.</w:t>
      </w:r>
    </w:p>
    <w:p w14:paraId="3213D31E" w14:textId="688FFDE8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Marginal performance gains</w:t>
      </w:r>
    </w:p>
    <w:p w14:paraId="3EBC4903" w14:textId="03CC5469" w:rsidR="009F1439" w:rsidRPr="002916A1" w:rsidRDefault="009F1439" w:rsidP="00B8610B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Compared to the work in </w:t>
      </w:r>
      <w:r w:rsidR="002F3964" w:rsidRPr="002916A1">
        <w:rPr>
          <w:rFonts w:ascii="Times New Roman" w:hAnsi="Times New Roman" w:cs="Times New Roman"/>
          <w:sz w:val="24"/>
          <w:szCs w:val="24"/>
        </w:rPr>
        <w:t>[7]</w:t>
      </w:r>
      <w:r w:rsidRPr="002916A1">
        <w:rPr>
          <w:rFonts w:ascii="Times New Roman" w:hAnsi="Times New Roman" w:cs="Times New Roman"/>
          <w:sz w:val="24"/>
          <w:szCs w:val="24"/>
        </w:rPr>
        <w:t>, we improve the mechanism for selecting the base learning rate by introducing curvature-sensitive switching factors that determine whether the optimization dynamics are dominated by high variability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2916A1">
        <w:rPr>
          <w:rFonts w:ascii="Times New Roman" w:hAnsi="Times New Roman" w:cs="Times New Roman"/>
          <w:sz w:val="24"/>
          <w:szCs w:val="24"/>
        </w:rPr>
        <w:t>) or smoother, more stable curvature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2916A1">
        <w:rPr>
          <w:rFonts w:ascii="Times New Roman" w:hAnsi="Times New Roman" w:cs="Times New Roman"/>
          <w:sz w:val="24"/>
          <w:szCs w:val="24"/>
        </w:rPr>
        <w:t>). These indicators guide adaptive adjustments to the parameter update direction, thereby enhancing stability and convergence in complex, high-dimensional loss landscapes leading to improved performance gain compared to the state-of-the-art optimizers.</w:t>
      </w:r>
      <w:r w:rsidR="00906206">
        <w:rPr>
          <w:rFonts w:ascii="Times New Roman" w:hAnsi="Times New Roman" w:cs="Times New Roman"/>
          <w:sz w:val="24"/>
          <w:szCs w:val="24"/>
        </w:rPr>
        <w:t xml:space="preserve"> We have quantified performance improvement theoretically in section III. H.</w:t>
      </w:r>
    </w:p>
    <w:p w14:paraId="46B7361F" w14:textId="20B4671D" w:rsidR="002F3964" w:rsidRPr="002916A1" w:rsidRDefault="006A75F4" w:rsidP="002F3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also experimentally found that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916A1">
        <w:rPr>
          <w:rFonts w:ascii="Times New Roman" w:hAnsi="Times New Roman" w:cs="Times New Roman"/>
          <w:sz w:val="24"/>
          <w:szCs w:val="24"/>
        </w:rPr>
        <w:t xml:space="preserve"> ASGD</w:t>
      </w:r>
      <w:proofErr w:type="gramEnd"/>
      <w:r w:rsidRPr="002916A1">
        <w:rPr>
          <w:rFonts w:ascii="Times New Roman" w:hAnsi="Times New Roman" w:cs="Times New Roman"/>
          <w:sz w:val="24"/>
          <w:szCs w:val="24"/>
        </w:rPr>
        <w:t>-Adam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ASGDAMSgrad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better generalization done state-of-the-art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optimizers </w:t>
      </w:r>
      <w:r w:rsidRPr="002916A1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Pr="00291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916A1">
        <w:rPr>
          <w:rFonts w:ascii="Times New Roman" w:hAnsi="Times New Roman" w:cs="Times New Roman"/>
          <w:sz w:val="24"/>
          <w:szCs w:val="24"/>
        </w:rPr>
        <w:t xml:space="preserve">single-cell perturbation experiments. </w:t>
      </w:r>
    </w:p>
    <w:p w14:paraId="61209265" w14:textId="00292D30" w:rsidR="00F6559C" w:rsidRPr="002916A1" w:rsidRDefault="00000000" w:rsidP="002F3964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4. Demonstration on remote surgery recognition</w:t>
      </w:r>
    </w:p>
    <w:p w14:paraId="399D23AE" w14:textId="407323C8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acknowledge the limitation of not including domain-specific evaluations. In this revision, we have </w:t>
      </w:r>
      <w:r w:rsidR="006A75F4">
        <w:rPr>
          <w:rFonts w:ascii="Times New Roman" w:hAnsi="Times New Roman" w:cs="Times New Roman"/>
          <w:sz w:val="24"/>
          <w:szCs w:val="24"/>
        </w:rPr>
        <w:t xml:space="preserve">focused </w:t>
      </w:r>
      <w:proofErr w:type="gramStart"/>
      <w:r w:rsidR="006A75F4">
        <w:rPr>
          <w:rFonts w:ascii="Times New Roman" w:hAnsi="Times New Roman" w:cs="Times New Roman"/>
          <w:sz w:val="24"/>
          <w:szCs w:val="24"/>
        </w:rPr>
        <w:t xml:space="preserve">on </w:t>
      </w:r>
      <w:r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="009F1439" w:rsidRPr="002916A1">
        <w:rPr>
          <w:rFonts w:ascii="Times New Roman" w:hAnsi="Times New Roman" w:cs="Times New Roman"/>
          <w:sz w:val="24"/>
          <w:szCs w:val="24"/>
        </w:rPr>
        <w:t>stem</w:t>
      </w:r>
      <w:proofErr w:type="gramEnd"/>
      <w:r w:rsidR="009F1439" w:rsidRPr="002916A1">
        <w:rPr>
          <w:rFonts w:ascii="Times New Roman" w:hAnsi="Times New Roman" w:cs="Times New Roman"/>
          <w:sz w:val="24"/>
          <w:szCs w:val="24"/>
        </w:rPr>
        <w:t xml:space="preserve"> cell differentiation using graph attention mechanism with reinforcement with improve base learning rate selection concept</w:t>
      </w:r>
      <w:r w:rsidR="002F3964" w:rsidRPr="002916A1">
        <w:rPr>
          <w:rFonts w:ascii="Times New Roman" w:hAnsi="Times New Roman" w:cs="Times New Roman"/>
          <w:sz w:val="24"/>
          <w:szCs w:val="24"/>
        </w:rPr>
        <w:t xml:space="preserve">. </w:t>
      </w:r>
      <w:r w:rsidR="00F23C6F" w:rsidRPr="002916A1">
        <w:rPr>
          <w:rFonts w:ascii="Times New Roman" w:hAnsi="Times New Roman" w:cs="Times New Roman"/>
          <w:sz w:val="24"/>
          <w:szCs w:val="24"/>
        </w:rPr>
        <w:t>This improves</w:t>
      </w:r>
      <w:r w:rsidRPr="002916A1">
        <w:rPr>
          <w:rFonts w:ascii="Times New Roman" w:hAnsi="Times New Roman" w:cs="Times New Roman"/>
          <w:sz w:val="24"/>
          <w:szCs w:val="24"/>
        </w:rPr>
        <w:t xml:space="preserve"> model convergence compared </w:t>
      </w:r>
      <w:r w:rsidR="002F3964" w:rsidRPr="002916A1">
        <w:rPr>
          <w:rFonts w:ascii="Times New Roman" w:hAnsi="Times New Roman" w:cs="Times New Roman"/>
          <w:sz w:val="24"/>
          <w:szCs w:val="24"/>
        </w:rPr>
        <w:t>to state-of-the-art optimizers</w:t>
      </w:r>
      <w:r w:rsidRPr="002916A1">
        <w:rPr>
          <w:rFonts w:ascii="Times New Roman" w:hAnsi="Times New Roman" w:cs="Times New Roman"/>
          <w:sz w:val="24"/>
          <w:szCs w:val="24"/>
        </w:rPr>
        <w:t>, demonstrating strong generalization.</w:t>
      </w:r>
    </w:p>
    <w:p w14:paraId="5C6E8EC5" w14:textId="0B8DD088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lastRenderedPageBreak/>
        <w:t xml:space="preserve"> Excessive introduction to CNN and LSTM</w:t>
      </w:r>
    </w:p>
    <w:p w14:paraId="1867FD20" w14:textId="239375D8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have </w:t>
      </w:r>
      <w:r w:rsidR="002F3964" w:rsidRPr="002916A1">
        <w:rPr>
          <w:rFonts w:ascii="Times New Roman" w:hAnsi="Times New Roman" w:cs="Times New Roman"/>
          <w:sz w:val="24"/>
          <w:szCs w:val="24"/>
        </w:rPr>
        <w:t>removed</w:t>
      </w:r>
      <w:r w:rsidRPr="002916A1">
        <w:rPr>
          <w:rFonts w:ascii="Times New Roman" w:hAnsi="Times New Roman" w:cs="Times New Roman"/>
          <w:sz w:val="24"/>
          <w:szCs w:val="24"/>
        </w:rPr>
        <w:t xml:space="preserve"> the introductory description of CNNs and LSTMs and </w:t>
      </w:r>
      <w:r w:rsidR="009F1439" w:rsidRPr="002916A1">
        <w:rPr>
          <w:rFonts w:ascii="Times New Roman" w:hAnsi="Times New Roman" w:cs="Times New Roman"/>
          <w:sz w:val="24"/>
          <w:szCs w:val="24"/>
        </w:rPr>
        <w:t>focus on a different problem which is machine learning for stem cell differentiation.</w:t>
      </w:r>
      <w:r w:rsidRPr="002916A1">
        <w:rPr>
          <w:rFonts w:ascii="Times New Roman" w:hAnsi="Times New Roman" w:cs="Times New Roman"/>
          <w:sz w:val="24"/>
          <w:szCs w:val="24"/>
        </w:rPr>
        <w:t xml:space="preserve"> This change streamlines Section II and better highlights the optimizer’s contribution.</w:t>
      </w:r>
    </w:p>
    <w:p w14:paraId="68667B21" w14:textId="6EA6DC1C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. Minor corrections (symbols, references, grammar)</w:t>
      </w:r>
    </w:p>
    <w:p w14:paraId="3E8E9E45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All notational inconsistencies (e.g., “p-norm”) have been standardized. Repetitive references were merged; the incorrect name “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adabrief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” has been corrected to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AdaBelief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>; symbol definitions (e.g., y_1, y) have been clarified. We also restructured sentences for grammatical accuracy and layout consistency, especially in Section III.</w:t>
      </w:r>
    </w:p>
    <w:p w14:paraId="005A8B85" w14:textId="4945B1DB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Definition of α_base (Equation 11)</w:t>
      </w:r>
    </w:p>
    <w:p w14:paraId="2CA7279D" w14:textId="77777777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We have clarified that “small” and “large” refer to thresholds on the second-order moment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. Specifically,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&lt; mean(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) corresponds to “small” (flat curvature, α_max), and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 xml:space="preserve"> &gt; mean(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H_t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>) corresponds to “large” (sharp curvature, α_min). This definition is now explicitly stated in Section III-C and illustrated in Algorithm 1.</w:t>
      </w:r>
    </w:p>
    <w:p w14:paraId="23A771A7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Reviewer 2</w:t>
      </w:r>
    </w:p>
    <w:p w14:paraId="69BFDDB2" w14:textId="77777777" w:rsidR="00F6559C" w:rsidRPr="002916A1" w:rsidRDefault="00000000" w:rsidP="009F143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1. Code availability</w:t>
      </w:r>
    </w:p>
    <w:p w14:paraId="02FF46CF" w14:textId="77777777" w:rsidR="006A75F4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The full implementation, including training scripts and datasets, has been made publicly available at: </w:t>
      </w:r>
    </w:p>
    <w:p w14:paraId="3942E8EF" w14:textId="419A0EF5" w:rsidR="006A75F4" w:rsidRDefault="006A75F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E27FF">
          <w:rPr>
            <w:rStyle w:val="Hyperlink"/>
            <w:rFonts w:ascii="Times New Roman" w:hAnsi="Times New Roman" w:cs="Times New Roman"/>
            <w:sz w:val="24"/>
            <w:szCs w:val="24"/>
          </w:rPr>
          <w:t>https://gitlab.com/researchpaper-group/adaptive-sgd/-/blob/main/MultiModal_Nonconvex_Optimizer_RNA-ATAC-CITE_modalities_-updated.ipynb</w:t>
        </w:r>
      </w:hyperlink>
    </w:p>
    <w:p w14:paraId="4719F606" w14:textId="77777777" w:rsidR="006A75F4" w:rsidRDefault="006A75F4">
      <w:pPr>
        <w:rPr>
          <w:rFonts w:ascii="Times New Roman" w:hAnsi="Times New Roman" w:cs="Times New Roman"/>
          <w:sz w:val="24"/>
          <w:szCs w:val="24"/>
        </w:rPr>
      </w:pPr>
    </w:p>
    <w:p w14:paraId="00A8E131" w14:textId="2D9AC1A9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A README now details environment setup, parameter settings, and reproduction steps.</w:t>
      </w:r>
    </w:p>
    <w:p w14:paraId="69D3BB03" w14:textId="562C2368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Figures 1–8 readability</w:t>
      </w:r>
    </w:p>
    <w:p w14:paraId="7ABA545A" w14:textId="43E1EA81" w:rsidR="00F6559C" w:rsidRPr="002916A1" w:rsidRDefault="00B8610B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Not applicable</w:t>
      </w:r>
    </w:p>
    <w:p w14:paraId="59430C6F" w14:textId="2D879665" w:rsidR="00F6559C" w:rsidRPr="002916A1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 xml:space="preserve"> More datasets and models</w:t>
      </w:r>
    </w:p>
    <w:p w14:paraId="7C40F562" w14:textId="0F78FB3C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have added experiments on two additional datasets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="00F23C6F" w:rsidRPr="002916A1">
        <w:rPr>
          <w:rFonts w:ascii="Times New Roman" w:hAnsi="Times New Roman" w:cs="Times New Roman"/>
          <w:sz w:val="24"/>
          <w:szCs w:val="24"/>
        </w:rPr>
        <w:t>ATAC</w:t>
      </w:r>
      <w:r w:rsidRPr="002916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916A1">
        <w:rPr>
          <w:rFonts w:ascii="Times New Roman" w:hAnsi="Times New Roman" w:cs="Times New Roman"/>
          <w:sz w:val="24"/>
          <w:szCs w:val="24"/>
        </w:rPr>
        <w:t>scRNA</w:t>
      </w:r>
      <w:proofErr w:type="spellEnd"/>
      <w:r w:rsidRPr="002916A1">
        <w:rPr>
          <w:rFonts w:ascii="Times New Roman" w:hAnsi="Times New Roman" w:cs="Times New Roman"/>
          <w:sz w:val="24"/>
          <w:szCs w:val="24"/>
        </w:rPr>
        <w:t>-seq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to demonstrate robustness. The proposed optimizer consistently higher F1 and lower MSE across these datasets, validating generalizability</w:t>
      </w:r>
      <w:r w:rsidR="00F23C6F" w:rsidRPr="002916A1">
        <w:rPr>
          <w:rFonts w:ascii="Times New Roman" w:hAnsi="Times New Roman" w:cs="Times New Roman"/>
          <w:sz w:val="24"/>
          <w:szCs w:val="24"/>
        </w:rPr>
        <w:t xml:space="preserve"> compared to state</w:t>
      </w:r>
      <w:r w:rsidR="006A75F4">
        <w:rPr>
          <w:rFonts w:ascii="Times New Roman" w:hAnsi="Times New Roman" w:cs="Times New Roman"/>
          <w:sz w:val="24"/>
          <w:szCs w:val="24"/>
        </w:rPr>
        <w:t>-</w:t>
      </w:r>
      <w:r w:rsidR="00F23C6F" w:rsidRPr="002916A1">
        <w:rPr>
          <w:rFonts w:ascii="Times New Roman" w:hAnsi="Times New Roman" w:cs="Times New Roman"/>
          <w:sz w:val="24"/>
          <w:szCs w:val="24"/>
        </w:rPr>
        <w:t>of</w:t>
      </w:r>
      <w:r w:rsidR="006A75F4">
        <w:rPr>
          <w:rFonts w:ascii="Times New Roman" w:hAnsi="Times New Roman" w:cs="Times New Roman"/>
          <w:sz w:val="24"/>
          <w:szCs w:val="24"/>
        </w:rPr>
        <w:t>-</w:t>
      </w:r>
      <w:r w:rsidR="00F23C6F" w:rsidRPr="002916A1">
        <w:rPr>
          <w:rFonts w:ascii="Times New Roman" w:hAnsi="Times New Roman" w:cs="Times New Roman"/>
          <w:sz w:val="24"/>
          <w:szCs w:val="24"/>
        </w:rPr>
        <w:t>the</w:t>
      </w:r>
      <w:r w:rsidR="006A75F4">
        <w:rPr>
          <w:rFonts w:ascii="Times New Roman" w:hAnsi="Times New Roman" w:cs="Times New Roman"/>
          <w:sz w:val="24"/>
          <w:szCs w:val="24"/>
        </w:rPr>
        <w:t>-</w:t>
      </w:r>
      <w:r w:rsidR="00F23C6F" w:rsidRPr="002916A1">
        <w:rPr>
          <w:rFonts w:ascii="Times New Roman" w:hAnsi="Times New Roman" w:cs="Times New Roman"/>
          <w:sz w:val="24"/>
          <w:szCs w:val="24"/>
        </w:rPr>
        <w:t>art optimizers</w:t>
      </w:r>
      <w:r w:rsidRPr="002916A1">
        <w:rPr>
          <w:rFonts w:ascii="Times New Roman" w:hAnsi="Times New Roman" w:cs="Times New Roman"/>
          <w:sz w:val="24"/>
          <w:szCs w:val="24"/>
        </w:rPr>
        <w:t>.</w:t>
      </w:r>
    </w:p>
    <w:p w14:paraId="6312A27E" w14:textId="77777777" w:rsidR="00F6559C" w:rsidRPr="002916A1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lastRenderedPageBreak/>
        <w:t>Reviewer 3</w:t>
      </w:r>
    </w:p>
    <w:p w14:paraId="5CF09935" w14:textId="3CA800D5" w:rsidR="00F6559C" w:rsidRPr="002916A1" w:rsidRDefault="00000000">
      <w:pPr>
        <w:rPr>
          <w:rFonts w:ascii="Times New Roman" w:hAnsi="Times New Roman" w:cs="Times New Roman"/>
          <w:sz w:val="24"/>
          <w:szCs w:val="24"/>
        </w:rPr>
      </w:pPr>
      <w:r w:rsidRPr="002916A1">
        <w:rPr>
          <w:rFonts w:ascii="Times New Roman" w:hAnsi="Times New Roman" w:cs="Times New Roman"/>
          <w:sz w:val="24"/>
          <w:szCs w:val="24"/>
        </w:rPr>
        <w:t>We thank the reviewer for recognizing the potential of this work. We have implemented all requested minor revisions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specifically improving figure clarity, proof completeness, and notation consistency</w:t>
      </w:r>
      <w:r w:rsidR="009F1439" w:rsidRPr="002916A1">
        <w:rPr>
          <w:rFonts w:ascii="Times New Roman" w:hAnsi="Times New Roman" w:cs="Times New Roman"/>
          <w:sz w:val="24"/>
          <w:szCs w:val="24"/>
        </w:rPr>
        <w:t xml:space="preserve"> </w:t>
      </w:r>
      <w:r w:rsidRPr="002916A1">
        <w:rPr>
          <w:rFonts w:ascii="Times New Roman" w:hAnsi="Times New Roman" w:cs="Times New Roman"/>
          <w:sz w:val="24"/>
          <w:szCs w:val="24"/>
        </w:rPr>
        <w:t>to strengthen the manuscript’s presentation and rigor.</w:t>
      </w:r>
    </w:p>
    <w:sectPr w:rsidR="00F6559C" w:rsidRPr="002916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D64F0A"/>
    <w:multiLevelType w:val="multilevel"/>
    <w:tmpl w:val="0E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443507">
    <w:abstractNumId w:val="8"/>
  </w:num>
  <w:num w:numId="2" w16cid:durableId="27490824">
    <w:abstractNumId w:val="6"/>
  </w:num>
  <w:num w:numId="3" w16cid:durableId="449973785">
    <w:abstractNumId w:val="5"/>
  </w:num>
  <w:num w:numId="4" w16cid:durableId="2011830807">
    <w:abstractNumId w:val="4"/>
  </w:num>
  <w:num w:numId="5" w16cid:durableId="805896540">
    <w:abstractNumId w:val="7"/>
  </w:num>
  <w:num w:numId="6" w16cid:durableId="808129500">
    <w:abstractNumId w:val="3"/>
  </w:num>
  <w:num w:numId="7" w16cid:durableId="381443634">
    <w:abstractNumId w:val="2"/>
  </w:num>
  <w:num w:numId="8" w16cid:durableId="2136829839">
    <w:abstractNumId w:val="1"/>
  </w:num>
  <w:num w:numId="9" w16cid:durableId="1560749140">
    <w:abstractNumId w:val="0"/>
  </w:num>
  <w:num w:numId="10" w16cid:durableId="1603145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6F0A"/>
    <w:rsid w:val="00257CFF"/>
    <w:rsid w:val="002916A1"/>
    <w:rsid w:val="0029639D"/>
    <w:rsid w:val="002F3964"/>
    <w:rsid w:val="00326F90"/>
    <w:rsid w:val="0040229B"/>
    <w:rsid w:val="005D0DF4"/>
    <w:rsid w:val="006A75F4"/>
    <w:rsid w:val="008873A6"/>
    <w:rsid w:val="00906206"/>
    <w:rsid w:val="00944DAC"/>
    <w:rsid w:val="009F1439"/>
    <w:rsid w:val="00AA1D8D"/>
    <w:rsid w:val="00AD0428"/>
    <w:rsid w:val="00B47730"/>
    <w:rsid w:val="00B8610B"/>
    <w:rsid w:val="00CB0664"/>
    <w:rsid w:val="00D7091F"/>
    <w:rsid w:val="00DD1DB3"/>
    <w:rsid w:val="00E004E6"/>
    <w:rsid w:val="00E273EC"/>
    <w:rsid w:val="00F23C6F"/>
    <w:rsid w:val="00F6559C"/>
    <w:rsid w:val="00F93B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90096"/>
  <w14:defaultImageDpi w14:val="300"/>
  <w15:docId w15:val="{8100A9A2-B89E-4856-89DD-15DC159F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A75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researchpaper-group/adaptive-sgd/-/blob/main/MultiModal_Nonconvex_Optimizer_RNA-ATAC-CITE_modalities_-updated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Francis Boabang</cp:lastModifiedBy>
  <cp:revision>2</cp:revision>
  <dcterms:created xsi:type="dcterms:W3CDTF">2025-10-16T09:04:00Z</dcterms:created>
  <dcterms:modified xsi:type="dcterms:W3CDTF">2025-10-16T09:04:00Z</dcterms:modified>
  <cp:category/>
</cp:coreProperties>
</file>