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2A47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Dear Editor-in-Chief,</w:t>
      </w:r>
    </w:p>
    <w:p w14:paraId="6B33931F" w14:textId="1071247B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We sincerely thank you and the reviewers for the valuable feedback provided on our earlier submission to </w:t>
      </w:r>
      <w:r w:rsidRPr="00B8610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IEEE Transactions on Neural Networks and Learning Systems (TNNLS)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 Following the rejection decision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on our earlier submission</w:t>
      </w:r>
      <w:r w:rsidRPr="002916A1">
        <w:rPr>
          <w:rFonts w:ascii="Times New Roman" w:hAnsi="Times New Roman" w:cs="Times New Roman"/>
          <w:b w:val="0"/>
          <w:bCs w:val="0"/>
          <w:sz w:val="24"/>
          <w:szCs w:val="24"/>
          <w:lang w:val="en-CA"/>
        </w:rPr>
        <w:t xml:space="preserve">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TNNLS-2024-P-35335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on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1 December </w:t>
      </w:r>
      <w:r w:rsidR="00F93BF2"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2024,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we have undertaken a comprehensive revision of the manuscript to address every comment in detail, substantially improving both the theoretical and experimental components.</w:t>
      </w:r>
    </w:p>
    <w:p w14:paraId="34A00858" w14:textId="5E955EFB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The revised paper, now entitled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br/>
        <w:t xml:space="preserve">“Enhanced Adaptive Stochastic Gradient Descent: Convergence Analysis and Its Application in Single-Cell Perturbation </w:t>
      </w:r>
      <w:r w:rsidR="00F93BF2"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Analysis, “is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being submitted as a new manuscript for consideration.</w:t>
      </w:r>
    </w:p>
    <w:p w14:paraId="7A6CEA03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In this new version, we have:</w:t>
      </w:r>
    </w:p>
    <w:p w14:paraId="3F5A7152" w14:textId="44CBF2C8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Expanded the theoretical foundation providing complete proofs for all theorems and lemmas in convex</w:t>
      </w:r>
      <w:r w:rsidR="00924998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</w:t>
      </w:r>
      <w:r w:rsidR="00DE173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and </w:t>
      </w:r>
      <w:r w:rsidR="00DE1731"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non</w:t>
      </w:r>
      <w:r w:rsidR="00924998"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-ergodic</w:t>
      </w:r>
      <w:r w:rsidR="00924998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/ergodic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nonconvex settings.</w:t>
      </w:r>
    </w:p>
    <w:p w14:paraId="0BBA36ED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Strengthened the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theoretical and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experimental section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adding new and comprehensive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concept and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statistica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l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analyses demonstrating significant improvements over baseline optimizers.</w:t>
      </w:r>
    </w:p>
    <w:p w14:paraId="01D9D74D" w14:textId="724C680B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Clarified the intrinsic motivation for curvature-sensitive learning-rate adjustment with theoretical justification </w:t>
      </w:r>
      <w:r w:rsidR="00DE173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and quantify the improvement over existing optimizers</w:t>
      </w:r>
    </w:p>
    <w:p w14:paraId="1D25571A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Improved manuscript structure and readability by revising grammar, standardizing notation, and removing redundant content.</w:t>
      </w:r>
    </w:p>
    <w:p w14:paraId="0F20D8CF" w14:textId="77777777" w:rsidR="00924998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Released full source code and datasets via an open-access repository to ensure transparency and reproducibility.</w:t>
      </w:r>
    </w:p>
    <w:p w14:paraId="20FF37F1" w14:textId="7A11EF2A" w:rsidR="00924998" w:rsidRDefault="00924998" w:rsidP="00924998">
      <w:pPr>
        <w:ind w:left="720"/>
        <w:rPr>
          <w:lang w:val="en-CA"/>
        </w:rPr>
      </w:pPr>
    </w:p>
    <w:p w14:paraId="3E4CBD86" w14:textId="1FDA9E7F" w:rsidR="00924998" w:rsidRPr="00924998" w:rsidRDefault="00924998" w:rsidP="00924998">
      <w:pPr>
        <w:rPr>
          <w:lang w:val="en-CA"/>
        </w:rPr>
      </w:pPr>
      <w:r w:rsidRPr="00924998">
        <w:rPr>
          <w:lang w:val="en-CA"/>
        </w:rPr>
        <w:t>https://github.com/TNNLS-PeerReview/ASGD-ADAM/tree/main</w:t>
      </w:r>
    </w:p>
    <w:p w14:paraId="464D8B23" w14:textId="102FA6DB" w:rsidR="002916A1" w:rsidRPr="00924998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924998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lastRenderedPageBreak/>
        <w:t xml:space="preserve">We respectfully request that the manuscript be reconsidered as a new submission to </w:t>
      </w:r>
      <w:r w:rsidRPr="00924998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TNNLS</w:t>
      </w:r>
      <w:r w:rsidRPr="00924998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 We believe that the substantial theoretical and empirical improvements presented in this version now meet the journal’s standards and contribute meaningfully to adaptive optimization and biological learning applications.</w:t>
      </w:r>
    </w:p>
    <w:p w14:paraId="27DFA27F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Thank you for your time and consideration. We would be honored if our revised work could again be reviewed by </w:t>
      </w:r>
      <w:r w:rsidRPr="00B8610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TNNLS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Please, find attached the comments and response to reviewers.</w:t>
      </w:r>
    </w:p>
    <w:p w14:paraId="4969A160" w14:textId="1D844394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Sincerely,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br/>
        <w:t>Francis Boabang</w:t>
      </w:r>
      <w:r w:rsidR="00DE173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, Ph.D.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br/>
        <w:t>Concordia Institute for Information and Systems Engineering</w:t>
      </w:r>
      <w:r w:rsidR="00F93BF2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, Montreal, Quebec, Canada</w:t>
      </w:r>
    </w:p>
    <w:p w14:paraId="7460C566" w14:textId="21516A2D" w:rsidR="002916A1" w:rsidRPr="002916A1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Samuel Asante Gyamerah</w:t>
      </w:r>
      <w:r w:rsidR="00DE173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, Ph.D.</w:t>
      </w:r>
    </w:p>
    <w:p w14:paraId="0721D6B5" w14:textId="39C6F66F" w:rsidR="002916A1" w:rsidRPr="002916A1" w:rsidRDefault="002916A1" w:rsidP="002916A1">
      <w:pPr>
        <w:rPr>
          <w:lang w:val="en-CA"/>
        </w:rPr>
      </w:pPr>
      <w:r w:rsidRPr="002916A1">
        <w:rPr>
          <w:lang w:val="en-CA"/>
        </w:rPr>
        <w:t>Department of Mathematics, Toronto Metropolitan University, Toronto, Ontario, Canada.</w:t>
      </w:r>
    </w:p>
    <w:p w14:paraId="38ADEAA8" w14:textId="77777777" w:rsidR="00B8610B" w:rsidRPr="002916A1" w:rsidRDefault="00B8610B">
      <w:pPr>
        <w:pStyle w:val="Heading1"/>
        <w:rPr>
          <w:rFonts w:ascii="Times New Roman" w:hAnsi="Times New Roman" w:cs="Times New Roman"/>
          <w:sz w:val="24"/>
          <w:szCs w:val="24"/>
          <w:lang w:val="en-CA"/>
        </w:rPr>
      </w:pPr>
    </w:p>
    <w:p w14:paraId="186CEC82" w14:textId="77777777" w:rsidR="00B8610B" w:rsidRPr="002916A1" w:rsidRDefault="00B8610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0F40D0E" w14:textId="7C3BAD1B" w:rsidR="00F6559C" w:rsidRPr="002916A1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Response to Reviewers</w:t>
      </w:r>
    </w:p>
    <w:p w14:paraId="5DA5CBB1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Reviewer 1</w:t>
      </w:r>
    </w:p>
    <w:p w14:paraId="3C843E03" w14:textId="77777777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1. Intrinsic motivation for different learning rates</w:t>
      </w:r>
    </w:p>
    <w:p w14:paraId="480A59FE" w14:textId="10D3EC36" w:rsidR="00E004E6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appreciate this observation. The motivation </w:t>
      </w:r>
      <w:r w:rsidR="005D0DF4" w:rsidRPr="002916A1">
        <w:rPr>
          <w:rFonts w:ascii="Times New Roman" w:hAnsi="Times New Roman" w:cs="Times New Roman"/>
          <w:sz w:val="24"/>
          <w:szCs w:val="24"/>
        </w:rPr>
        <w:t xml:space="preserve">behind </w:t>
      </w:r>
      <w:r w:rsidR="005D0DF4">
        <w:rPr>
          <w:rFonts w:ascii="Times New Roman" w:hAnsi="Times New Roman" w:cs="Times New Roman"/>
          <w:sz w:val="24"/>
          <w:szCs w:val="24"/>
        </w:rPr>
        <w:t>is</w:t>
      </w:r>
      <w:r w:rsidR="00E004E6">
        <w:rPr>
          <w:rFonts w:ascii="Times New Roman" w:hAnsi="Times New Roman" w:cs="Times New Roman"/>
          <w:sz w:val="24"/>
          <w:szCs w:val="24"/>
        </w:rPr>
        <w:t xml:space="preserve"> introduced in </w:t>
      </w:r>
      <w:r w:rsidR="005D0DF4">
        <w:rPr>
          <w:rFonts w:ascii="Times New Roman" w:hAnsi="Times New Roman" w:cs="Times New Roman"/>
          <w:sz w:val="24"/>
          <w:szCs w:val="24"/>
        </w:rPr>
        <w:t>motivation</w:t>
      </w:r>
      <w:r w:rsidR="00E004E6">
        <w:rPr>
          <w:rFonts w:ascii="Times New Roman" w:hAnsi="Times New Roman" w:cs="Times New Roman"/>
          <w:sz w:val="24"/>
          <w:szCs w:val="24"/>
        </w:rPr>
        <w:t xml:space="preserve"> subsection III.A, and by stating verbatim in the introduction section that,</w:t>
      </w:r>
    </w:p>
    <w:p w14:paraId="4B0912A6" w14:textId="61304EF0" w:rsidR="00E004E6" w:rsidRDefault="00E004E6" w:rsidP="00E004E6">
      <w:r w:rsidRPr="005B2E55">
        <w:t xml:space="preserve">Compared to the work in </w:t>
      </w:r>
      <w:r w:rsidR="005D0DF4">
        <w:t xml:space="preserve">[7], </w:t>
      </w:r>
      <w:r w:rsidR="005D0DF4" w:rsidRPr="005B2E55">
        <w:t>we</w:t>
      </w:r>
      <w:r w:rsidRPr="005B2E55">
        <w:t xml:space="preserve"> improve</w:t>
      </w:r>
      <w:r w:rsidR="005D0DF4">
        <w:t>d</w:t>
      </w:r>
      <w:r w:rsidRPr="005B2E55">
        <w:t xml:space="preserve"> the mechanism for selecting the base learning rate by introducing curvature-sensitive switching factors that determine whether the optimization dynamics are dominated by high variability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</m:t>
        </m:r>
      </m:oMath>
      <w:r w:rsidRPr="005B2E55">
        <w:t>) or smoother, more stable curvature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</m:t>
        </m:r>
      </m:oMath>
      <w:r w:rsidRPr="005B2E55">
        <w:t>). These indicators guide adaptive adjustments to the parameter update direction, thereby enhancing stability and convergence in complex, high-dimensional loss landscapes.</w:t>
      </w:r>
    </w:p>
    <w:p w14:paraId="4F06982F" w14:textId="77777777" w:rsidR="00E004E6" w:rsidRDefault="00E004E6">
      <w:pPr>
        <w:rPr>
          <w:rFonts w:ascii="Times New Roman" w:hAnsi="Times New Roman" w:cs="Times New Roman"/>
          <w:sz w:val="24"/>
          <w:szCs w:val="24"/>
        </w:rPr>
      </w:pPr>
    </w:p>
    <w:p w14:paraId="2554F664" w14:textId="77777777" w:rsidR="00E004E6" w:rsidRDefault="00E004E6">
      <w:pPr>
        <w:rPr>
          <w:rFonts w:ascii="Times New Roman" w:hAnsi="Times New Roman" w:cs="Times New Roman"/>
          <w:sz w:val="24"/>
          <w:szCs w:val="24"/>
        </w:rPr>
      </w:pPr>
    </w:p>
    <w:p w14:paraId="2C276339" w14:textId="77777777" w:rsidR="006A75F4" w:rsidRDefault="00E004E6" w:rsidP="006A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Furthermore, i</w:t>
      </w:r>
      <w:r w:rsidRPr="002916A1">
        <w:rPr>
          <w:rFonts w:ascii="Times New Roman" w:hAnsi="Times New Roman" w:cs="Times New Roman"/>
          <w:sz w:val="24"/>
          <w:szCs w:val="24"/>
        </w:rPr>
        <w:t xml:space="preserve">n our formulation, the coordinate magnitude correlates with local curvature estimated from the second-order momentum H_t. When H_t is small (flat region), a larger base learning rate accelerates convergence; when H_t is large (sharp curvature), a smaller rate prevents divergence. To clarify, we have expanded Section III-C to include the intuition derived from the curvature-sensitive switching factors f_min and f_max (Eqs. 2–5) </w:t>
      </w:r>
    </w:p>
    <w:p w14:paraId="39334D82" w14:textId="77777777" w:rsidR="006A75F4" w:rsidRDefault="006A75F4" w:rsidP="006A75F4">
      <w:pPr>
        <w:rPr>
          <w:rFonts w:ascii="Times New Roman" w:hAnsi="Times New Roman" w:cs="Times New Roman"/>
          <w:sz w:val="24"/>
          <w:szCs w:val="24"/>
        </w:rPr>
      </w:pPr>
    </w:p>
    <w:p w14:paraId="4DBCFF18" w14:textId="7E165121" w:rsidR="00F6559C" w:rsidRPr="002916A1" w:rsidRDefault="00000000" w:rsidP="006A75F4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2. Missing theoretical proofs for theorems and lemmas</w:t>
      </w:r>
    </w:p>
    <w:p w14:paraId="66930AD7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have now included the full theoretical derivations in Appendix A (Convex Setting), Appendix B (Nonconvex Setting), and Appendix C (Non-Ergodic Convergence). These proofs follow the methodology of AMSGrad [13] and Zhou et al. [11] but substitute the fixed base learning rate with the proposed linear function α_base = u f(H) + C. Each theorem now contains detailed assumptions, bounding steps, and intermediate lemmas for clarity.</w:t>
      </w:r>
    </w:p>
    <w:p w14:paraId="3213D31E" w14:textId="688FFDE8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Marginal performance gains</w:t>
      </w:r>
    </w:p>
    <w:p w14:paraId="3EBC4903" w14:textId="32F9403C" w:rsidR="009F1439" w:rsidRPr="002916A1" w:rsidRDefault="009F1439" w:rsidP="00B8610B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Compared to the work in </w:t>
      </w:r>
      <w:r w:rsidR="002F3964" w:rsidRPr="002916A1">
        <w:rPr>
          <w:rFonts w:ascii="Times New Roman" w:hAnsi="Times New Roman" w:cs="Times New Roman"/>
          <w:sz w:val="24"/>
          <w:szCs w:val="24"/>
        </w:rPr>
        <w:t>[</w:t>
      </w:r>
      <w:r w:rsidR="00DE1731">
        <w:rPr>
          <w:rFonts w:ascii="Times New Roman" w:hAnsi="Times New Roman" w:cs="Times New Roman"/>
          <w:sz w:val="24"/>
          <w:szCs w:val="24"/>
        </w:rPr>
        <w:t>6</w:t>
      </w:r>
      <w:r w:rsidR="002F3964" w:rsidRPr="002916A1">
        <w:rPr>
          <w:rFonts w:ascii="Times New Roman" w:hAnsi="Times New Roman" w:cs="Times New Roman"/>
          <w:sz w:val="24"/>
          <w:szCs w:val="24"/>
        </w:rPr>
        <w:t>]</w:t>
      </w:r>
      <w:r w:rsidRPr="002916A1">
        <w:rPr>
          <w:rFonts w:ascii="Times New Roman" w:hAnsi="Times New Roman" w:cs="Times New Roman"/>
          <w:sz w:val="24"/>
          <w:szCs w:val="24"/>
        </w:rPr>
        <w:t>, we improve the mechanism for selecting the base learning rate by introducing curvature-sensitive switching factors that determine whether the optimization dynamics are dominated by high variability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2916A1">
        <w:rPr>
          <w:rFonts w:ascii="Times New Roman" w:hAnsi="Times New Roman" w:cs="Times New Roman"/>
          <w:sz w:val="24"/>
          <w:szCs w:val="24"/>
        </w:rPr>
        <w:t>) or smoother, more stable curvature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2916A1">
        <w:rPr>
          <w:rFonts w:ascii="Times New Roman" w:hAnsi="Times New Roman" w:cs="Times New Roman"/>
          <w:sz w:val="24"/>
          <w:szCs w:val="24"/>
        </w:rPr>
        <w:t>). These indicators guide adaptive adjustments to the parameter update direction, thereby enhancing stability and convergence in complex, high-dimensional loss landscapes leading to improved performance gain compared to the state-of-the-art optimizers.</w:t>
      </w:r>
      <w:r w:rsidR="00906206">
        <w:rPr>
          <w:rFonts w:ascii="Times New Roman" w:hAnsi="Times New Roman" w:cs="Times New Roman"/>
          <w:sz w:val="24"/>
          <w:szCs w:val="24"/>
        </w:rPr>
        <w:t xml:space="preserve"> We have quantified performance improvement theoretically in section III. H.</w:t>
      </w:r>
    </w:p>
    <w:p w14:paraId="46B7361F" w14:textId="20B4671D" w:rsidR="002F3964" w:rsidRDefault="006A75F4" w:rsidP="002F3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also experimentally found that the </w:t>
      </w:r>
      <w:r w:rsidRPr="002916A1">
        <w:rPr>
          <w:rFonts w:ascii="Times New Roman" w:hAnsi="Times New Roman" w:cs="Times New Roman"/>
          <w:sz w:val="24"/>
          <w:szCs w:val="24"/>
        </w:rPr>
        <w:t xml:space="preserve"> ASGD-Adam</w:t>
      </w:r>
      <w:r>
        <w:rPr>
          <w:rFonts w:ascii="Times New Roman" w:hAnsi="Times New Roman" w:cs="Times New Roman"/>
          <w:sz w:val="24"/>
          <w:szCs w:val="24"/>
        </w:rPr>
        <w:t>/ASGDAMSgrad</w:t>
      </w:r>
      <w:r w:rsidRPr="00291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better generalization done state-of-the-art optimizers </w:t>
      </w:r>
      <w:r w:rsidRPr="002916A1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916A1">
        <w:rPr>
          <w:rFonts w:ascii="Times New Roman" w:hAnsi="Times New Roman" w:cs="Times New Roman"/>
          <w:sz w:val="24"/>
          <w:szCs w:val="24"/>
        </w:rPr>
        <w:t xml:space="preserve">single-cell perturbation experiments. </w:t>
      </w:r>
    </w:p>
    <w:p w14:paraId="289D2F38" w14:textId="77777777" w:rsidR="00E31E3C" w:rsidRPr="00E31E3C" w:rsidRDefault="00E31E3C" w:rsidP="00E31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r w:rsidRPr="00E31E3C">
        <w:rPr>
          <w:rFonts w:ascii="Times New Roman" w:hAnsi="Times New Roman" w:cs="Times New Roman"/>
          <w:sz w:val="24"/>
          <w:szCs w:val="24"/>
        </w:rPr>
        <w:t>F. Boabang, “Refining optimization methods for training machine learn-</w:t>
      </w:r>
    </w:p>
    <w:p w14:paraId="7A551832" w14:textId="717ACBC3" w:rsidR="00E31E3C" w:rsidRDefault="00E31E3C" w:rsidP="00E31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E3C">
        <w:rPr>
          <w:rFonts w:ascii="Times New Roman" w:hAnsi="Times New Roman" w:cs="Times New Roman"/>
          <w:sz w:val="24"/>
          <w:szCs w:val="24"/>
        </w:rPr>
        <w:t>ing models: A case study in robotic surgical procedures,” Ph.D. dissertation, Concordia University, 2024.</w:t>
      </w:r>
    </w:p>
    <w:p w14:paraId="433E8C1A" w14:textId="77777777" w:rsidR="00E31E3C" w:rsidRPr="002916A1" w:rsidRDefault="00E31E3C" w:rsidP="002F3964">
      <w:pPr>
        <w:rPr>
          <w:rFonts w:ascii="Times New Roman" w:hAnsi="Times New Roman" w:cs="Times New Roman"/>
          <w:sz w:val="24"/>
          <w:szCs w:val="24"/>
        </w:rPr>
      </w:pPr>
    </w:p>
    <w:p w14:paraId="61209265" w14:textId="00292D30" w:rsidR="00F6559C" w:rsidRPr="002916A1" w:rsidRDefault="00000000" w:rsidP="002F3964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4. Demonstration on remote surgery recognition</w:t>
      </w:r>
    </w:p>
    <w:p w14:paraId="399D23AE" w14:textId="407323C8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acknowledge the limitation of not including domain-specific evaluations. In this revision, we have </w:t>
      </w:r>
      <w:r w:rsidR="006A75F4">
        <w:rPr>
          <w:rFonts w:ascii="Times New Roman" w:hAnsi="Times New Roman" w:cs="Times New Roman"/>
          <w:sz w:val="24"/>
          <w:szCs w:val="24"/>
        </w:rPr>
        <w:t xml:space="preserve">focused on </w:t>
      </w:r>
      <w:r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="009F1439" w:rsidRPr="002916A1">
        <w:rPr>
          <w:rFonts w:ascii="Times New Roman" w:hAnsi="Times New Roman" w:cs="Times New Roman"/>
          <w:sz w:val="24"/>
          <w:szCs w:val="24"/>
        </w:rPr>
        <w:t>stem cell differentiation using graph attention mechanism with reinforcement with improve base learning rate selection concept</w:t>
      </w:r>
      <w:r w:rsidR="002F3964" w:rsidRPr="002916A1">
        <w:rPr>
          <w:rFonts w:ascii="Times New Roman" w:hAnsi="Times New Roman" w:cs="Times New Roman"/>
          <w:sz w:val="24"/>
          <w:szCs w:val="24"/>
        </w:rPr>
        <w:t xml:space="preserve">. </w:t>
      </w:r>
      <w:r w:rsidR="00F23C6F" w:rsidRPr="002916A1">
        <w:rPr>
          <w:rFonts w:ascii="Times New Roman" w:hAnsi="Times New Roman" w:cs="Times New Roman"/>
          <w:sz w:val="24"/>
          <w:szCs w:val="24"/>
        </w:rPr>
        <w:t>This improves</w:t>
      </w:r>
      <w:r w:rsidRPr="002916A1">
        <w:rPr>
          <w:rFonts w:ascii="Times New Roman" w:hAnsi="Times New Roman" w:cs="Times New Roman"/>
          <w:sz w:val="24"/>
          <w:szCs w:val="24"/>
        </w:rPr>
        <w:t xml:space="preserve"> model convergence compared </w:t>
      </w:r>
      <w:r w:rsidR="002F3964" w:rsidRPr="002916A1">
        <w:rPr>
          <w:rFonts w:ascii="Times New Roman" w:hAnsi="Times New Roman" w:cs="Times New Roman"/>
          <w:sz w:val="24"/>
          <w:szCs w:val="24"/>
        </w:rPr>
        <w:t>to state-of-the-art optimizers</w:t>
      </w:r>
      <w:r w:rsidRPr="002916A1">
        <w:rPr>
          <w:rFonts w:ascii="Times New Roman" w:hAnsi="Times New Roman" w:cs="Times New Roman"/>
          <w:sz w:val="24"/>
          <w:szCs w:val="24"/>
        </w:rPr>
        <w:t>, demonstrating strong generalization.</w:t>
      </w:r>
    </w:p>
    <w:p w14:paraId="5C6E8EC5" w14:textId="0B8DD088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lastRenderedPageBreak/>
        <w:t xml:space="preserve"> Excessive introduction to CNN and LSTM</w:t>
      </w:r>
    </w:p>
    <w:p w14:paraId="1867FD20" w14:textId="239375D8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have </w:t>
      </w:r>
      <w:r w:rsidR="002F3964" w:rsidRPr="002916A1">
        <w:rPr>
          <w:rFonts w:ascii="Times New Roman" w:hAnsi="Times New Roman" w:cs="Times New Roman"/>
          <w:sz w:val="24"/>
          <w:szCs w:val="24"/>
        </w:rPr>
        <w:t>removed</w:t>
      </w:r>
      <w:r w:rsidRPr="002916A1">
        <w:rPr>
          <w:rFonts w:ascii="Times New Roman" w:hAnsi="Times New Roman" w:cs="Times New Roman"/>
          <w:sz w:val="24"/>
          <w:szCs w:val="24"/>
        </w:rPr>
        <w:t xml:space="preserve"> the introductory description of CNNs and LSTMs and </w:t>
      </w:r>
      <w:r w:rsidR="009F1439" w:rsidRPr="002916A1">
        <w:rPr>
          <w:rFonts w:ascii="Times New Roman" w:hAnsi="Times New Roman" w:cs="Times New Roman"/>
          <w:sz w:val="24"/>
          <w:szCs w:val="24"/>
        </w:rPr>
        <w:t>focus on a different problem which is machine learning for stem cell differentiation.</w:t>
      </w:r>
      <w:r w:rsidRPr="002916A1">
        <w:rPr>
          <w:rFonts w:ascii="Times New Roman" w:hAnsi="Times New Roman" w:cs="Times New Roman"/>
          <w:sz w:val="24"/>
          <w:szCs w:val="24"/>
        </w:rPr>
        <w:t xml:space="preserve"> This change streamlines Section II and better highlights the optimizer’s contribution.</w:t>
      </w:r>
    </w:p>
    <w:p w14:paraId="68667B21" w14:textId="6EA6DC1C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. Minor corrections (symbols, references, grammar)</w:t>
      </w:r>
    </w:p>
    <w:p w14:paraId="3E8E9E45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All notational inconsistencies (e.g., “p-norm”) have been standardized. Repetitive references were merged; the incorrect name “adabrief” has been corrected to AdaBelief; symbol definitions (e.g., y_1, y) have been clarified. We also restructured sentences for grammatical accuracy and layout consistency, especially in Section III.</w:t>
      </w:r>
    </w:p>
    <w:p w14:paraId="005A8B85" w14:textId="4945B1DB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Definition of α_base (Equation 11)</w:t>
      </w:r>
    </w:p>
    <w:p w14:paraId="2CA7279D" w14:textId="235EA7CC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have clarified that “small” and “large” refer to thresholds on the second-order moment H_t. Specifically, H_t &lt; mean(H_t) corresponds to “small” (flat curvature, α_max), and H_t &gt; mean(H_t) corresponds to “large” (sharp curvature, α_min). This definition is now explicitly stated in Section III-C and illustrated in Algorithm 1</w:t>
      </w:r>
      <w:r w:rsidR="00E31E3C">
        <w:rPr>
          <w:rFonts w:ascii="Times New Roman" w:hAnsi="Times New Roman" w:cs="Times New Roman"/>
          <w:sz w:val="24"/>
          <w:szCs w:val="24"/>
        </w:rPr>
        <w:t xml:space="preserve"> and 2</w:t>
      </w:r>
      <w:r w:rsidRPr="002916A1">
        <w:rPr>
          <w:rFonts w:ascii="Times New Roman" w:hAnsi="Times New Roman" w:cs="Times New Roman"/>
          <w:sz w:val="24"/>
          <w:szCs w:val="24"/>
        </w:rPr>
        <w:t>.</w:t>
      </w:r>
    </w:p>
    <w:p w14:paraId="23A771A7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Reviewer 2</w:t>
      </w:r>
    </w:p>
    <w:p w14:paraId="69BFDDB2" w14:textId="77777777" w:rsidR="00F6559C" w:rsidRPr="002916A1" w:rsidRDefault="00000000" w:rsidP="009F1439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1. Code availability</w:t>
      </w:r>
    </w:p>
    <w:p w14:paraId="02FF46CF" w14:textId="77777777" w:rsidR="006A75F4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The full implementation, including training scripts and datasets, has been made publicly available at: </w:t>
      </w:r>
    </w:p>
    <w:p w14:paraId="4719F606" w14:textId="49FA22D2" w:rsidR="006A75F4" w:rsidRDefault="00924998">
      <w:pPr>
        <w:rPr>
          <w:rFonts w:ascii="Times New Roman" w:hAnsi="Times New Roman" w:cs="Times New Roman"/>
          <w:sz w:val="24"/>
          <w:szCs w:val="24"/>
        </w:rPr>
      </w:pPr>
      <w:r w:rsidRPr="00924998">
        <w:t>https://github.com/TNNLS-PeerReview/ASGD-ADAM/tree/main</w:t>
      </w:r>
    </w:p>
    <w:p w14:paraId="00A8E131" w14:textId="2D9AC1A9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A README now details environment setup, parameter settings, and reproduction steps.</w:t>
      </w:r>
    </w:p>
    <w:p w14:paraId="69D3BB03" w14:textId="562C2368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Figures 1–8 readability</w:t>
      </w:r>
    </w:p>
    <w:p w14:paraId="7ABA545A" w14:textId="43E1EA81" w:rsidR="00F6559C" w:rsidRPr="002916A1" w:rsidRDefault="00B8610B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Not applicable</w:t>
      </w:r>
    </w:p>
    <w:p w14:paraId="59430C6F" w14:textId="2D879665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More datasets and models</w:t>
      </w:r>
    </w:p>
    <w:p w14:paraId="7C40F562" w14:textId="0F78FB3C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have added experiments on two additional datasets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="00F23C6F" w:rsidRPr="002916A1">
        <w:rPr>
          <w:rFonts w:ascii="Times New Roman" w:hAnsi="Times New Roman" w:cs="Times New Roman"/>
          <w:sz w:val="24"/>
          <w:szCs w:val="24"/>
        </w:rPr>
        <w:t>ATAC</w:t>
      </w:r>
      <w:r w:rsidRPr="002916A1">
        <w:rPr>
          <w:rFonts w:ascii="Times New Roman" w:hAnsi="Times New Roman" w:cs="Times New Roman"/>
          <w:sz w:val="24"/>
          <w:szCs w:val="24"/>
        </w:rPr>
        <w:t xml:space="preserve"> and scRNA-seq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to demonstrate robustness. The proposed optimizer consistently higher F1 and lower MSE across these datasets, validating generalizability</w:t>
      </w:r>
      <w:r w:rsidR="00F23C6F" w:rsidRPr="002916A1">
        <w:rPr>
          <w:rFonts w:ascii="Times New Roman" w:hAnsi="Times New Roman" w:cs="Times New Roman"/>
          <w:sz w:val="24"/>
          <w:szCs w:val="24"/>
        </w:rPr>
        <w:t xml:space="preserve"> compared to state</w:t>
      </w:r>
      <w:r w:rsidR="006A75F4">
        <w:rPr>
          <w:rFonts w:ascii="Times New Roman" w:hAnsi="Times New Roman" w:cs="Times New Roman"/>
          <w:sz w:val="24"/>
          <w:szCs w:val="24"/>
        </w:rPr>
        <w:t>-</w:t>
      </w:r>
      <w:r w:rsidR="00F23C6F" w:rsidRPr="002916A1">
        <w:rPr>
          <w:rFonts w:ascii="Times New Roman" w:hAnsi="Times New Roman" w:cs="Times New Roman"/>
          <w:sz w:val="24"/>
          <w:szCs w:val="24"/>
        </w:rPr>
        <w:t>of</w:t>
      </w:r>
      <w:r w:rsidR="006A75F4">
        <w:rPr>
          <w:rFonts w:ascii="Times New Roman" w:hAnsi="Times New Roman" w:cs="Times New Roman"/>
          <w:sz w:val="24"/>
          <w:szCs w:val="24"/>
        </w:rPr>
        <w:t>-</w:t>
      </w:r>
      <w:r w:rsidR="00F23C6F" w:rsidRPr="002916A1">
        <w:rPr>
          <w:rFonts w:ascii="Times New Roman" w:hAnsi="Times New Roman" w:cs="Times New Roman"/>
          <w:sz w:val="24"/>
          <w:szCs w:val="24"/>
        </w:rPr>
        <w:t>the</w:t>
      </w:r>
      <w:r w:rsidR="006A75F4">
        <w:rPr>
          <w:rFonts w:ascii="Times New Roman" w:hAnsi="Times New Roman" w:cs="Times New Roman"/>
          <w:sz w:val="24"/>
          <w:szCs w:val="24"/>
        </w:rPr>
        <w:t>-</w:t>
      </w:r>
      <w:r w:rsidR="00F23C6F" w:rsidRPr="002916A1">
        <w:rPr>
          <w:rFonts w:ascii="Times New Roman" w:hAnsi="Times New Roman" w:cs="Times New Roman"/>
          <w:sz w:val="24"/>
          <w:szCs w:val="24"/>
        </w:rPr>
        <w:t>art optimizers</w:t>
      </w:r>
      <w:r w:rsidRPr="002916A1">
        <w:rPr>
          <w:rFonts w:ascii="Times New Roman" w:hAnsi="Times New Roman" w:cs="Times New Roman"/>
          <w:sz w:val="24"/>
          <w:szCs w:val="24"/>
        </w:rPr>
        <w:t>.</w:t>
      </w:r>
    </w:p>
    <w:p w14:paraId="6312A27E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Reviewer 3</w:t>
      </w:r>
    </w:p>
    <w:p w14:paraId="5CF09935" w14:textId="3CA800D5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thank the reviewer for recognizing the potential of this work. We have implemented all requested minor revisions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specifically improving figure clarity, proof completeness, and notation consistency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to strengthen the manuscript’s presentation and rigor.</w:t>
      </w:r>
    </w:p>
    <w:sectPr w:rsidR="00F6559C" w:rsidRPr="002916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D64F0A"/>
    <w:multiLevelType w:val="multilevel"/>
    <w:tmpl w:val="0EE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443507">
    <w:abstractNumId w:val="8"/>
  </w:num>
  <w:num w:numId="2" w16cid:durableId="27490824">
    <w:abstractNumId w:val="6"/>
  </w:num>
  <w:num w:numId="3" w16cid:durableId="449973785">
    <w:abstractNumId w:val="5"/>
  </w:num>
  <w:num w:numId="4" w16cid:durableId="2011830807">
    <w:abstractNumId w:val="4"/>
  </w:num>
  <w:num w:numId="5" w16cid:durableId="805896540">
    <w:abstractNumId w:val="7"/>
  </w:num>
  <w:num w:numId="6" w16cid:durableId="808129500">
    <w:abstractNumId w:val="3"/>
  </w:num>
  <w:num w:numId="7" w16cid:durableId="381443634">
    <w:abstractNumId w:val="2"/>
  </w:num>
  <w:num w:numId="8" w16cid:durableId="2136829839">
    <w:abstractNumId w:val="1"/>
  </w:num>
  <w:num w:numId="9" w16cid:durableId="1560749140">
    <w:abstractNumId w:val="0"/>
  </w:num>
  <w:num w:numId="10" w16cid:durableId="1603145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6F0A"/>
    <w:rsid w:val="00257CFF"/>
    <w:rsid w:val="002916A1"/>
    <w:rsid w:val="0029639D"/>
    <w:rsid w:val="002F3964"/>
    <w:rsid w:val="00326F90"/>
    <w:rsid w:val="0040229B"/>
    <w:rsid w:val="005D0DF4"/>
    <w:rsid w:val="006A75F4"/>
    <w:rsid w:val="008873A6"/>
    <w:rsid w:val="00906206"/>
    <w:rsid w:val="00924998"/>
    <w:rsid w:val="00944DAC"/>
    <w:rsid w:val="009F1439"/>
    <w:rsid w:val="00AA1D8D"/>
    <w:rsid w:val="00AD0428"/>
    <w:rsid w:val="00B47730"/>
    <w:rsid w:val="00B8610B"/>
    <w:rsid w:val="00CB0664"/>
    <w:rsid w:val="00D7091F"/>
    <w:rsid w:val="00D93B22"/>
    <w:rsid w:val="00DD1DB3"/>
    <w:rsid w:val="00DE1731"/>
    <w:rsid w:val="00E004E6"/>
    <w:rsid w:val="00E273EC"/>
    <w:rsid w:val="00E31E3C"/>
    <w:rsid w:val="00F23C6F"/>
    <w:rsid w:val="00F6559C"/>
    <w:rsid w:val="00F93B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90096"/>
  <w14:defaultImageDpi w14:val="300"/>
  <w15:docId w15:val="{8100A9A2-B89E-4856-89DD-15DC159F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A75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Francis Boabang</cp:lastModifiedBy>
  <cp:revision>6</cp:revision>
  <dcterms:created xsi:type="dcterms:W3CDTF">2025-10-16T09:04:00Z</dcterms:created>
  <dcterms:modified xsi:type="dcterms:W3CDTF">2025-10-18T03:42:00Z</dcterms:modified>
  <cp:category/>
</cp:coreProperties>
</file>