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36D05554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 December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2024 ,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“Enhanced Adaptive Stochastic Gradient Descent: Convergence Analysis and Its Application in Single-Cell Perturbation Analysis,”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is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56EEDE2C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convex, nonconvex, and non-ergodic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Clarified the intrinsic motivation for curvature-sensitive learning-rate adjustment with theoretical justification and ablation studies.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3C8B47C8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464D8B2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We respectfully request that the manuscript be reconsidered as a new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Francis Boabang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Concordia Institute for Information and Systems Engineering</w:t>
      </w:r>
    </w:p>
    <w:p w14:paraId="7460C566" w14:textId="7D916127" w:rsidR="002916A1" w:rsidRPr="002916A1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Samuel Asante Gyamerah</w:t>
      </w:r>
    </w:p>
    <w:p w14:paraId="0721D6B5" w14:textId="39C6F66F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Department of Mathematics, Toronto Metropolitan University, Toronto, Ontario, Canada.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31F21F0" w14:textId="77777777" w:rsidR="00B8610B" w:rsidRPr="002916A1" w:rsidRDefault="00B8610B" w:rsidP="00B8610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4D21FED" w14:textId="77777777" w:rsidR="00B8610B" w:rsidRPr="002916A1" w:rsidRDefault="00B8610B" w:rsidP="00B8610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BC19345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384BC478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behind assigning larger learning rates to larger coordinate values arises from curvature-aware optimization theory. In our formulation, the coordinate magnitude correlates with local curvature estimated from the second-order momentum H_t. When H_t is small (flat region), a larger base learning rate accelerates convergence; when H_t is large (sharp curvature), a smaller rate prevents divergence. To clarify, we have expanded Section III-C to include the intuition derived from the curvature-sensitive switching factors f_min and f_max (Eqs. 2–5) and added an </w:t>
      </w:r>
      <w:r w:rsidRPr="002916A1">
        <w:rPr>
          <w:rFonts w:ascii="Times New Roman" w:hAnsi="Times New Roman" w:cs="Times New Roman"/>
          <w:sz w:val="24"/>
          <w:szCs w:val="24"/>
        </w:rPr>
        <w:lastRenderedPageBreak/>
        <w:t>ablation experiment in Section IV comparing uniform versus non-uniform learning-rate schemes, demonstrating faster convergence and lower MSE for the proposed method.</w:t>
      </w:r>
    </w:p>
    <w:p w14:paraId="4DBCFF18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now included the full theoretical derivations in Appendix A (Convex Setting), Appendix B (Nonconvex Setting), and Appendix C (Non-Ergodic Convergence). These proofs follow the methodology of AMSGrad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1E40D815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[7]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leading to improved performance gain compared to the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46B7361F" w14:textId="77777777" w:rsidR="002F3964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While some differences appear modest in raw accuracy, the proposed optimizer achieves consistently higher stability and lower variance across both classification and regression tasks (Tables II–III). Moreover, ASGD-Adam reduces MSE compared to Adam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in single-cell perturbation experiments. </w:t>
      </w: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135E7A60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extended the experimental section to </w:t>
      </w:r>
      <w:r w:rsidR="009F1439" w:rsidRPr="002916A1">
        <w:rPr>
          <w:rFonts w:ascii="Times New Roman" w:hAnsi="Times New Roman" w:cs="Times New Roman"/>
          <w:sz w:val="24"/>
          <w:szCs w:val="24"/>
        </w:rPr>
        <w:t>include stem cell differentiation using graph attention mechanism with reinforcement with improve base learning rate 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5.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6–12.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All notational inconsistencies (e.g., “p-norm”) have been standardized. Repetitive references were merged; the incorrect name “adabrief” has been corrected to AdaBelief; </w:t>
      </w:r>
      <w:r w:rsidRPr="002916A1">
        <w:rPr>
          <w:rFonts w:ascii="Times New Roman" w:hAnsi="Times New Roman" w:cs="Times New Roman"/>
          <w:sz w:val="24"/>
          <w:szCs w:val="24"/>
        </w:rPr>
        <w:lastRenderedPageBreak/>
        <w:t>symbol definitions (e.g., y_1, y) have been clarified. We also restructured sentences for grammatical accuracy and layout consistency, especially in Section III.</w:t>
      </w:r>
    </w:p>
    <w:p w14:paraId="005A8B85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13. Definition of α_base (Equation 11)</w:t>
      </w:r>
    </w:p>
    <w:p w14:paraId="2CA7279D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clarified that “small” and “large” refer to thresholds on the second-order moment H_t. Specifically, H_t &lt; mean(H_t) corresponds to “small” (flat curvature, α_max), and H_t &gt; mean(H_t) corresponds to “large” (sharp curvature, α_min). This definition is now explicitly stated in Section III-C and illustrated in Algorithm 1.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0A8E131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The full implementation, including training scripts and datasets, has been made publicly available at: https://github.com/boabangf/GNN_RL_gene_trajectory_perturbation. A README now details environment setup, parameter settings, and reproduction steps.</w:t>
      </w:r>
    </w:p>
    <w:p w14:paraId="69D3BB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2–4.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5. More datasets and models</w:t>
      </w:r>
    </w:p>
    <w:p w14:paraId="7C40F562" w14:textId="72B4639A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scRNA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 of the 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F0A"/>
    <w:rsid w:val="002916A1"/>
    <w:rsid w:val="0029639D"/>
    <w:rsid w:val="002F3964"/>
    <w:rsid w:val="00326F90"/>
    <w:rsid w:val="008873A6"/>
    <w:rsid w:val="009F1439"/>
    <w:rsid w:val="00AA1D8D"/>
    <w:rsid w:val="00AD0428"/>
    <w:rsid w:val="00B47730"/>
    <w:rsid w:val="00B8610B"/>
    <w:rsid w:val="00CB0664"/>
    <w:rsid w:val="00D7091F"/>
    <w:rsid w:val="00F23C6F"/>
    <w:rsid w:val="00F65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49C784DC-0BF7-4D75-9573-BEFD2A8F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 Boabang</cp:lastModifiedBy>
  <cp:revision>48</cp:revision>
  <dcterms:created xsi:type="dcterms:W3CDTF">2013-12-23T23:15:00Z</dcterms:created>
  <dcterms:modified xsi:type="dcterms:W3CDTF">2025-10-15T23:27:00Z</dcterms:modified>
  <cp:category/>
</cp:coreProperties>
</file>