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CDC7" w14:textId="112F549C" w:rsidR="002A4554" w:rsidRPr="00874AA3" w:rsidRDefault="002A4554" w:rsidP="002A4554">
      <w:pPr>
        <w:jc w:val="center"/>
        <w:rPr>
          <w:u w:val="single"/>
        </w:rPr>
      </w:pPr>
      <w:r>
        <w:rPr>
          <w:u w:val="single"/>
        </w:rPr>
        <w:t xml:space="preserve">Data </w:t>
      </w:r>
      <w:r w:rsidRPr="00874AA3">
        <w:rPr>
          <w:u w:val="single"/>
        </w:rPr>
        <w:t>Abstraction</w:t>
      </w:r>
    </w:p>
    <w:p w14:paraId="210DC1D8" w14:textId="6ECBE9FC" w:rsidR="00502B95" w:rsidRDefault="002A4554">
      <w:r>
        <w:t>Let us consider the following scenario: We have a code</w:t>
      </w:r>
      <w:r w:rsidR="002A627F">
        <w:t xml:space="preserve"> whose</w:t>
      </w:r>
      <w:r>
        <w:t xml:space="preserve"> purpose</w:t>
      </w:r>
      <w:r w:rsidR="002A627F">
        <w:t xml:space="preserve"> we wish to hide</w:t>
      </w:r>
      <w:r>
        <w:t xml:space="preserve"> from the client/user. For example, we wish to hide what resource is used by skill “A”.</w:t>
      </w:r>
    </w:p>
    <w:p w14:paraId="66B44E90" w14:textId="0AADF7B5" w:rsidR="002A4554" w:rsidRDefault="002A4554">
      <w:r>
        <w:t>For example, the simple following pseudo-code:</w:t>
      </w:r>
    </w:p>
    <w:p w14:paraId="37C64953" w14:textId="402A6C8F" w:rsidR="002A4554" w:rsidRPr="002A4554" w:rsidRDefault="002A45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int Mana=10</m:t>
          </m:r>
        </m:oMath>
      </m:oMathPara>
    </w:p>
    <w:p w14:paraId="34E3D395" w14:textId="5BD1A847" w:rsidR="002A4554" w:rsidRPr="002A4554" w:rsidRDefault="002A45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On use:Mana =Mana- 5</m:t>
          </m:r>
        </m:oMath>
      </m:oMathPara>
    </w:p>
    <w:p w14:paraId="0858C783" w14:textId="3172CD01" w:rsidR="002A4554" w:rsidRDefault="002A4554">
      <w:r>
        <w:t>Assume we wish to hide the fact this skill uses mana. One method of doing so is</w:t>
      </w:r>
      <w:r w:rsidR="002A627F">
        <w:t xml:space="preserve"> to</w:t>
      </w:r>
      <w:r>
        <w:t xml:space="preserve"> replac</w:t>
      </w:r>
      <w:r w:rsidR="002A627F">
        <w:t>e</w:t>
      </w:r>
      <w:r>
        <w:t xml:space="preserve"> the name by another word </w:t>
      </w:r>
      <w:r w:rsidR="002A627F">
        <w:t>which</w:t>
      </w:r>
      <w:r>
        <w:t xml:space="preserve"> only we know, for instance, “Bus”</w:t>
      </w:r>
      <w:r w:rsidR="002A627F">
        <w:t>.</w:t>
      </w:r>
      <w:r>
        <w:t xml:space="preserve"> </w:t>
      </w:r>
      <w:r w:rsidR="002A627F">
        <w:t>S</w:t>
      </w:r>
      <w:r>
        <w:t>o</w:t>
      </w:r>
      <w:r w:rsidR="002A627F">
        <w:t>,</w:t>
      </w:r>
      <w:r>
        <w:t xml:space="preserve"> we get the following pseudo</w:t>
      </w:r>
      <w:r w:rsidR="002A627F">
        <w:t>-</w:t>
      </w:r>
      <w:r>
        <w:t>code:</w:t>
      </w:r>
    </w:p>
    <w:p w14:paraId="426547F7" w14:textId="04833A7A" w:rsidR="002A4554" w:rsidRPr="002A4554" w:rsidRDefault="002A4554" w:rsidP="002A45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int </m:t>
          </m:r>
          <m:r>
            <w:rPr>
              <w:rFonts w:ascii="Cambria Math" w:hAnsi="Cambria Math"/>
            </w:rPr>
            <m:t>Bus</m:t>
          </m:r>
          <m:r>
            <w:rPr>
              <w:rFonts w:ascii="Cambria Math" w:hAnsi="Cambria Math"/>
            </w:rPr>
            <m:t>=10</m:t>
          </m:r>
        </m:oMath>
      </m:oMathPara>
    </w:p>
    <w:p w14:paraId="4286AF63" w14:textId="7429BCE6" w:rsidR="002A4554" w:rsidRPr="002A4554" w:rsidRDefault="002A4554" w:rsidP="002A45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On use:</m:t>
          </m:r>
          <m:r>
            <w:rPr>
              <w:rFonts w:ascii="Cambria Math" w:hAnsi="Cambria Math"/>
            </w:rPr>
            <m:t>Bus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Bus</m:t>
          </m:r>
          <m:r>
            <w:rPr>
              <w:rFonts w:ascii="Cambria Math" w:hAnsi="Cambria Math"/>
            </w:rPr>
            <m:t>- 5</m:t>
          </m:r>
        </m:oMath>
      </m:oMathPara>
    </w:p>
    <w:p w14:paraId="607BF136" w14:textId="7378A68D" w:rsidR="002A4554" w:rsidRDefault="002A627F">
      <w:pPr>
        <w:rPr>
          <w:rFonts w:eastAsiaTheme="minorEastAsia"/>
        </w:rPr>
      </w:pPr>
      <w:r>
        <w:t>The above</w:t>
      </w:r>
      <w:r w:rsidR="002A4554">
        <w:t xml:space="preserve"> abstraction method may seem like a good </w:t>
      </w:r>
      <w:r>
        <w:t>solution;</w:t>
      </w:r>
      <w:r w:rsidR="002A4554">
        <w:t xml:space="preserve"> </w:t>
      </w:r>
      <w:r>
        <w:t>however,</w:t>
      </w:r>
      <w:r w:rsidR="002A4554">
        <w:t xml:space="preserve"> it has an inherit problem: Assume developer </w:t>
      </w:r>
      <m:oMath>
        <m:r>
          <w:rPr>
            <w:rFonts w:ascii="Cambria Math" w:hAnsi="Cambria Math"/>
          </w:rPr>
          <m:t>X</m:t>
        </m:r>
      </m:oMath>
      <w:r w:rsidR="002A4554">
        <w:rPr>
          <w:rFonts w:eastAsiaTheme="minorEastAsia"/>
        </w:rPr>
        <w:t xml:space="preserve"> and developer </w:t>
      </w:r>
      <m:oMath>
        <m:r>
          <w:rPr>
            <w:rFonts w:ascii="Cambria Math" w:eastAsiaTheme="minorEastAsia" w:hAnsi="Cambria Math"/>
          </w:rPr>
          <m:t>Y</m:t>
        </m:r>
      </m:oMath>
      <w:r w:rsidR="002A4554">
        <w:rPr>
          <w:rFonts w:eastAsiaTheme="minorEastAsia"/>
        </w:rPr>
        <w:t xml:space="preserve"> work on the following segments of 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55"/>
        <w:gridCol w:w="4695"/>
      </w:tblGrid>
      <w:tr w:rsidR="002A4554" w14:paraId="7FD4A88D" w14:textId="77777777" w:rsidTr="002A4554">
        <w:trPr>
          <w:jc w:val="center"/>
        </w:trPr>
        <w:tc>
          <w:tcPr>
            <w:tcW w:w="4788" w:type="dxa"/>
          </w:tcPr>
          <w:p w14:paraId="1EA0AAE6" w14:textId="42EE1AC7" w:rsidR="002A4554" w:rsidRDefault="002A455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788" w:type="dxa"/>
          </w:tcPr>
          <w:p w14:paraId="0010A48D" w14:textId="77777777" w:rsidR="002A4554" w:rsidRPr="002A4554" w:rsidRDefault="002A4554" w:rsidP="002A45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int Mana=10</m:t>
                </m:r>
              </m:oMath>
            </m:oMathPara>
          </w:p>
          <w:p w14:paraId="14C90BC1" w14:textId="301F54E8" w:rsidR="002A4554" w:rsidRPr="002A4554" w:rsidRDefault="002A4554" w:rsidP="002A45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On use:Mana =Mana- 5</m:t>
                </m:r>
              </m:oMath>
            </m:oMathPara>
          </w:p>
        </w:tc>
      </w:tr>
      <w:tr w:rsidR="002A4554" w14:paraId="7257D763" w14:textId="77777777" w:rsidTr="002A4554">
        <w:trPr>
          <w:jc w:val="center"/>
        </w:trPr>
        <w:tc>
          <w:tcPr>
            <w:tcW w:w="4788" w:type="dxa"/>
          </w:tcPr>
          <w:p w14:paraId="1C532754" w14:textId="26868589" w:rsidR="002A4554" w:rsidRDefault="002A4554" w:rsidP="002A4554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88" w:type="dxa"/>
          </w:tcPr>
          <w:p w14:paraId="48C37010" w14:textId="5E1D2790" w:rsidR="002A4554" w:rsidRPr="002A4554" w:rsidRDefault="002A4554" w:rsidP="002A45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int </m:t>
                </m:r>
                <m:r>
                  <w:rPr>
                    <w:rFonts w:ascii="Cambria Math" w:hAnsi="Cambria Math"/>
                  </w:rPr>
                  <m:t>Health</m:t>
                </m:r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14:paraId="3D188FF7" w14:textId="6C6624CF" w:rsidR="002A4554" w:rsidRDefault="002A4554" w:rsidP="002A4554">
            <m:oMathPara>
              <m:oMath>
                <m:r>
                  <w:rPr>
                    <w:rFonts w:ascii="Cambria Math" w:hAnsi="Cambria Math"/>
                  </w:rPr>
                  <m:t>On use:</m:t>
                </m:r>
                <m:r>
                  <w:rPr>
                    <w:rFonts w:ascii="Cambria Math" w:hAnsi="Cambria Math"/>
                  </w:rPr>
                  <m:t>Health</m:t>
                </m:r>
                <m:r>
                  <w:rPr>
                    <w:rFonts w:ascii="Cambria Math" w:hAnsi="Cambria Math"/>
                  </w:rPr>
                  <m:t xml:space="preserve"> =</m:t>
                </m:r>
                <m:r>
                  <w:rPr>
                    <w:rFonts w:ascii="Cambria Math" w:hAnsi="Cambria Math"/>
                  </w:rPr>
                  <m:t>Health</m:t>
                </m:r>
                <m:r>
                  <w:rPr>
                    <w:rFonts w:ascii="Cambria Math" w:hAnsi="Cambria Math"/>
                  </w:rPr>
                  <m:t>- 5</m:t>
                </m:r>
              </m:oMath>
            </m:oMathPara>
          </w:p>
        </w:tc>
      </w:tr>
    </w:tbl>
    <w:p w14:paraId="29703258" w14:textId="259EFEF4" w:rsidR="002A4554" w:rsidRDefault="002A4554"/>
    <w:p w14:paraId="5FA7A3E4" w14:textId="75055144" w:rsidR="002A4554" w:rsidRDefault="002A627F">
      <w:r>
        <w:t>Also a</w:t>
      </w:r>
      <w:r w:rsidR="002A4554">
        <w:t>ssume both developers used the same abstraction “Bus” resulting in the following codes: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0"/>
        <w:gridCol w:w="4690"/>
      </w:tblGrid>
      <w:tr w:rsidR="002A4554" w14:paraId="7B0D472B" w14:textId="77777777" w:rsidTr="00AA16C2">
        <w:trPr>
          <w:jc w:val="center"/>
        </w:trPr>
        <w:tc>
          <w:tcPr>
            <w:tcW w:w="4788" w:type="dxa"/>
          </w:tcPr>
          <w:p w14:paraId="24766BAE" w14:textId="77777777" w:rsidR="002A4554" w:rsidRDefault="002A4554" w:rsidP="00AA16C2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788" w:type="dxa"/>
          </w:tcPr>
          <w:p w14:paraId="63A250ED" w14:textId="77777777" w:rsidR="002A4554" w:rsidRPr="002A4554" w:rsidRDefault="002A4554" w:rsidP="002A45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int Bus=10</m:t>
                </m:r>
              </m:oMath>
            </m:oMathPara>
          </w:p>
          <w:p w14:paraId="20CD323E" w14:textId="6AAF4F3C" w:rsidR="002A4554" w:rsidRPr="002A4554" w:rsidRDefault="002A4554" w:rsidP="002A45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On use:Bus =Bus- 5</m:t>
                </m:r>
              </m:oMath>
            </m:oMathPara>
          </w:p>
        </w:tc>
      </w:tr>
      <w:tr w:rsidR="002A4554" w14:paraId="0314C3FC" w14:textId="77777777" w:rsidTr="00AA16C2">
        <w:trPr>
          <w:jc w:val="center"/>
        </w:trPr>
        <w:tc>
          <w:tcPr>
            <w:tcW w:w="4788" w:type="dxa"/>
          </w:tcPr>
          <w:p w14:paraId="477023DF" w14:textId="77777777" w:rsidR="002A4554" w:rsidRDefault="002A4554" w:rsidP="00AA16C2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88" w:type="dxa"/>
          </w:tcPr>
          <w:p w14:paraId="54F2FE7C" w14:textId="77777777" w:rsidR="002A4554" w:rsidRPr="002A4554" w:rsidRDefault="002A4554" w:rsidP="002A45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int Bus=10</m:t>
                </m:r>
              </m:oMath>
            </m:oMathPara>
          </w:p>
          <w:p w14:paraId="58B717B1" w14:textId="3C9E9EB8" w:rsidR="002A4554" w:rsidRPr="002A4554" w:rsidRDefault="002A4554" w:rsidP="002A45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On use:Bus =Bus- 5</m:t>
                </m:r>
              </m:oMath>
            </m:oMathPara>
          </w:p>
        </w:tc>
      </w:tr>
    </w:tbl>
    <w:p w14:paraId="155DED53" w14:textId="2C3BDAED" w:rsidR="002A4554" w:rsidRDefault="002A4554"/>
    <w:p w14:paraId="0F4A8706" w14:textId="0D9B9631" w:rsidR="002A4554" w:rsidRDefault="002A4554">
      <w:pPr>
        <w:rPr>
          <w:rFonts w:eastAsiaTheme="minorEastAsia"/>
        </w:rPr>
      </w:pPr>
      <w:r>
        <w:t xml:space="preserve">Now, developer </w:t>
      </w:r>
      <m:oMath>
        <m:r>
          <w:rPr>
            <w:rFonts w:ascii="Cambria Math" w:hAnsi="Cambria Math"/>
          </w:rPr>
          <m:t>Z</m:t>
        </m:r>
      </m:oMath>
      <w:r>
        <w:t xml:space="preserve"> gets the code, but does not know </w:t>
      </w:r>
      <w:r w:rsidR="002A627F">
        <w:t>to whom</w:t>
      </w:r>
      <w:r>
        <w:t xml:space="preserve"> the code </w:t>
      </w:r>
      <w:r w:rsidR="002A627F">
        <w:t>belongs.</w:t>
      </w:r>
      <w:r>
        <w:t xml:space="preserve"> </w:t>
      </w:r>
      <w:r w:rsidR="002A627F">
        <w:t>In that case</w:t>
      </w:r>
      <w:r>
        <w:t xml:space="preserve">, developer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cannot interpretate correctly this code since “Bus” can be interpretated to “Health” or “Mana”. Therefore, such an abstraction method has</w:t>
      </w:r>
      <w:r w:rsidR="002A627F">
        <w:rPr>
          <w:rFonts w:eastAsiaTheme="minorEastAsia"/>
        </w:rPr>
        <w:t xml:space="preserve"> an</w:t>
      </w:r>
      <w:r>
        <w:rPr>
          <w:rFonts w:eastAsiaTheme="minorEastAsia"/>
        </w:rPr>
        <w:t xml:space="preserve"> inherited limit, not to mention that if the interpretation of “Bus” is lost somewhere, then there is no way to recover the code meaning anymore.</w:t>
      </w:r>
    </w:p>
    <w:p w14:paraId="393698B0" w14:textId="7E8C6D47" w:rsidR="002A4554" w:rsidRDefault="002A45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CF6E023" w14:textId="6AD451E4" w:rsidR="002A4554" w:rsidRPr="00874AA3" w:rsidRDefault="002A4554" w:rsidP="002A4554">
      <w:pPr>
        <w:jc w:val="center"/>
        <w:rPr>
          <w:u w:val="single"/>
        </w:rPr>
      </w:pPr>
      <w:r>
        <w:rPr>
          <w:u w:val="single"/>
        </w:rPr>
        <w:lastRenderedPageBreak/>
        <w:t>My</w:t>
      </w:r>
      <w:r w:rsidRPr="00874AA3">
        <w:rPr>
          <w:u w:val="single"/>
        </w:rPr>
        <w:t xml:space="preserve"> method</w:t>
      </w:r>
    </w:p>
    <w:p w14:paraId="6C4938B9" w14:textId="1D8B4DC3" w:rsidR="002A4554" w:rsidRDefault="002A4554">
      <w:r>
        <w:t>Now I present the result of my method, without showing how it is created</w:t>
      </w:r>
      <w:r w:rsidR="002A627F">
        <w:t xml:space="preserve"> (shall</w:t>
      </w:r>
      <w:r>
        <w:t xml:space="preserve"> you </w:t>
      </w:r>
      <w:r w:rsidR="002A627F">
        <w:t>be</w:t>
      </w:r>
      <w:r>
        <w:t xml:space="preserve"> interested to see how to create it, contact me</w:t>
      </w:r>
      <w:r w:rsidR="002A627F">
        <w:t xml:space="preserve"> please)</w:t>
      </w:r>
      <w:r>
        <w:t>.</w:t>
      </w:r>
    </w:p>
    <w:p w14:paraId="4E5A0867" w14:textId="6688F9E9" w:rsidR="002A4554" w:rsidRDefault="002A4554">
      <w:r>
        <w:t xml:space="preserve">Using </w:t>
      </w:r>
      <w:r w:rsidR="002A627F">
        <w:t>this</w:t>
      </w:r>
      <w:r>
        <w:t xml:space="preserve"> method, we can both abstract and encrypt the words by using a one-to-one function which converts each word to a number.</w:t>
      </w:r>
    </w:p>
    <w:p w14:paraId="53CBA56C" w14:textId="48A14D17" w:rsidR="002A4554" w:rsidRDefault="002A4554">
      <w:r>
        <w:t>For example, we use the codes described previously and abstract the data “Mana” and “Health”, resulting in the following encrypted and abstracted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50"/>
        <w:gridCol w:w="4700"/>
      </w:tblGrid>
      <w:tr w:rsidR="002A4554" w14:paraId="2351027A" w14:textId="77777777" w:rsidTr="00AA16C2">
        <w:trPr>
          <w:jc w:val="center"/>
        </w:trPr>
        <w:tc>
          <w:tcPr>
            <w:tcW w:w="4788" w:type="dxa"/>
          </w:tcPr>
          <w:p w14:paraId="115D18C5" w14:textId="77777777" w:rsidR="002A4554" w:rsidRDefault="002A4554" w:rsidP="00AA16C2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788" w:type="dxa"/>
          </w:tcPr>
          <w:p w14:paraId="3B8BEAE6" w14:textId="00A4C084" w:rsidR="002A4554" w:rsidRPr="002A4554" w:rsidRDefault="002A4554" w:rsidP="00AA16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int 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1257603</m:t>
                </m:r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14:paraId="01BF4F47" w14:textId="33A0F5F5" w:rsidR="002A4554" w:rsidRPr="002A4554" w:rsidRDefault="002A4554" w:rsidP="00AA16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On use: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1257603</m:t>
                </m:r>
                <m:r>
                  <w:rPr>
                    <w:rFonts w:ascii="Cambria Math" w:hAnsi="Cambria Math"/>
                  </w:rPr>
                  <m:t xml:space="preserve"> =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1257603</m:t>
                </m:r>
                <m:r>
                  <w:rPr>
                    <w:rFonts w:ascii="Cambria Math" w:hAnsi="Cambria Math"/>
                  </w:rPr>
                  <m:t>- 5</m:t>
                </m:r>
              </m:oMath>
            </m:oMathPara>
          </w:p>
        </w:tc>
      </w:tr>
      <w:tr w:rsidR="002A4554" w14:paraId="00D8F218" w14:textId="77777777" w:rsidTr="00AA16C2">
        <w:trPr>
          <w:jc w:val="center"/>
        </w:trPr>
        <w:tc>
          <w:tcPr>
            <w:tcW w:w="4788" w:type="dxa"/>
          </w:tcPr>
          <w:p w14:paraId="75D8D830" w14:textId="77777777" w:rsidR="002A4554" w:rsidRDefault="002A4554" w:rsidP="00AA16C2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88" w:type="dxa"/>
          </w:tcPr>
          <w:p w14:paraId="1AEAA06D" w14:textId="6DB7347C" w:rsidR="002A4554" w:rsidRPr="002A4554" w:rsidRDefault="002A4554" w:rsidP="00AA16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int 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925224</m:t>
                </m:r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14:paraId="36193A28" w14:textId="04B94437" w:rsidR="002A4554" w:rsidRDefault="002A4554" w:rsidP="00AA16C2">
            <m:oMathPara>
              <m:oMath>
                <m:r>
                  <w:rPr>
                    <w:rFonts w:ascii="Cambria Math" w:hAnsi="Cambria Math"/>
                  </w:rPr>
                  <m:t>On use: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925224</m:t>
                </m:r>
                <m:r>
                  <w:rPr>
                    <w:rFonts w:ascii="Cambria Math" w:hAnsi="Cambria Math"/>
                  </w:rPr>
                  <m:t xml:space="preserve"> =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925224</m:t>
                </m:r>
                <m:r>
                  <w:rPr>
                    <w:rFonts w:ascii="Cambria Math" w:hAnsi="Cambria Math"/>
                  </w:rPr>
                  <m:t>- 5</m:t>
                </m:r>
              </m:oMath>
            </m:oMathPara>
          </w:p>
        </w:tc>
      </w:tr>
    </w:tbl>
    <w:p w14:paraId="6F174C4F" w14:textId="18DADFC9" w:rsidR="002A4554" w:rsidRDefault="002A4554"/>
    <w:p w14:paraId="15E67E03" w14:textId="1448357C" w:rsidR="00B17321" w:rsidRDefault="00B17321" w:rsidP="00B1732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represents “Integer” (since in most coding languages a variable must start with a letter).</w:t>
      </w:r>
    </w:p>
    <w:p w14:paraId="31388CAC" w14:textId="710EBA22" w:rsidR="00B17321" w:rsidRPr="00B17321" w:rsidRDefault="00296C77" w:rsidP="00B17321">
      <w:pPr>
        <w:rPr>
          <w:rFonts w:eastAsiaTheme="minorEastAsia"/>
        </w:rPr>
      </w:pPr>
      <w:r>
        <w:rPr>
          <w:rFonts w:eastAsiaTheme="minorEastAsia"/>
        </w:rPr>
        <w:t>As follows</w:t>
      </w:r>
      <w:r w:rsidR="005B66C9">
        <w:rPr>
          <w:rFonts w:eastAsiaTheme="minorEastAsia"/>
        </w:rPr>
        <w:t xml:space="preserve">, using the decryption method and reverse abstraction, we will always get the result back </w:t>
      </w:r>
      <w:r w:rsidR="00CE1889">
        <w:rPr>
          <w:rFonts w:eastAsiaTheme="minorEastAsia"/>
        </w:rPr>
        <w:t>“Mana” and “Health”.</w:t>
      </w:r>
    </w:p>
    <w:sectPr w:rsidR="00B17321" w:rsidRPr="00B1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54"/>
    <w:rsid w:val="001466E2"/>
    <w:rsid w:val="00296C77"/>
    <w:rsid w:val="002A4554"/>
    <w:rsid w:val="002A627F"/>
    <w:rsid w:val="00502B95"/>
    <w:rsid w:val="005B1922"/>
    <w:rsid w:val="005B66C9"/>
    <w:rsid w:val="006779FA"/>
    <w:rsid w:val="0086433F"/>
    <w:rsid w:val="00B17321"/>
    <w:rsid w:val="00B25506"/>
    <w:rsid w:val="00CC683A"/>
    <w:rsid w:val="00C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1F9D"/>
  <w15:chartTrackingRefBased/>
  <w15:docId w15:val="{6E01108F-1A64-4956-9539-BE54A62D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554"/>
    <w:rPr>
      <w:color w:val="808080"/>
    </w:rPr>
  </w:style>
  <w:style w:type="table" w:styleId="TableGrid">
    <w:name w:val="Table Grid"/>
    <w:basedOn w:val="TableNormal"/>
    <w:uiPriority w:val="59"/>
    <w:rsid w:val="002A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Liniarian Bolotin</dc:creator>
  <cp:keywords/>
  <dc:description/>
  <cp:lastModifiedBy>Liniarian Bolotin</cp:lastModifiedBy>
  <cp:revision>8</cp:revision>
  <dcterms:created xsi:type="dcterms:W3CDTF">2021-01-18T15:13:00Z</dcterms:created>
  <dcterms:modified xsi:type="dcterms:W3CDTF">2021-01-18T16:00:00Z</dcterms:modified>
</cp:coreProperties>
</file>