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D8FF" w14:textId="77777777" w:rsidR="000F26E2" w:rsidRPr="00E43366" w:rsidRDefault="000F26E2" w:rsidP="00B17F57">
      <w:pPr>
        <w:jc w:val="center"/>
        <w:rPr>
          <w:rFonts w:ascii="Tw Cen MT" w:hAnsi="Tw Cen MT"/>
          <w:color w:val="002060"/>
          <w:sz w:val="24"/>
          <w:szCs w:val="24"/>
        </w:rPr>
      </w:pPr>
      <w:r w:rsidRPr="00E43366">
        <w:rPr>
          <w:rFonts w:ascii="Tw Cen MT" w:hAnsi="Tw Cen MT"/>
          <w:color w:val="002060"/>
          <w:sz w:val="24"/>
          <w:szCs w:val="24"/>
        </w:rPr>
        <w:t xml:space="preserve">Analysis of Kickstarter </w:t>
      </w:r>
      <w:r w:rsidR="00AE4ED3" w:rsidRPr="00E43366">
        <w:rPr>
          <w:rFonts w:ascii="Tw Cen MT" w:hAnsi="Tw Cen MT"/>
          <w:color w:val="002060"/>
          <w:sz w:val="24"/>
          <w:szCs w:val="24"/>
        </w:rPr>
        <w:t>Campaigns</w:t>
      </w:r>
      <w:r w:rsidRPr="00E43366">
        <w:rPr>
          <w:rFonts w:ascii="Tw Cen MT" w:hAnsi="Tw Cen MT"/>
          <w:color w:val="002060"/>
          <w:sz w:val="24"/>
          <w:szCs w:val="24"/>
        </w:rPr>
        <w:t>, 2009-2017</w:t>
      </w:r>
    </w:p>
    <w:p w14:paraId="256E7DEA" w14:textId="77777777" w:rsidR="00AE4ED3" w:rsidRDefault="00AE4ED3" w:rsidP="00B17F57">
      <w:pPr>
        <w:jc w:val="center"/>
        <w:rPr>
          <w:rFonts w:ascii="Tw Cen MT" w:hAnsi="Tw Cen MT"/>
          <w:sz w:val="26"/>
          <w:szCs w:val="26"/>
        </w:rPr>
      </w:pPr>
      <w:r>
        <w:rPr>
          <w:noProof/>
        </w:rPr>
        <w:drawing>
          <wp:inline distT="0" distB="0" distL="0" distR="0" wp14:anchorId="7A62C984" wp14:editId="3AD9B9E6">
            <wp:extent cx="6126480" cy="3693795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937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AE1343B" w14:textId="77777777" w:rsidR="00A5270E" w:rsidRDefault="00A2378C" w:rsidP="00B12714">
      <w:pPr>
        <w:rPr>
          <w:rFonts w:ascii="Tw Cen MT" w:hAnsi="Tw Cen MT"/>
          <w:color w:val="002060"/>
          <w:sz w:val="24"/>
          <w:szCs w:val="24"/>
        </w:rPr>
      </w:pPr>
      <w:r>
        <w:rPr>
          <w:rFonts w:ascii="Tw Cen MT" w:hAnsi="Tw Cen MT"/>
          <w:color w:val="002060"/>
          <w:sz w:val="24"/>
          <w:szCs w:val="24"/>
        </w:rPr>
        <w:t>With roughly 4,000 records, t</w:t>
      </w:r>
      <w:r w:rsidR="00AE4ED3" w:rsidRPr="00AE4ED3">
        <w:rPr>
          <w:rFonts w:ascii="Tw Cen MT" w:hAnsi="Tw Cen MT"/>
          <w:color w:val="002060"/>
          <w:sz w:val="24"/>
          <w:szCs w:val="24"/>
        </w:rPr>
        <w:t xml:space="preserve">he dataset used for this analysis represents only about 1% of all Kickstarter campaigns </w:t>
      </w:r>
      <w:r w:rsidR="00AE4ED3">
        <w:rPr>
          <w:rFonts w:ascii="Tw Cen MT" w:hAnsi="Tw Cen MT"/>
          <w:color w:val="002060"/>
          <w:sz w:val="24"/>
          <w:szCs w:val="24"/>
        </w:rPr>
        <w:t>initiated to date.</w:t>
      </w:r>
      <w:r w:rsidR="00AE4ED3" w:rsidRPr="00AE4ED3">
        <w:rPr>
          <w:rFonts w:ascii="Tw Cen MT" w:hAnsi="Tw Cen MT"/>
          <w:color w:val="002060"/>
          <w:sz w:val="24"/>
          <w:szCs w:val="24"/>
        </w:rPr>
        <w:t xml:space="preserve"> Most (99%) </w:t>
      </w:r>
      <w:r w:rsidR="00AE4ED3">
        <w:rPr>
          <w:rFonts w:ascii="Tw Cen MT" w:hAnsi="Tw Cen MT"/>
          <w:color w:val="002060"/>
          <w:sz w:val="24"/>
          <w:szCs w:val="24"/>
        </w:rPr>
        <w:t xml:space="preserve">of the </w:t>
      </w:r>
      <w:r w:rsidR="00AE4ED3" w:rsidRPr="00AE4ED3">
        <w:rPr>
          <w:rFonts w:ascii="Tw Cen MT" w:hAnsi="Tw Cen MT"/>
          <w:color w:val="002060"/>
          <w:sz w:val="24"/>
          <w:szCs w:val="24"/>
        </w:rPr>
        <w:t xml:space="preserve">Kickstarter campaigns ever launched have been launched in the last 2.5 years, and that data is not included in this analysis. </w:t>
      </w:r>
    </w:p>
    <w:p w14:paraId="4C9D7414" w14:textId="77777777" w:rsidR="00841CDF" w:rsidRDefault="00B12714" w:rsidP="00841CDF">
      <w:pPr>
        <w:ind w:firstLine="720"/>
        <w:jc w:val="center"/>
        <w:rPr>
          <w:rFonts w:ascii="Tw Cen MT" w:hAnsi="Tw Cen MT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DBD8A97" wp14:editId="7B7A9B1E">
            <wp:extent cx="3401568" cy="307238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964" w14:textId="77777777" w:rsidR="00B12714" w:rsidRPr="00AE4ED3" w:rsidRDefault="00B12714" w:rsidP="00B12714">
      <w:pPr>
        <w:rPr>
          <w:rFonts w:ascii="Tw Cen MT" w:hAnsi="Tw Cen MT"/>
          <w:color w:val="002060"/>
          <w:sz w:val="24"/>
          <w:szCs w:val="24"/>
        </w:rPr>
      </w:pPr>
      <w:r>
        <w:rPr>
          <w:rFonts w:ascii="Tw Cen MT" w:hAnsi="Tw Cen MT"/>
          <w:color w:val="002060"/>
          <w:sz w:val="24"/>
          <w:szCs w:val="24"/>
        </w:rPr>
        <w:t>Relatively few Kickstarter projects featured in this dataset (about 9%) were canceled; about half were successful, and slightly more than one-third have failed. At the time of this analysis approximately 1% of campaigns initiated were ongoing and had no project outcome reported.</w:t>
      </w:r>
    </w:p>
    <w:p w14:paraId="3E243145" w14:textId="77777777" w:rsidR="00B17F57" w:rsidRDefault="000F26E2" w:rsidP="000F26E2">
      <w:pPr>
        <w:jc w:val="center"/>
        <w:rPr>
          <w:rFonts w:ascii="Tw Cen MT" w:hAnsi="Tw Cen MT"/>
        </w:rPr>
      </w:pPr>
      <w:r>
        <w:rPr>
          <w:noProof/>
        </w:rPr>
        <w:lastRenderedPageBreak/>
        <w:drawing>
          <wp:inline distT="0" distB="0" distL="0" distR="0" wp14:anchorId="299DCD0E" wp14:editId="25D04F01">
            <wp:extent cx="5943600" cy="32194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830C25" w14:textId="77777777" w:rsidR="00243DFE" w:rsidRDefault="00B12714" w:rsidP="00243DFE">
      <w:pPr>
        <w:rPr>
          <w:rFonts w:ascii="Tw Cen MT" w:hAnsi="Tw Cen MT"/>
          <w:color w:val="002060"/>
          <w:sz w:val="24"/>
          <w:szCs w:val="24"/>
        </w:rPr>
      </w:pPr>
      <w:r>
        <w:rPr>
          <w:rFonts w:ascii="Tw Cen MT" w:hAnsi="Tw Cen MT"/>
          <w:color w:val="002060"/>
          <w:sz w:val="24"/>
          <w:szCs w:val="24"/>
        </w:rPr>
        <w:t xml:space="preserve">Overall the </w:t>
      </w:r>
      <w:r w:rsidRPr="00D87A12">
        <w:rPr>
          <w:rFonts w:ascii="Tw Cen MT" w:hAnsi="Tw Cen MT"/>
          <w:i/>
          <w:color w:val="002060"/>
          <w:sz w:val="24"/>
          <w:szCs w:val="24"/>
        </w:rPr>
        <w:t>Music</w:t>
      </w:r>
      <w:r>
        <w:rPr>
          <w:rFonts w:ascii="Tw Cen MT" w:hAnsi="Tw Cen MT"/>
          <w:color w:val="002060"/>
          <w:sz w:val="24"/>
          <w:szCs w:val="24"/>
        </w:rPr>
        <w:t xml:space="preserve"> and </w:t>
      </w:r>
      <w:r w:rsidRPr="00D87A12">
        <w:rPr>
          <w:rFonts w:ascii="Tw Cen MT" w:hAnsi="Tw Cen MT"/>
          <w:i/>
          <w:color w:val="002060"/>
          <w:sz w:val="24"/>
          <w:szCs w:val="24"/>
        </w:rPr>
        <w:t>Theater</w:t>
      </w:r>
      <w:r>
        <w:rPr>
          <w:rFonts w:ascii="Tw Cen MT" w:hAnsi="Tw Cen MT"/>
          <w:color w:val="002060"/>
          <w:sz w:val="24"/>
          <w:szCs w:val="24"/>
        </w:rPr>
        <w:t xml:space="preserve"> categories have had the highest number of projects proposed. </w:t>
      </w:r>
      <w:r w:rsidRPr="00D87A12">
        <w:rPr>
          <w:rFonts w:ascii="Tw Cen MT" w:hAnsi="Tw Cen MT"/>
          <w:i/>
          <w:color w:val="002060"/>
          <w:sz w:val="24"/>
          <w:szCs w:val="24"/>
        </w:rPr>
        <w:t xml:space="preserve">Plays </w:t>
      </w:r>
      <w:r>
        <w:rPr>
          <w:rFonts w:ascii="Tw Cen MT" w:hAnsi="Tw Cen MT"/>
          <w:color w:val="002060"/>
          <w:sz w:val="24"/>
          <w:szCs w:val="24"/>
        </w:rPr>
        <w:t xml:space="preserve">is the sub-category with the greatest number of Kickstarter campaigns; it is also the sub-category with the highest raw number of successful projects. </w:t>
      </w:r>
      <w:r w:rsidRPr="00D87A12">
        <w:rPr>
          <w:rFonts w:ascii="Tw Cen MT" w:hAnsi="Tw Cen MT"/>
          <w:i/>
          <w:color w:val="002060"/>
          <w:sz w:val="24"/>
          <w:szCs w:val="24"/>
        </w:rPr>
        <w:t>Plays</w:t>
      </w:r>
      <w:r>
        <w:rPr>
          <w:rFonts w:ascii="Tw Cen MT" w:hAnsi="Tw Cen MT"/>
          <w:color w:val="002060"/>
          <w:sz w:val="24"/>
          <w:szCs w:val="24"/>
        </w:rPr>
        <w:t xml:space="preserve"> have accounted for more than 25% of all Kickstarter campaigns between May 2009 and March 2017.</w:t>
      </w:r>
    </w:p>
    <w:p w14:paraId="7775A661" w14:textId="77777777" w:rsidR="00243DFE" w:rsidRDefault="00243DFE" w:rsidP="00243DFE">
      <w:pPr>
        <w:jc w:val="center"/>
        <w:rPr>
          <w:rFonts w:ascii="Tw Cen MT" w:hAnsi="Tw Cen MT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373A6B0" wp14:editId="46CE9929">
            <wp:extent cx="5783580" cy="4610100"/>
            <wp:effectExtent l="0" t="0" r="762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7CC741" w14:textId="77777777" w:rsidR="00450D92" w:rsidRDefault="00A6412E" w:rsidP="00243DFE">
      <w:pPr>
        <w:jc w:val="center"/>
        <w:rPr>
          <w:rFonts w:ascii="Tw Cen MT" w:hAnsi="Tw Cen MT"/>
          <w:color w:val="002060"/>
          <w:sz w:val="24"/>
          <w:szCs w:val="24"/>
        </w:rPr>
      </w:pPr>
      <w:r>
        <w:rPr>
          <w:rFonts w:ascii="Tw Cen MT" w:hAnsi="Tw Cen MT"/>
          <w:color w:val="002060"/>
          <w:sz w:val="24"/>
          <w:szCs w:val="24"/>
        </w:rPr>
        <w:lastRenderedPageBreak/>
        <w:t>Growth &amp; Outcomes over Time</w:t>
      </w:r>
    </w:p>
    <w:p w14:paraId="08F4F7BC" w14:textId="77777777" w:rsidR="000F26E2" w:rsidRDefault="00B17F57" w:rsidP="000F26E2">
      <w:pPr>
        <w:jc w:val="center"/>
        <w:rPr>
          <w:rFonts w:ascii="Tw Cen MT" w:hAnsi="Tw Cen MT"/>
        </w:rPr>
      </w:pPr>
      <w:r>
        <w:rPr>
          <w:noProof/>
        </w:rPr>
        <w:drawing>
          <wp:inline distT="0" distB="0" distL="0" distR="0" wp14:anchorId="7ED690F5" wp14:editId="088409C2">
            <wp:extent cx="5943600" cy="346837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D0A929" w14:textId="77777777" w:rsidR="0023415F" w:rsidRPr="00C006AC" w:rsidRDefault="00C006AC" w:rsidP="00C006AC">
      <w:pPr>
        <w:rPr>
          <w:rFonts w:ascii="Tw Cen MT" w:hAnsi="Tw Cen MT"/>
          <w:color w:val="1F3864" w:themeColor="accent5" w:themeShade="80"/>
        </w:rPr>
      </w:pPr>
      <w:r w:rsidRPr="00C006AC">
        <w:rPr>
          <w:rFonts w:ascii="Tw Cen MT" w:hAnsi="Tw Cen MT"/>
          <w:color w:val="1F3864" w:themeColor="accent5" w:themeShade="80"/>
        </w:rPr>
        <w:t>Successful campaigns have outnumbered failed campaigns ove</w:t>
      </w:r>
      <w:r>
        <w:rPr>
          <w:rFonts w:ascii="Tw Cen MT" w:hAnsi="Tw Cen MT"/>
          <w:color w:val="1F3864" w:themeColor="accent5" w:themeShade="80"/>
        </w:rPr>
        <w:t xml:space="preserve">r the 8-year period of analysis; however, by 2017 the gap is </w:t>
      </w:r>
      <w:r w:rsidR="009E36D7">
        <w:rPr>
          <w:rFonts w:ascii="Tw Cen MT" w:hAnsi="Tw Cen MT"/>
          <w:color w:val="1F3864" w:themeColor="accent5" w:themeShade="80"/>
        </w:rPr>
        <w:t xml:space="preserve">nearly </w:t>
      </w:r>
      <w:r>
        <w:rPr>
          <w:rFonts w:ascii="Tw Cen MT" w:hAnsi="Tw Cen MT"/>
          <w:color w:val="1F3864" w:themeColor="accent5" w:themeShade="80"/>
        </w:rPr>
        <w:t>clos</w:t>
      </w:r>
      <w:r w:rsidR="009E36D7">
        <w:rPr>
          <w:rFonts w:ascii="Tw Cen MT" w:hAnsi="Tw Cen MT"/>
          <w:color w:val="1F3864" w:themeColor="accent5" w:themeShade="80"/>
        </w:rPr>
        <w:t>ed</w:t>
      </w:r>
      <w:r>
        <w:rPr>
          <w:rFonts w:ascii="Tw Cen MT" w:hAnsi="Tw Cen MT"/>
          <w:color w:val="1F3864" w:themeColor="accent5" w:themeShade="80"/>
        </w:rPr>
        <w:t>.</w:t>
      </w:r>
    </w:p>
    <w:p w14:paraId="37F656C6" w14:textId="77777777" w:rsidR="0023415F" w:rsidRDefault="0023415F" w:rsidP="000F26E2">
      <w:pPr>
        <w:jc w:val="center"/>
        <w:rPr>
          <w:rFonts w:ascii="Tw Cen MT" w:hAnsi="Tw Cen MT"/>
        </w:rPr>
      </w:pPr>
    </w:p>
    <w:p w14:paraId="006BAB59" w14:textId="77777777" w:rsidR="003B582A" w:rsidRPr="00C006AC" w:rsidRDefault="00A6412E" w:rsidP="000F26E2">
      <w:pPr>
        <w:jc w:val="center"/>
        <w:rPr>
          <w:rFonts w:ascii="Tw Cen MT" w:hAnsi="Tw Cen MT"/>
          <w:color w:val="1F3864" w:themeColor="accent5" w:themeShade="80"/>
        </w:rPr>
      </w:pPr>
      <w:r w:rsidRPr="00C006AC">
        <w:rPr>
          <w:rFonts w:ascii="Tw Cen MT" w:hAnsi="Tw Cen MT"/>
          <w:color w:val="1F3864" w:themeColor="accent5" w:themeShade="80"/>
        </w:rPr>
        <w:t xml:space="preserve">Successful projects need backers, especially </w:t>
      </w:r>
      <w:r w:rsidRPr="00C006AC">
        <w:rPr>
          <w:rFonts w:ascii="Tw Cen MT" w:hAnsi="Tw Cen MT"/>
          <w:i/>
          <w:color w:val="1F3864" w:themeColor="accent5" w:themeShade="80"/>
        </w:rPr>
        <w:t>Technology</w:t>
      </w:r>
      <w:r w:rsidRPr="00C006AC">
        <w:rPr>
          <w:rFonts w:ascii="Tw Cen MT" w:hAnsi="Tw Cen MT"/>
          <w:color w:val="1F3864" w:themeColor="accent5" w:themeShade="80"/>
        </w:rPr>
        <w:t xml:space="preserve"> projects.</w:t>
      </w:r>
    </w:p>
    <w:p w14:paraId="3D991866" w14:textId="77777777" w:rsidR="00450D92" w:rsidRDefault="00450D92" w:rsidP="000F26E2">
      <w:pPr>
        <w:jc w:val="center"/>
        <w:rPr>
          <w:rFonts w:ascii="Tw Cen MT" w:hAnsi="Tw Cen MT"/>
        </w:rPr>
      </w:pPr>
      <w:r>
        <w:rPr>
          <w:noProof/>
        </w:rPr>
        <w:drawing>
          <wp:inline distT="0" distB="0" distL="0" distR="0" wp14:anchorId="4C77099A" wp14:editId="0DB846A5">
            <wp:extent cx="5463540" cy="3322320"/>
            <wp:effectExtent l="0" t="0" r="3810" b="1143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49DB32" w14:textId="77777777" w:rsidR="00450D92" w:rsidRDefault="00450D92" w:rsidP="000F26E2">
      <w:pPr>
        <w:jc w:val="center"/>
        <w:rPr>
          <w:rFonts w:ascii="Tw Cen MT" w:hAnsi="Tw Cen MT"/>
        </w:rPr>
      </w:pPr>
    </w:p>
    <w:p w14:paraId="6D6ADFCF" w14:textId="77777777" w:rsidR="00A6412E" w:rsidRDefault="00A6412E" w:rsidP="000F26E2">
      <w:pPr>
        <w:jc w:val="center"/>
        <w:rPr>
          <w:rFonts w:ascii="Tw Cen MT" w:hAnsi="Tw Cen MT"/>
        </w:rPr>
      </w:pPr>
    </w:p>
    <w:p w14:paraId="3818EF74" w14:textId="77777777" w:rsidR="003B582A" w:rsidRPr="00A6412E" w:rsidRDefault="00A6412E" w:rsidP="000F26E2">
      <w:pPr>
        <w:jc w:val="center"/>
        <w:rPr>
          <w:rFonts w:ascii="Tw Cen MT" w:hAnsi="Tw Cen MT"/>
          <w:color w:val="002060"/>
        </w:rPr>
      </w:pPr>
      <w:r w:rsidRPr="00A6412E">
        <w:rPr>
          <w:rFonts w:ascii="Tw Cen MT" w:hAnsi="Tw Cen MT"/>
          <w:color w:val="002060"/>
        </w:rPr>
        <w:lastRenderedPageBreak/>
        <w:t>Campaigns with relat</w:t>
      </w:r>
      <w:r w:rsidR="00412BAB">
        <w:rPr>
          <w:rFonts w:ascii="Tw Cen MT" w:hAnsi="Tw Cen MT"/>
          <w:color w:val="002060"/>
        </w:rPr>
        <w:t>ively low initial funding goals—</w:t>
      </w:r>
      <w:r w:rsidRPr="00A6412E">
        <w:rPr>
          <w:rFonts w:ascii="Tw Cen MT" w:hAnsi="Tw Cen MT"/>
          <w:color w:val="002060"/>
        </w:rPr>
        <w:t>$5,000 or less—</w:t>
      </w:r>
      <w:r>
        <w:rPr>
          <w:rFonts w:ascii="Tw Cen MT" w:hAnsi="Tw Cen MT"/>
          <w:color w:val="002060"/>
        </w:rPr>
        <w:t>were</w:t>
      </w:r>
      <w:r w:rsidRPr="00A6412E">
        <w:rPr>
          <w:rFonts w:ascii="Tw Cen MT" w:hAnsi="Tw Cen MT"/>
          <w:color w:val="002060"/>
        </w:rPr>
        <w:t xml:space="preserve"> mo</w:t>
      </w:r>
      <w:r>
        <w:rPr>
          <w:rFonts w:ascii="Tw Cen MT" w:hAnsi="Tw Cen MT"/>
          <w:color w:val="002060"/>
        </w:rPr>
        <w:t>st</w:t>
      </w:r>
      <w:r w:rsidRPr="00A6412E">
        <w:rPr>
          <w:rFonts w:ascii="Tw Cen MT" w:hAnsi="Tw Cen MT"/>
          <w:color w:val="002060"/>
        </w:rPr>
        <w:t xml:space="preserve"> likely to be successful.</w:t>
      </w:r>
    </w:p>
    <w:p w14:paraId="2FA6F44E" w14:textId="77777777" w:rsidR="00B17F57" w:rsidRDefault="00B17F57" w:rsidP="000F26E2">
      <w:pPr>
        <w:jc w:val="center"/>
        <w:rPr>
          <w:rFonts w:ascii="Tw Cen MT" w:hAnsi="Tw Cen MT"/>
        </w:rPr>
      </w:pPr>
      <w:r>
        <w:rPr>
          <w:noProof/>
        </w:rPr>
        <w:drawing>
          <wp:inline distT="0" distB="0" distL="0" distR="0" wp14:anchorId="717AD86B" wp14:editId="10CD6EB8">
            <wp:extent cx="6126480" cy="4413250"/>
            <wp:effectExtent l="0" t="0" r="762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F732E6" w14:textId="77777777" w:rsidR="00857B5A" w:rsidRDefault="00857B5A" w:rsidP="000F26E2">
      <w:pPr>
        <w:jc w:val="center"/>
        <w:rPr>
          <w:rFonts w:ascii="Tw Cen MT" w:hAnsi="Tw Cen MT"/>
        </w:rPr>
      </w:pPr>
    </w:p>
    <w:p w14:paraId="50685DDF" w14:textId="77777777" w:rsidR="00450D92" w:rsidRDefault="00450D92" w:rsidP="000F26E2">
      <w:pPr>
        <w:jc w:val="center"/>
        <w:rPr>
          <w:rFonts w:ascii="Tw Cen MT" w:hAnsi="Tw Cen MT"/>
        </w:rPr>
      </w:pPr>
    </w:p>
    <w:p w14:paraId="4EE61651" w14:textId="77777777" w:rsidR="00450D92" w:rsidRDefault="00450D92" w:rsidP="000F26E2">
      <w:pPr>
        <w:jc w:val="center"/>
        <w:rPr>
          <w:rFonts w:ascii="Tw Cen MT" w:hAnsi="Tw Cen MT"/>
        </w:rPr>
      </w:pPr>
      <w:r w:rsidRPr="002D37AA">
        <w:rPr>
          <w:noProof/>
        </w:rPr>
        <w:drawing>
          <wp:inline distT="0" distB="0" distL="0" distR="0" wp14:anchorId="341D4769" wp14:editId="62495452">
            <wp:extent cx="6126480" cy="2362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0740" w14:textId="77777777" w:rsidR="005933F0" w:rsidRDefault="005933F0" w:rsidP="000F26E2">
      <w:pPr>
        <w:jc w:val="center"/>
        <w:rPr>
          <w:rFonts w:ascii="Tw Cen MT" w:hAnsi="Tw Cen MT"/>
        </w:rPr>
      </w:pPr>
    </w:p>
    <w:p w14:paraId="656A1CAE" w14:textId="77777777" w:rsidR="00B17F57" w:rsidRDefault="00B17F57" w:rsidP="000F26E2">
      <w:pPr>
        <w:jc w:val="center"/>
        <w:rPr>
          <w:rFonts w:ascii="Tw Cen MT" w:hAnsi="Tw Cen MT"/>
        </w:rPr>
      </w:pPr>
    </w:p>
    <w:p w14:paraId="32DB37EC" w14:textId="77777777" w:rsidR="002D37AA" w:rsidRDefault="00B17F57" w:rsidP="0023415F">
      <w:pPr>
        <w:jc w:val="center"/>
        <w:rPr>
          <w:rFonts w:ascii="Tw Cen MT" w:hAnsi="Tw Cen MT"/>
        </w:rPr>
      </w:pPr>
      <w:r>
        <w:rPr>
          <w:noProof/>
        </w:rPr>
        <w:lastRenderedPageBreak/>
        <w:drawing>
          <wp:inline distT="0" distB="0" distL="0" distR="0" wp14:anchorId="3234AB13" wp14:editId="2993D736">
            <wp:extent cx="6126480" cy="3533140"/>
            <wp:effectExtent l="0" t="0" r="762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FD241D" w14:textId="77777777" w:rsidR="00450D92" w:rsidRDefault="00450D92" w:rsidP="0023415F">
      <w:pPr>
        <w:jc w:val="center"/>
        <w:rPr>
          <w:rFonts w:ascii="Tw Cen MT" w:hAnsi="Tw Cen MT"/>
        </w:rPr>
      </w:pPr>
    </w:p>
    <w:p w14:paraId="705F3C08" w14:textId="77777777" w:rsidR="00075089" w:rsidRDefault="00075089" w:rsidP="0023415F">
      <w:pPr>
        <w:jc w:val="center"/>
        <w:rPr>
          <w:rFonts w:ascii="Tw Cen MT" w:hAnsi="Tw Cen MT"/>
          <w:color w:val="1F3864" w:themeColor="accent5" w:themeShade="80"/>
        </w:rPr>
      </w:pPr>
    </w:p>
    <w:p w14:paraId="108EF466" w14:textId="77777777" w:rsidR="0073694D" w:rsidRDefault="0073694D" w:rsidP="0023415F">
      <w:pPr>
        <w:jc w:val="center"/>
        <w:rPr>
          <w:rFonts w:ascii="Tw Cen MT" w:hAnsi="Tw Cen MT"/>
          <w:color w:val="1F3864" w:themeColor="accent5" w:themeShade="80"/>
        </w:rPr>
      </w:pPr>
    </w:p>
    <w:p w14:paraId="57429956" w14:textId="77777777" w:rsidR="00857B5A" w:rsidRPr="00075089" w:rsidRDefault="00857B5A" w:rsidP="0023415F">
      <w:pPr>
        <w:jc w:val="center"/>
        <w:rPr>
          <w:rFonts w:ascii="Tw Cen MT" w:hAnsi="Tw Cen MT"/>
          <w:color w:val="1F3864" w:themeColor="accent5" w:themeShade="80"/>
        </w:rPr>
      </w:pPr>
      <w:r w:rsidRPr="00075089">
        <w:rPr>
          <w:rFonts w:ascii="Tw Cen MT" w:hAnsi="Tw Cen MT"/>
          <w:color w:val="1F3864" w:themeColor="accent5" w:themeShade="80"/>
        </w:rPr>
        <w:t>How many projects received funding above their goal?</w:t>
      </w:r>
    </w:p>
    <w:p w14:paraId="31015F7F" w14:textId="77777777" w:rsidR="00353F08" w:rsidRDefault="00353F08" w:rsidP="0023415F">
      <w:pPr>
        <w:jc w:val="center"/>
        <w:rPr>
          <w:rFonts w:ascii="Tw Cen MT" w:hAnsi="Tw Cen MT"/>
        </w:rPr>
      </w:pPr>
      <w:r>
        <w:rPr>
          <w:noProof/>
        </w:rPr>
        <w:drawing>
          <wp:inline distT="0" distB="0" distL="0" distR="0" wp14:anchorId="27B40E42" wp14:editId="4193B31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B94A27" w14:textId="77777777" w:rsidR="00353F08" w:rsidRDefault="00353F08" w:rsidP="0023415F">
      <w:pPr>
        <w:jc w:val="center"/>
        <w:rPr>
          <w:rFonts w:ascii="Tw Cen MT" w:hAnsi="Tw Cen MT"/>
        </w:rPr>
      </w:pPr>
    </w:p>
    <w:p w14:paraId="0B5E8ACB" w14:textId="77777777" w:rsidR="00075089" w:rsidRDefault="00075089" w:rsidP="0023415F">
      <w:pPr>
        <w:jc w:val="center"/>
        <w:rPr>
          <w:rFonts w:ascii="Tw Cen MT" w:hAnsi="Tw Cen MT"/>
        </w:rPr>
      </w:pPr>
    </w:p>
    <w:p w14:paraId="44FF524E" w14:textId="77777777" w:rsidR="00075089" w:rsidRDefault="00075089" w:rsidP="0023415F">
      <w:pPr>
        <w:jc w:val="center"/>
        <w:rPr>
          <w:rFonts w:ascii="Tw Cen MT" w:hAnsi="Tw Cen MT"/>
        </w:rPr>
      </w:pPr>
    </w:p>
    <w:p w14:paraId="12055BE5" w14:textId="77777777" w:rsidR="00075089" w:rsidRDefault="00075089" w:rsidP="0023415F">
      <w:pPr>
        <w:jc w:val="center"/>
        <w:rPr>
          <w:rFonts w:ascii="Tw Cen MT" w:hAnsi="Tw Cen MT"/>
        </w:rPr>
      </w:pPr>
    </w:p>
    <w:p w14:paraId="72A326B2" w14:textId="77777777" w:rsidR="00353F08" w:rsidRDefault="00353F08" w:rsidP="00075089">
      <w:pPr>
        <w:jc w:val="center"/>
        <w:rPr>
          <w:rFonts w:ascii="Tw Cen MT" w:hAnsi="Tw Cen MT"/>
        </w:rPr>
      </w:pPr>
      <w:r>
        <w:rPr>
          <w:noProof/>
        </w:rPr>
        <w:lastRenderedPageBreak/>
        <w:drawing>
          <wp:inline distT="0" distB="0" distL="0" distR="0" wp14:anchorId="5A49A31D" wp14:editId="560366C0">
            <wp:extent cx="6053666" cy="4226984"/>
            <wp:effectExtent l="0" t="0" r="4445" b="25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1077F1" w14:textId="77777777" w:rsidR="00353F08" w:rsidRDefault="00353F08" w:rsidP="0023415F">
      <w:pPr>
        <w:jc w:val="center"/>
        <w:rPr>
          <w:rFonts w:ascii="Tw Cen MT" w:hAnsi="Tw Cen MT"/>
        </w:rPr>
      </w:pPr>
    </w:p>
    <w:p w14:paraId="2AD64D5E" w14:textId="77777777" w:rsidR="00857B5A" w:rsidRPr="000F26E2" w:rsidRDefault="00075089" w:rsidP="0023415F">
      <w:pPr>
        <w:jc w:val="center"/>
        <w:rPr>
          <w:rFonts w:ascii="Tw Cen MT" w:hAnsi="Tw Cen MT"/>
        </w:rPr>
      </w:pPr>
      <w:r>
        <w:rPr>
          <w:noProof/>
        </w:rPr>
        <w:drawing>
          <wp:inline distT="0" distB="0" distL="0" distR="0" wp14:anchorId="5B89BE12" wp14:editId="4E4DAF13">
            <wp:extent cx="6053455" cy="4035848"/>
            <wp:effectExtent l="0" t="0" r="4445" b="31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857B5A" w:rsidRPr="000F26E2" w:rsidSect="00243DFE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E2"/>
    <w:rsid w:val="00075089"/>
    <w:rsid w:val="000F26E2"/>
    <w:rsid w:val="001E6CD9"/>
    <w:rsid w:val="0023415F"/>
    <w:rsid w:val="00243DFE"/>
    <w:rsid w:val="00291405"/>
    <w:rsid w:val="002C4E1F"/>
    <w:rsid w:val="002C5161"/>
    <w:rsid w:val="002D37AA"/>
    <w:rsid w:val="00353F08"/>
    <w:rsid w:val="003B582A"/>
    <w:rsid w:val="00412BAB"/>
    <w:rsid w:val="00441D31"/>
    <w:rsid w:val="00450D92"/>
    <w:rsid w:val="005933F0"/>
    <w:rsid w:val="005C1AA8"/>
    <w:rsid w:val="00684375"/>
    <w:rsid w:val="0073694D"/>
    <w:rsid w:val="007D701B"/>
    <w:rsid w:val="00841CDF"/>
    <w:rsid w:val="00857B5A"/>
    <w:rsid w:val="009E36D7"/>
    <w:rsid w:val="00A2378C"/>
    <w:rsid w:val="00A5270E"/>
    <w:rsid w:val="00A6412E"/>
    <w:rsid w:val="00AE4ED3"/>
    <w:rsid w:val="00B12714"/>
    <w:rsid w:val="00B17F57"/>
    <w:rsid w:val="00B27B7D"/>
    <w:rsid w:val="00BA0E58"/>
    <w:rsid w:val="00C006AC"/>
    <w:rsid w:val="00C83654"/>
    <w:rsid w:val="00D87A12"/>
    <w:rsid w:val="00E43366"/>
    <w:rsid w:val="00E97BE8"/>
    <w:rsid w:val="00EA3BA0"/>
    <w:rsid w:val="00F84090"/>
    <w:rsid w:val="00FA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B250"/>
  <w15:chartTrackingRefBased/>
  <w15:docId w15:val="{177B851A-7725-483B-94CB-B294A2F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7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emf"/><Relationship Id="rId5" Type="http://schemas.openxmlformats.org/officeDocument/2006/relationships/image" Target="media/image2.png"/><Relationship Id="rId15" Type="http://schemas.openxmlformats.org/officeDocument/2006/relationships/chart" Target="charts/chart9.xml"/><Relationship Id="rId10" Type="http://schemas.openxmlformats.org/officeDocument/2006/relationships/chart" Target="charts/chart5.xml"/><Relationship Id="rId4" Type="http://schemas.openxmlformats.org/officeDocument/2006/relationships/image" Target="media/image1.png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ar1ang\Desktop\excel-challeng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[excel-challenge.xlsx]ProjectStatusByCategory!PivotTable3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>
                <a:latin typeface="Tw Cen MT" panose="020B0602020104020603" pitchFamily="34" charset="0"/>
              </a:rPr>
              <a:t>Project Status</a:t>
            </a:r>
            <a:r>
              <a:rPr lang="en-US" sz="1200" baseline="0">
                <a:latin typeface="Tw Cen MT" panose="020B0602020104020603" pitchFamily="34" charset="0"/>
              </a:rPr>
              <a:t>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245406824146982"/>
          <c:y val="0.10293323090711222"/>
          <c:w val="0.74584443771451647"/>
          <c:h val="0.5121954064685003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ProjectStatusByCategory!$B$3:$B$4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ProjectStatusByCategory!$A$5:$A$14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ProjectStatusByCategory!$B$5:$B$14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37</c:v>
                </c:pt>
                <c:pt idx="2">
                  <c:v>175</c:v>
                </c:pt>
                <c:pt idx="3">
                  <c:v>30</c:v>
                </c:pt>
                <c:pt idx="4">
                  <c:v>21</c:v>
                </c:pt>
                <c:pt idx="5">
                  <c:v>23</c:v>
                </c:pt>
                <c:pt idx="6">
                  <c:v>1</c:v>
                </c:pt>
                <c:pt idx="7">
                  <c:v>21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1D-4F36-A547-946D6E81CC5F}"/>
            </c:ext>
          </c:extLst>
        </c:ser>
        <c:ser>
          <c:idx val="1"/>
          <c:order val="1"/>
          <c:tx>
            <c:strRef>
              <c:f>ProjectStatusByCategory!$C$3:$C$4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ProjectStatusByCategory!$A$5:$A$14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ProjectStatusByCategory!$C$5:$C$14</c:f>
              <c:numCache>
                <c:formatCode>General</c:formatCode>
                <c:ptCount val="9"/>
                <c:pt idx="0">
                  <c:v>179</c:v>
                </c:pt>
                <c:pt idx="1">
                  <c:v>495</c:v>
                </c:pt>
                <c:pt idx="2">
                  <c:v>213</c:v>
                </c:pt>
                <c:pt idx="3">
                  <c:v>126</c:v>
                </c:pt>
                <c:pt idx="4">
                  <c:v>125</c:v>
                </c:pt>
                <c:pt idx="6">
                  <c:v>137</c:v>
                </c:pt>
                <c:pt idx="7">
                  <c:v>138</c:v>
                </c:pt>
                <c:pt idx="8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1D-4F36-A547-946D6E81CC5F}"/>
            </c:ext>
          </c:extLst>
        </c:ser>
        <c:ser>
          <c:idx val="2"/>
          <c:order val="2"/>
          <c:tx>
            <c:strRef>
              <c:f>ProjectStatusByCategory!$D$3:$D$4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ProjectStatusByCategory!$A$5:$A$14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ProjectStatusByCategory!$D$5:$D$14</c:f>
              <c:numCache>
                <c:formatCode>General</c:formatCode>
                <c:ptCount val="9"/>
                <c:pt idx="1">
                  <c:v>24</c:v>
                </c:pt>
                <c:pt idx="4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1D-4F36-A547-946D6E81CC5F}"/>
            </c:ext>
          </c:extLst>
        </c:ser>
        <c:ser>
          <c:idx val="3"/>
          <c:order val="3"/>
          <c:tx>
            <c:strRef>
              <c:f>ProjectStatusByCategory!$E$3:$E$4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ProjectStatusByCategory!$A$5:$A$14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ProjectStatusByCategory!$E$5:$E$14</c:f>
              <c:numCache>
                <c:formatCode>General</c:formatCode>
                <c:ptCount val="9"/>
                <c:pt idx="0">
                  <c:v>301</c:v>
                </c:pt>
                <c:pt idx="1">
                  <c:v>837</c:v>
                </c:pt>
                <c:pt idx="2">
                  <c:v>212</c:v>
                </c:pt>
                <c:pt idx="3">
                  <c:v>81</c:v>
                </c:pt>
                <c:pt idx="4">
                  <c:v>534</c:v>
                </c:pt>
                <c:pt idx="5">
                  <c:v>1</c:v>
                </c:pt>
                <c:pt idx="6">
                  <c:v>82</c:v>
                </c:pt>
                <c:pt idx="7">
                  <c:v>35</c:v>
                </c:pt>
                <c:pt idx="8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1D-4F36-A547-946D6E81C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6130992"/>
        <c:axId val="446131776"/>
      </c:barChart>
      <c:catAx>
        <c:axId val="44613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Project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31776"/>
        <c:crosses val="autoZero"/>
        <c:auto val="1"/>
        <c:lblAlgn val="ctr"/>
        <c:lblOffset val="100"/>
        <c:noMultiLvlLbl val="0"/>
      </c:catAx>
      <c:valAx>
        <c:axId val="4461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Count</a:t>
                </a:r>
                <a:r>
                  <a:rPr lang="en-US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 of Projects</a:t>
                </a:r>
                <a:endParaRPr lang="en-US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3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[excel-challenge.xlsx]Sheet11!PivotTable8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w Cen MT" panose="020B0602020104020603" pitchFamily="34" charset="0"/>
                <a:ea typeface="+mn-ea"/>
                <a:cs typeface="+mn-cs"/>
              </a:defRPr>
            </a:pPr>
            <a:r>
              <a:rPr lang="en-US" sz="1300">
                <a:solidFill>
                  <a:schemeClr val="accent1">
                    <a:lumMod val="40000"/>
                    <a:lumOff val="60000"/>
                  </a:schemeClr>
                </a:solidFill>
              </a:rPr>
              <a:t>Music &amp; Theater Sub-Categories</a:t>
            </a:r>
          </a:p>
        </c:rich>
      </c:tx>
      <c:layout>
        <c:manualLayout>
          <c:xMode val="edge"/>
          <c:yMode val="edge"/>
          <c:x val="0.25862925731121555"/>
          <c:y val="5.74588403722261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solidFill>
              <a:srgbClr val="00B0F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solidFill>
              <a:srgbClr val="00B0F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solidFill>
              <a:srgbClr val="00B0F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864750038008458"/>
          <c:y val="4.4446782514254685E-2"/>
          <c:w val="0.82646705806232124"/>
          <c:h val="0.719909049034433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rgbClr val="00B0F0"/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Sheet11!$A$4:$A$18</c:f>
              <c:multiLvlStrCache>
                <c:ptCount val="12"/>
                <c:lvl>
                  <c:pt idx="0">
                    <c:v>Classical Music</c:v>
                  </c:pt>
                  <c:pt idx="1">
                    <c:v>Electronic Music</c:v>
                  </c:pt>
                  <c:pt idx="2">
                    <c:v>Faith</c:v>
                  </c:pt>
                  <c:pt idx="3">
                    <c:v>Indie Rock</c:v>
                  </c:pt>
                  <c:pt idx="4">
                    <c:v>Jazz</c:v>
                  </c:pt>
                  <c:pt idx="5">
                    <c:v>Metal</c:v>
                  </c:pt>
                  <c:pt idx="6">
                    <c:v>Pop</c:v>
                  </c:pt>
                  <c:pt idx="7">
                    <c:v>Rock</c:v>
                  </c:pt>
                  <c:pt idx="8">
                    <c:v>World Music</c:v>
                  </c:pt>
                  <c:pt idx="9">
                    <c:v>Musical</c:v>
                  </c:pt>
                  <c:pt idx="10">
                    <c:v>Plays</c:v>
                  </c:pt>
                  <c:pt idx="11">
                    <c:v>Spaces</c:v>
                  </c:pt>
                </c:lvl>
                <c:lvl>
                  <c:pt idx="0">
                    <c:v>Music</c:v>
                  </c:pt>
                  <c:pt idx="9">
                    <c:v>Theater</c:v>
                  </c:pt>
                </c:lvl>
              </c:multiLvlStrCache>
            </c:multiLvlStrRef>
          </c:cat>
          <c:val>
            <c:numRef>
              <c:f>Sheet11!$B$4:$B$18</c:f>
              <c:numCache>
                <c:formatCode>General</c:formatCode>
                <c:ptCount val="12"/>
                <c:pt idx="0">
                  <c:v>40</c:v>
                </c:pt>
                <c:pt idx="1">
                  <c:v>40</c:v>
                </c:pt>
                <c:pt idx="2">
                  <c:v>60</c:v>
                </c:pt>
                <c:pt idx="3">
                  <c:v>160</c:v>
                </c:pt>
                <c:pt idx="4">
                  <c:v>60</c:v>
                </c:pt>
                <c:pt idx="5">
                  <c:v>20</c:v>
                </c:pt>
                <c:pt idx="6">
                  <c:v>40</c:v>
                </c:pt>
                <c:pt idx="7">
                  <c:v>260</c:v>
                </c:pt>
                <c:pt idx="8">
                  <c:v>20</c:v>
                </c:pt>
                <c:pt idx="9">
                  <c:v>140</c:v>
                </c:pt>
                <c:pt idx="10">
                  <c:v>1066</c:v>
                </c:pt>
                <c:pt idx="11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D3-47EA-A8F7-93AE236D883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3"/>
        <c:axId val="446129424"/>
        <c:axId val="446130208"/>
      </c:barChart>
      <c:catAx>
        <c:axId val="44612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30208"/>
        <c:crosses val="autoZero"/>
        <c:auto val="1"/>
        <c:lblAlgn val="ctr"/>
        <c:lblOffset val="100"/>
        <c:noMultiLvlLbl val="0"/>
      </c:catAx>
      <c:valAx>
        <c:axId val="4461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# of Projects</a:t>
                </a:r>
              </a:p>
            </c:rich>
          </c:tx>
          <c:layout>
            <c:manualLayout>
              <c:xMode val="edge"/>
              <c:yMode val="edge"/>
              <c:x val="3.845317260243656E-2"/>
              <c:y val="0.32330934926237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2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[excel-challenge.xlsx]StatusCountsByYear!PivotTable5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>
                <a:latin typeface="Tw Cen MT" panose="020B0602020104020603" pitchFamily="34" charset="0"/>
              </a:rPr>
              <a:t>Project Status Counts</a:t>
            </a:r>
            <a:r>
              <a:rPr lang="en-US" sz="1200" baseline="0">
                <a:latin typeface="Tw Cen MT" panose="020B0602020104020603" pitchFamily="34" charset="0"/>
              </a:rPr>
              <a:t> 2009-2017</a:t>
            </a:r>
            <a:endParaRPr lang="en-US" sz="1200">
              <a:latin typeface="Tw Cen MT" panose="020B0602020104020603" pitchFamily="34" charset="0"/>
            </a:endParaRPr>
          </a:p>
        </c:rich>
      </c:tx>
      <c:layout>
        <c:manualLayout>
          <c:xMode val="edge"/>
          <c:yMode val="edge"/>
          <c:x val="0.27219772015301608"/>
          <c:y val="0.124397138799861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StatusCountsByYear!$B$4:$B$5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StatusCountsByYear!$A$6:$A$15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StatusCountsByYear!$B$6:$B$15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76</c:v>
                </c:pt>
                <c:pt idx="6">
                  <c:v>133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4F-44F5-A384-A21157B62C27}"/>
            </c:ext>
          </c:extLst>
        </c:ser>
        <c:ser>
          <c:idx val="1"/>
          <c:order val="1"/>
          <c:tx>
            <c:strRef>
              <c:f>StatusCountsByYear!$C$4:$C$5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StatusCountsByYear!$A$6:$A$15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StatusCountsByYear!$C$6:$C$15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30</c:v>
                </c:pt>
                <c:pt idx="3">
                  <c:v>64</c:v>
                </c:pt>
                <c:pt idx="4">
                  <c:v>66</c:v>
                </c:pt>
                <c:pt idx="5">
                  <c:v>418</c:v>
                </c:pt>
                <c:pt idx="6">
                  <c:v>525</c:v>
                </c:pt>
                <c:pt idx="7">
                  <c:v>375</c:v>
                </c:pt>
                <c:pt idx="8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4F-44F5-A384-A21157B62C27}"/>
            </c:ext>
          </c:extLst>
        </c:ser>
        <c:ser>
          <c:idx val="2"/>
          <c:order val="2"/>
          <c:tx>
            <c:strRef>
              <c:f>StatusCountsByYear!$D$4:$D$5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StatusCountsByYear!$A$6:$A$15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StatusCountsByYear!$D$6:$D$15</c:f>
              <c:numCache>
                <c:formatCode>General</c:formatCode>
                <c:ptCount val="9"/>
                <c:pt idx="5">
                  <c:v>4</c:v>
                </c:pt>
                <c:pt idx="8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4F-44F5-A384-A21157B62C27}"/>
            </c:ext>
          </c:extLst>
        </c:ser>
        <c:ser>
          <c:idx val="3"/>
          <c:order val="3"/>
          <c:tx>
            <c:strRef>
              <c:f>StatusCountsByYear!$E$4:$E$5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StatusCountsByYear!$A$6:$A$15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StatusCountsByYear!$E$6:$E$15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134</c:v>
                </c:pt>
                <c:pt idx="3">
                  <c:v>212</c:v>
                </c:pt>
                <c:pt idx="4">
                  <c:v>199</c:v>
                </c:pt>
                <c:pt idx="5">
                  <c:v>478</c:v>
                </c:pt>
                <c:pt idx="6">
                  <c:v>567</c:v>
                </c:pt>
                <c:pt idx="7">
                  <c:v>476</c:v>
                </c:pt>
                <c:pt idx="8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4F-44F5-A384-A21157B62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132560"/>
        <c:axId val="446132952"/>
      </c:lineChart>
      <c:catAx>
        <c:axId val="44613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32952"/>
        <c:crosses val="autoZero"/>
        <c:auto val="1"/>
        <c:lblAlgn val="ctr"/>
        <c:lblOffset val="100"/>
        <c:noMultiLvlLbl val="0"/>
      </c:catAx>
      <c:valAx>
        <c:axId val="446132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Count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1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[excel-challenge.xlsx]SuccessfulProjBackerCount!PivotTable10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rgbClr val="002060"/>
                </a:solidFill>
                <a:latin typeface="Tw Cen MT" panose="020B0602020104020603" pitchFamily="34" charset="0"/>
              </a:rPr>
              <a:t>Avg # Backers of Successful Projects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 cap="rnd" cmpd="sng" algn="ctr">
            <a:solidFill>
              <a:schemeClr val="accent1">
                <a:shade val="95000"/>
                <a:satMod val="105000"/>
              </a:schemeClr>
            </a:solidFill>
            <a:round/>
          </a:ln>
          <a:effectLst/>
        </c:spPr>
        <c:marker>
          <c:symbol val="circle"/>
          <c:size val="17"/>
          <c:spPr>
            <a:solidFill>
              <a:schemeClr val="l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 cap="rnd" cmpd="sng" algn="ctr">
            <a:solidFill>
              <a:schemeClr val="accent1">
                <a:shade val="95000"/>
                <a:satMod val="105000"/>
              </a:schemeClr>
            </a:solidFill>
            <a:round/>
          </a:ln>
          <a:effectLst/>
        </c:spPr>
        <c:marker>
          <c:symbol val="circle"/>
          <c:size val="17"/>
          <c:spPr>
            <a:solidFill>
              <a:schemeClr val="lt1"/>
            </a:solidFill>
            <a:ln>
              <a:noFill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19050" cap="rnd" cmpd="sng" algn="ctr">
            <a:solidFill>
              <a:schemeClr val="accent1">
                <a:shade val="95000"/>
                <a:satMod val="105000"/>
              </a:schemeClr>
            </a:solidFill>
            <a:round/>
          </a:ln>
          <a:effectLst/>
        </c:spPr>
        <c:marker>
          <c:symbol val="circle"/>
          <c:size val="17"/>
          <c:spPr>
            <a:solidFill>
              <a:schemeClr val="l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 cap="rnd" cmpd="sng" algn="ctr">
            <a:solidFill>
              <a:schemeClr val="accent1">
                <a:shade val="95000"/>
                <a:satMod val="105000"/>
              </a:schemeClr>
            </a:solidFill>
            <a:round/>
          </a:ln>
          <a:effectLst/>
        </c:spPr>
        <c:marker>
          <c:symbol val="circle"/>
          <c:size val="17"/>
          <c:spPr>
            <a:solidFill>
              <a:schemeClr val="l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0871686813796168E-2"/>
          <c:y val="8.0197873774952438E-2"/>
          <c:w val="0.93953162544822744"/>
          <c:h val="0.72108313193524076"/>
        </c:manualLayout>
      </c:layout>
      <c:lineChart>
        <c:grouping val="standard"/>
        <c:varyColors val="0"/>
        <c:ser>
          <c:idx val="0"/>
          <c:order val="0"/>
          <c:tx>
            <c:strRef>
              <c:f>SuccessfulProjBackerCount!$B$1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>
                        <a:lumMod val="5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SuccessfulProjBackerCount!$A$2:$A$11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SuccessfulProjBackerCount!$B$2:$B$11</c:f>
              <c:numCache>
                <c:formatCode>0.0</c:formatCode>
                <c:ptCount val="9"/>
                <c:pt idx="0">
                  <c:v>181.47840531561462</c:v>
                </c:pt>
                <c:pt idx="1">
                  <c:v>241.71428571428572</c:v>
                </c:pt>
                <c:pt idx="2">
                  <c:v>539.2439024390244</c:v>
                </c:pt>
                <c:pt idx="3">
                  <c:v>1</c:v>
                </c:pt>
                <c:pt idx="4">
                  <c:v>84.799625468164791</c:v>
                </c:pt>
                <c:pt idx="5">
                  <c:v>171.09708737864077</c:v>
                </c:pt>
                <c:pt idx="6">
                  <c:v>408.46913580246911</c:v>
                </c:pt>
                <c:pt idx="7">
                  <c:v>738.81132075471703</c:v>
                </c:pt>
                <c:pt idx="8">
                  <c:v>68.923536439665469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E3-4BD8-ADAC-95041F85BB4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6131384"/>
        <c:axId val="446839168"/>
      </c:lineChart>
      <c:catAx>
        <c:axId val="44613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839168"/>
        <c:crosses val="autoZero"/>
        <c:auto val="1"/>
        <c:lblAlgn val="ctr"/>
        <c:lblOffset val="100"/>
        <c:noMultiLvlLbl val="0"/>
      </c:catAx>
      <c:valAx>
        <c:axId val="446839168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4613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>
                <a:latin typeface="Tw Cen MT" panose="020B0602020104020603" pitchFamily="34" charset="0"/>
              </a:rPr>
              <a:t>Project Outcomes Based on Funding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OutcomesByFundingGoal!$B$2</c:f>
              <c:strCache>
                <c:ptCount val="1"/>
                <c:pt idx="0">
                  <c:v># Successful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OutcomesByFundingGoal!$B$3:$B$14</c:f>
              <c:numCache>
                <c:formatCode>General</c:formatCode>
                <c:ptCount val="12"/>
                <c:pt idx="0">
                  <c:v>319</c:v>
                </c:pt>
                <c:pt idx="1">
                  <c:v>810</c:v>
                </c:pt>
                <c:pt idx="2">
                  <c:v>379</c:v>
                </c:pt>
                <c:pt idx="3">
                  <c:v>173</c:v>
                </c:pt>
                <c:pt idx="4">
                  <c:v>95</c:v>
                </c:pt>
                <c:pt idx="5">
                  <c:v>61</c:v>
                </c:pt>
                <c:pt idx="6">
                  <c:v>56</c:v>
                </c:pt>
                <c:pt idx="7">
                  <c:v>32</c:v>
                </c:pt>
                <c:pt idx="8">
                  <c:v>25</c:v>
                </c:pt>
                <c:pt idx="9">
                  <c:v>21</c:v>
                </c:pt>
                <c:pt idx="10">
                  <c:v>6</c:v>
                </c:pt>
                <c:pt idx="11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1E-474F-AAFE-9D134B26D2E6}"/>
            </c:ext>
          </c:extLst>
        </c:ser>
        <c:ser>
          <c:idx val="1"/>
          <c:order val="1"/>
          <c:tx>
            <c:strRef>
              <c:f>OutcomesByFundingGoal!$C$2</c:f>
              <c:strCache>
                <c:ptCount val="1"/>
                <c:pt idx="0">
                  <c:v># Failed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OutcomesByFundingGoal!$C$3:$C$14</c:f>
              <c:numCache>
                <c:formatCode>General</c:formatCode>
                <c:ptCount val="12"/>
                <c:pt idx="0">
                  <c:v>115</c:v>
                </c:pt>
                <c:pt idx="1">
                  <c:v>361</c:v>
                </c:pt>
                <c:pt idx="2">
                  <c:v>283</c:v>
                </c:pt>
                <c:pt idx="3">
                  <c:v>141</c:v>
                </c:pt>
                <c:pt idx="4">
                  <c:v>90</c:v>
                </c:pt>
                <c:pt idx="5">
                  <c:v>72</c:v>
                </c:pt>
                <c:pt idx="6">
                  <c:v>62</c:v>
                </c:pt>
                <c:pt idx="7">
                  <c:v>37</c:v>
                </c:pt>
                <c:pt idx="8">
                  <c:v>21</c:v>
                </c:pt>
                <c:pt idx="9">
                  <c:v>17</c:v>
                </c:pt>
                <c:pt idx="10">
                  <c:v>11</c:v>
                </c:pt>
                <c:pt idx="11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1E-474F-AAFE-9D134B26D2E6}"/>
            </c:ext>
          </c:extLst>
        </c:ser>
        <c:ser>
          <c:idx val="2"/>
          <c:order val="2"/>
          <c:tx>
            <c:strRef>
              <c:f>OutcomesByFundingGoal!$D$2</c:f>
              <c:strCache>
                <c:ptCount val="1"/>
                <c:pt idx="0">
                  <c:v># Canceled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OutcomesByFundingGoal!$D$3:$D$14</c:f>
              <c:numCache>
                <c:formatCode>General</c:formatCode>
                <c:ptCount val="12"/>
                <c:pt idx="0">
                  <c:v>19</c:v>
                </c:pt>
                <c:pt idx="1">
                  <c:v>55</c:v>
                </c:pt>
                <c:pt idx="2">
                  <c:v>53</c:v>
                </c:pt>
                <c:pt idx="3">
                  <c:v>39</c:v>
                </c:pt>
                <c:pt idx="4">
                  <c:v>17</c:v>
                </c:pt>
                <c:pt idx="5">
                  <c:v>14</c:v>
                </c:pt>
                <c:pt idx="6">
                  <c:v>19</c:v>
                </c:pt>
                <c:pt idx="7">
                  <c:v>13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1E-474F-AAFE-9D134B26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839560"/>
        <c:axId val="446835248"/>
      </c:lineChart>
      <c:catAx>
        <c:axId val="44683956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Funding Goal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835248"/>
        <c:crosses val="autoZero"/>
        <c:auto val="1"/>
        <c:lblAlgn val="ctr"/>
        <c:lblOffset val="100"/>
        <c:noMultiLvlLbl val="0"/>
      </c:catAx>
      <c:valAx>
        <c:axId val="4468352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#</a:t>
                </a:r>
                <a:r>
                  <a:rPr lang="en-US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 of Projects</a:t>
                </a:r>
                <a:endParaRPr lang="en-US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39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300">
                <a:latin typeface="Tw Cen MT" panose="020B0602020104020603" pitchFamily="34" charset="0"/>
              </a:rPr>
              <a:t>Project Outcomes Based on Funding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OutcomesByFundingGoal!$F$2</c:f>
              <c:strCache>
                <c:ptCount val="1"/>
                <c:pt idx="0">
                  <c:v>Percent Successful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OutcomesByFundingGoal!$F$3:$F$14</c:f>
              <c:numCache>
                <c:formatCode>0%</c:formatCode>
                <c:ptCount val="12"/>
                <c:pt idx="0">
                  <c:v>0.70419426048565126</c:v>
                </c:pt>
                <c:pt idx="1">
                  <c:v>0.66068515497553015</c:v>
                </c:pt>
                <c:pt idx="2">
                  <c:v>0.53006993006993008</c:v>
                </c:pt>
                <c:pt idx="3">
                  <c:v>0.49008498583569404</c:v>
                </c:pt>
                <c:pt idx="4">
                  <c:v>0.47029702970297027</c:v>
                </c:pt>
                <c:pt idx="5">
                  <c:v>0.41496598639455784</c:v>
                </c:pt>
                <c:pt idx="6">
                  <c:v>0.40875912408759124</c:v>
                </c:pt>
                <c:pt idx="7">
                  <c:v>0.3902439024390244</c:v>
                </c:pt>
                <c:pt idx="8">
                  <c:v>0.47169811320754718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0.21123595505617979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E2-4E2B-A539-8EE390D70D76}"/>
            </c:ext>
          </c:extLst>
        </c:ser>
        <c:ser>
          <c:idx val="1"/>
          <c:order val="1"/>
          <c:tx>
            <c:strRef>
              <c:f>OutcomesByFundingGoal!$G$2</c:f>
              <c:strCache>
                <c:ptCount val="1"/>
                <c:pt idx="0">
                  <c:v>Percent 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OutcomesByFundingGoal!$G$3:$G$14</c:f>
              <c:numCache>
                <c:formatCode>0%</c:formatCode>
                <c:ptCount val="12"/>
                <c:pt idx="0">
                  <c:v>0.25386313465783666</c:v>
                </c:pt>
                <c:pt idx="1">
                  <c:v>0.29445350734094616</c:v>
                </c:pt>
                <c:pt idx="2">
                  <c:v>0.39580419580419579</c:v>
                </c:pt>
                <c:pt idx="3">
                  <c:v>0.39943342776203966</c:v>
                </c:pt>
                <c:pt idx="4">
                  <c:v>0.44554455445544555</c:v>
                </c:pt>
                <c:pt idx="5">
                  <c:v>0.48979591836734693</c:v>
                </c:pt>
                <c:pt idx="6">
                  <c:v>0.45255474452554745</c:v>
                </c:pt>
                <c:pt idx="7">
                  <c:v>0.45121951219512196</c:v>
                </c:pt>
                <c:pt idx="8">
                  <c:v>0.39622641509433965</c:v>
                </c:pt>
                <c:pt idx="9">
                  <c:v>0.39534883720930231</c:v>
                </c:pt>
                <c:pt idx="10">
                  <c:v>0.52380952380952384</c:v>
                </c:pt>
                <c:pt idx="11">
                  <c:v>0.57528089887640455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E2-4E2B-A539-8EE390D70D76}"/>
            </c:ext>
          </c:extLst>
        </c:ser>
        <c:ser>
          <c:idx val="2"/>
          <c:order val="2"/>
          <c:tx>
            <c:strRef>
              <c:f>OutcomesByFundingGoal!$H$2</c:f>
              <c:strCache>
                <c:ptCount val="1"/>
                <c:pt idx="0">
                  <c:v>Percent Canceled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OutcomesByFundingGoal!$A$3:$A$14</c:f>
              <c:strCache>
                <c:ptCount val="12"/>
                <c:pt idx="0">
                  <c:v>Less than $1,000</c:v>
                </c:pt>
                <c:pt idx="1">
                  <c:v>$1,000-$4,999</c:v>
                </c:pt>
                <c:pt idx="2">
                  <c:v>$5,000 to $9,999</c:v>
                </c:pt>
                <c:pt idx="3">
                  <c:v>$10,000 to 14,999</c:v>
                </c:pt>
                <c:pt idx="4">
                  <c:v>$15,000 to 19,999</c:v>
                </c:pt>
                <c:pt idx="5">
                  <c:v>$20,000 to 24,999</c:v>
                </c:pt>
                <c:pt idx="6">
                  <c:v>$25,000 to 29,999</c:v>
                </c:pt>
                <c:pt idx="7">
                  <c:v>$30,000 to 34,999</c:v>
                </c:pt>
                <c:pt idx="8">
                  <c:v>$35,000 to 39,999</c:v>
                </c:pt>
                <c:pt idx="9">
                  <c:v>$40,000 to 44,999</c:v>
                </c:pt>
                <c:pt idx="10">
                  <c:v>$45,000 to 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OutcomesByFundingGoal!$H$3:$H$14</c:f>
              <c:numCache>
                <c:formatCode>0%</c:formatCode>
                <c:ptCount val="12"/>
                <c:pt idx="0">
                  <c:v>4.194260485651214E-2</c:v>
                </c:pt>
                <c:pt idx="1">
                  <c:v>4.4861337683523655E-2</c:v>
                </c:pt>
                <c:pt idx="2">
                  <c:v>7.4125874125874125E-2</c:v>
                </c:pt>
                <c:pt idx="3">
                  <c:v>0.11048158640226628</c:v>
                </c:pt>
                <c:pt idx="4">
                  <c:v>8.4158415841584164E-2</c:v>
                </c:pt>
                <c:pt idx="5">
                  <c:v>9.5238095238095233E-2</c:v>
                </c:pt>
                <c:pt idx="6">
                  <c:v>0.13868613138686131</c:v>
                </c:pt>
                <c:pt idx="7">
                  <c:v>0.15853658536585366</c:v>
                </c:pt>
                <c:pt idx="8">
                  <c:v>0.13207547169811321</c:v>
                </c:pt>
                <c:pt idx="9">
                  <c:v>0.11627906976744186</c:v>
                </c:pt>
                <c:pt idx="10">
                  <c:v>0.19047619047619047</c:v>
                </c:pt>
                <c:pt idx="11">
                  <c:v>0.21348314606741572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E2-4E2B-A539-8EE390D70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832896"/>
        <c:axId val="446839952"/>
      </c:lineChart>
      <c:catAx>
        <c:axId val="44683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Funding Goal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839952"/>
        <c:crosses val="autoZero"/>
        <c:auto val="1"/>
        <c:lblAlgn val="ctr"/>
        <c:lblOffset val="100"/>
        <c:noMultiLvlLbl val="0"/>
      </c:catAx>
      <c:valAx>
        <c:axId val="44683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6">
                        <a:lumMod val="60000"/>
                        <a:lumOff val="40000"/>
                      </a:schemeClr>
                    </a:solidFill>
                    <a:latin typeface="Tw Cen MT" panose="020B0602020104020603" pitchFamily="34" charset="0"/>
                  </a:rPr>
                  <a:t>% of All Projects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accent6">
                      <a:lumMod val="60000"/>
                      <a:lumOff val="40000"/>
                    </a:schemeClr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44683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[excel-challenge.xlsx]FundingAsPercentGoal!PivotTable3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2060"/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r>
              <a:rPr lang="en-US"/>
              <a:t>Funding Attainment as Percent of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2060"/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02060"/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02060"/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02060"/>
                  </a:solidFill>
                  <a:latin typeface="Tw Cen MT" panose="020B0602020104020603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FundingAsPercentGoal!$B$3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002060"/>
                    </a:solidFill>
                    <a:latin typeface="Tw Cen MT" panose="020B06020201040206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FundingAsPercentGoal!$A$4:$A$11</c:f>
              <c:strCache>
                <c:ptCount val="7"/>
                <c:pt idx="0">
                  <c:v>No pledges</c:v>
                </c:pt>
                <c:pt idx="1">
                  <c:v>Less than 25%</c:v>
                </c:pt>
                <c:pt idx="2">
                  <c:v>More than 25%</c:v>
                </c:pt>
                <c:pt idx="3">
                  <c:v>Over 50%</c:v>
                </c:pt>
                <c:pt idx="4">
                  <c:v>Over 75%</c:v>
                </c:pt>
                <c:pt idx="5">
                  <c:v>Over 90%</c:v>
                </c:pt>
                <c:pt idx="6">
                  <c:v>Over Goal</c:v>
                </c:pt>
              </c:strCache>
            </c:strRef>
          </c:cat>
          <c:val>
            <c:numRef>
              <c:f>FundingAsPercentGoal!$B$4:$B$11</c:f>
              <c:numCache>
                <c:formatCode>General</c:formatCode>
                <c:ptCount val="7"/>
                <c:pt idx="0">
                  <c:v>907</c:v>
                </c:pt>
                <c:pt idx="1">
                  <c:v>722</c:v>
                </c:pt>
                <c:pt idx="2">
                  <c:v>181</c:v>
                </c:pt>
                <c:pt idx="3">
                  <c:v>54</c:v>
                </c:pt>
                <c:pt idx="4">
                  <c:v>10</c:v>
                </c:pt>
                <c:pt idx="5">
                  <c:v>101</c:v>
                </c:pt>
                <c:pt idx="6">
                  <c:v>2089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62-4900-A82F-549AFDDD3C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45152632"/>
        <c:axId val="645145576"/>
      </c:barChart>
      <c:catAx>
        <c:axId val="645152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45576"/>
        <c:crosses val="autoZero"/>
        <c:auto val="1"/>
        <c:lblAlgn val="ctr"/>
        <c:lblOffset val="100"/>
        <c:noMultiLvlLbl val="0"/>
      </c:catAx>
      <c:valAx>
        <c:axId val="645145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5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accent1"/>
      </a:solidFill>
      <a:round/>
    </a:ln>
    <a:effectLst/>
  </c:spPr>
  <c:txPr>
    <a:bodyPr/>
    <a:lstStyle/>
    <a:p>
      <a:pPr>
        <a:defRPr>
          <a:solidFill>
            <a:srgbClr val="002060"/>
          </a:solidFill>
          <a:latin typeface="Tw Cen MT" panose="020B0602020104020603" pitchFamily="34" charset="0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[excel-challenge.xlsx]FundLvlFailed!PivotTable3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r>
              <a:rPr lang="en-US" sz="1400">
                <a:solidFill>
                  <a:srgbClr val="002060"/>
                </a:solidFill>
              </a:rPr>
              <a:t>Funding Levels Attained for Failed Projects</a:t>
            </a:r>
          </a:p>
        </c:rich>
      </c:tx>
      <c:layout>
        <c:manualLayout>
          <c:xMode val="edge"/>
          <c:yMode val="edge"/>
          <c:x val="0.24436701905768274"/>
          <c:y val="7.32278851786760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  <c:spPr>
          <a:solidFill>
            <a:schemeClr val="accent1">
              <a:alpha val="85000"/>
            </a:schemeClr>
          </a:solidFill>
          <a:ln>
            <a:noFill/>
          </a:ln>
          <a:effectLst>
            <a:innerShdw dist="12700" dir="16200000">
              <a:schemeClr val="lt1"/>
            </a:innerShdw>
          </a:effectLst>
        </c:spPr>
        <c:marker>
          <c:symbol val="none"/>
        </c:marker>
      </c:pivotFmt>
      <c:pivotFmt>
        <c:idx val="10"/>
        <c:spPr>
          <a:solidFill>
            <a:schemeClr val="accent1">
              <a:alpha val="85000"/>
            </a:schemeClr>
          </a:solidFill>
          <a:ln>
            <a:noFill/>
          </a:ln>
          <a:effectLst>
            <a:innerShdw dist="12700" dir="16200000">
              <a:schemeClr val="lt1"/>
            </a:innerShdw>
          </a:effectLst>
        </c:spPr>
        <c:marker>
          <c:symbol val="none"/>
        </c:marker>
      </c:pivotFmt>
    </c:pivotFmts>
    <c:plotArea>
      <c:layout/>
      <c:areaChart>
        <c:grouping val="standard"/>
        <c:varyColors val="0"/>
        <c:ser>
          <c:idx val="0"/>
          <c:order val="0"/>
          <c:tx>
            <c:strRef>
              <c:f>FundLvlFailed!$B$3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>
              <a:innerShdw dist="12700" dir="16200000">
                <a:schemeClr val="lt1"/>
              </a:innerShdw>
            </a:effectLst>
          </c:spPr>
          <c:cat>
            <c:strRef>
              <c:f>FundLvlFailed!$A$4:$A$11</c:f>
              <c:strCache>
                <c:ptCount val="7"/>
                <c:pt idx="0">
                  <c:v>No pledges</c:v>
                </c:pt>
                <c:pt idx="1">
                  <c:v>Less than 25%</c:v>
                </c:pt>
                <c:pt idx="2">
                  <c:v>More than 25%</c:v>
                </c:pt>
                <c:pt idx="3">
                  <c:v>Over 50%</c:v>
                </c:pt>
                <c:pt idx="4">
                  <c:v>Over 75%</c:v>
                </c:pt>
                <c:pt idx="5">
                  <c:v>Over 90%</c:v>
                </c:pt>
                <c:pt idx="6">
                  <c:v>Over Goal</c:v>
                </c:pt>
              </c:strCache>
            </c:strRef>
          </c:cat>
          <c:val>
            <c:numRef>
              <c:f>FundLvlFailed!$B$4:$B$11</c:f>
              <c:numCache>
                <c:formatCode>General</c:formatCode>
                <c:ptCount val="7"/>
                <c:pt idx="0">
                  <c:v>696</c:v>
                </c:pt>
                <c:pt idx="1">
                  <c:v>594</c:v>
                </c:pt>
                <c:pt idx="2">
                  <c:v>164</c:v>
                </c:pt>
                <c:pt idx="3">
                  <c:v>46</c:v>
                </c:pt>
                <c:pt idx="4">
                  <c:v>7</c:v>
                </c:pt>
                <c:pt idx="5">
                  <c:v>1</c:v>
                </c:pt>
                <c:pt idx="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2C-41EB-837C-CC0CDDCDE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161648"/>
        <c:axId val="645158904"/>
      </c:areaChart>
      <c:catAx>
        <c:axId val="64516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58904"/>
        <c:crosses val="autoZero"/>
        <c:auto val="1"/>
        <c:lblAlgn val="ctr"/>
        <c:lblOffset val="100"/>
        <c:noMultiLvlLbl val="0"/>
      </c:catAx>
      <c:valAx>
        <c:axId val="6451589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6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[excel-challenge.xlsx]FundLvlSuccessful!PivotTable3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r>
              <a:rPr lang="en-US" sz="1400">
                <a:solidFill>
                  <a:srgbClr val="002060"/>
                </a:solidFill>
              </a:rPr>
              <a:t>Funding Levels Attained for Successful Projects</a:t>
            </a:r>
          </a:p>
        </c:rich>
      </c:tx>
      <c:layout>
        <c:manualLayout>
          <c:xMode val="edge"/>
          <c:yMode val="edge"/>
          <c:x val="0.19694868467676724"/>
          <c:y val="0.111462361461308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  <c:spPr>
          <a:solidFill>
            <a:schemeClr val="accent1">
              <a:alpha val="85000"/>
            </a:schemeClr>
          </a:solidFill>
          <a:ln>
            <a:noFill/>
          </a:ln>
          <a:effectLst>
            <a:innerShdw dist="12700" dir="16200000">
              <a:schemeClr val="lt1"/>
            </a:innerShdw>
          </a:effectLst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1"/>
        <c:spPr>
          <a:solidFill>
            <a:schemeClr val="accent1">
              <a:alpha val="85000"/>
            </a:schemeClr>
          </a:solidFill>
          <a:ln>
            <a:noFill/>
          </a:ln>
          <a:effectLst>
            <a:innerShdw dist="12700" dir="16200000">
              <a:schemeClr val="lt1"/>
            </a:innerShdw>
          </a:effectLst>
        </c:spPr>
        <c:marker>
          <c:symbol val="none"/>
        </c:marker>
      </c:pivotFmt>
      <c:pivotFmt>
        <c:idx val="12"/>
        <c:spPr>
          <a:solidFill>
            <a:schemeClr val="accent1">
              <a:alpha val="85000"/>
            </a:schemeClr>
          </a:solidFill>
          <a:ln>
            <a:noFill/>
          </a:ln>
          <a:effectLst>
            <a:innerShdw dist="12700" dir="16200000">
              <a:schemeClr val="lt1"/>
            </a:innerShd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7.3334683374413567E-2"/>
          <c:y val="9.2885033472789105E-2"/>
          <c:w val="0.85125371649645698"/>
          <c:h val="0.83672264933468365"/>
        </c:manualLayout>
      </c:layout>
      <c:areaChart>
        <c:grouping val="standard"/>
        <c:varyColors val="0"/>
        <c:ser>
          <c:idx val="0"/>
          <c:order val="0"/>
          <c:tx>
            <c:strRef>
              <c:f>FundLvlSuccessful!$B$3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>
              <a:noFill/>
            </a:ln>
            <a:effectLst>
              <a:innerShdw dist="12700" dir="16200000">
                <a:schemeClr val="lt1"/>
              </a:innerShdw>
            </a:effectLst>
          </c:spPr>
          <c:cat>
            <c:strRef>
              <c:f>FundLvlSuccessful!$A$4:$A$10</c:f>
              <c:strCache>
                <c:ptCount val="6"/>
                <c:pt idx="0">
                  <c:v>No pledges</c:v>
                </c:pt>
                <c:pt idx="1">
                  <c:v>Less than 25%</c:v>
                </c:pt>
                <c:pt idx="2">
                  <c:v>More than 25%</c:v>
                </c:pt>
                <c:pt idx="3">
                  <c:v>Over 50%</c:v>
                </c:pt>
                <c:pt idx="4">
                  <c:v>Over 90%</c:v>
                </c:pt>
                <c:pt idx="5">
                  <c:v>Over Goal</c:v>
                </c:pt>
              </c:strCache>
            </c:strRef>
          </c:cat>
          <c:val>
            <c:numRef>
              <c:f>FundLvlSuccessful!$B$4:$B$10</c:f>
              <c:numCache>
                <c:formatCode>General</c:formatCode>
                <c:ptCount val="6"/>
                <c:pt idx="0">
                  <c:v>14</c:v>
                </c:pt>
                <c:pt idx="1">
                  <c:v>15</c:v>
                </c:pt>
                <c:pt idx="2">
                  <c:v>2</c:v>
                </c:pt>
                <c:pt idx="3">
                  <c:v>1</c:v>
                </c:pt>
                <c:pt idx="4">
                  <c:v>98</c:v>
                </c:pt>
                <c:pt idx="5">
                  <c:v>2056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BF-415A-9F03-69FF88BCD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154592"/>
        <c:axId val="645155376"/>
      </c:areaChart>
      <c:catAx>
        <c:axId val="64515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55376"/>
        <c:crosses val="autoZero"/>
        <c:auto val="1"/>
        <c:lblAlgn val="ctr"/>
        <c:lblOffset val="100"/>
        <c:noMultiLvlLbl val="0"/>
      </c:catAx>
      <c:valAx>
        <c:axId val="6451553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64515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79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79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MnDOT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Boardman</dc:creator>
  <cp:keywords/>
  <dc:description/>
  <cp:lastModifiedBy>qops</cp:lastModifiedBy>
  <cp:revision>2</cp:revision>
  <dcterms:created xsi:type="dcterms:W3CDTF">2020-08-11T00:46:00Z</dcterms:created>
  <dcterms:modified xsi:type="dcterms:W3CDTF">2020-08-11T00:46:00Z</dcterms:modified>
</cp:coreProperties>
</file>