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1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8FB6D" w14:textId="4D70538B" w:rsidR="006E50F0" w:rsidRDefault="00AF10C2" w:rsidP="00AF10C2">
      <w:pPr>
        <w:jc w:val="center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Analysis of </w:t>
      </w:r>
      <w:r w:rsidR="006E50F0" w:rsidRPr="00AF10C2">
        <w:rPr>
          <w:rFonts w:ascii="Tw Cen MT" w:hAnsi="Tw Cen MT"/>
          <w:i/>
          <w:iCs/>
          <w:sz w:val="28"/>
          <w:szCs w:val="28"/>
        </w:rPr>
        <w:t>Kickstarter</w:t>
      </w:r>
      <w:r w:rsidR="006E50F0" w:rsidRPr="006E50F0">
        <w:rPr>
          <w:rFonts w:ascii="Tw Cen MT" w:hAnsi="Tw Cen MT"/>
          <w:sz w:val="28"/>
          <w:szCs w:val="28"/>
        </w:rPr>
        <w:t xml:space="preserve"> Campaigns</w:t>
      </w:r>
      <w:r>
        <w:rPr>
          <w:rFonts w:ascii="Tw Cen MT" w:hAnsi="Tw Cen MT"/>
          <w:sz w:val="28"/>
          <w:szCs w:val="28"/>
        </w:rPr>
        <w:t>,</w:t>
      </w:r>
      <w:r w:rsidR="006E50F0" w:rsidRPr="006E50F0">
        <w:rPr>
          <w:rFonts w:ascii="Tw Cen MT" w:hAnsi="Tw Cen MT"/>
          <w:sz w:val="28"/>
          <w:szCs w:val="28"/>
        </w:rPr>
        <w:t xml:space="preserve"> </w:t>
      </w:r>
      <w:r w:rsidR="00FF30C7">
        <w:rPr>
          <w:rFonts w:ascii="Tw Cen MT" w:hAnsi="Tw Cen MT"/>
          <w:sz w:val="28"/>
          <w:szCs w:val="28"/>
        </w:rPr>
        <w:t xml:space="preserve">May </w:t>
      </w:r>
      <w:r w:rsidR="006E50F0" w:rsidRPr="006E50F0">
        <w:rPr>
          <w:rFonts w:ascii="Tw Cen MT" w:hAnsi="Tw Cen MT"/>
          <w:sz w:val="28"/>
          <w:szCs w:val="28"/>
        </w:rPr>
        <w:t xml:space="preserve">2009 </w:t>
      </w:r>
      <w:r>
        <w:rPr>
          <w:rFonts w:ascii="Tw Cen MT" w:hAnsi="Tw Cen MT"/>
          <w:sz w:val="28"/>
          <w:szCs w:val="28"/>
        </w:rPr>
        <w:t>–</w:t>
      </w:r>
      <w:r w:rsidR="006E50F0" w:rsidRPr="006E50F0">
        <w:rPr>
          <w:rFonts w:ascii="Tw Cen MT" w:hAnsi="Tw Cen MT"/>
          <w:sz w:val="28"/>
          <w:szCs w:val="28"/>
        </w:rPr>
        <w:t xml:space="preserve"> </w:t>
      </w:r>
      <w:r w:rsidR="00FF30C7">
        <w:rPr>
          <w:rFonts w:ascii="Tw Cen MT" w:hAnsi="Tw Cen MT"/>
          <w:sz w:val="28"/>
          <w:szCs w:val="28"/>
        </w:rPr>
        <w:t xml:space="preserve">March </w:t>
      </w:r>
      <w:r w:rsidR="006E50F0" w:rsidRPr="006E50F0">
        <w:rPr>
          <w:rFonts w:ascii="Tw Cen MT" w:hAnsi="Tw Cen MT"/>
          <w:sz w:val="28"/>
          <w:szCs w:val="28"/>
        </w:rPr>
        <w:t>2017</w:t>
      </w:r>
    </w:p>
    <w:p w14:paraId="0042005C" w14:textId="77777777" w:rsidR="00AF10C2" w:rsidRPr="006E50F0" w:rsidRDefault="00AF10C2" w:rsidP="00AF10C2">
      <w:pPr>
        <w:jc w:val="center"/>
        <w:rPr>
          <w:rFonts w:ascii="Tw Cen MT" w:hAnsi="Tw Cen MT"/>
          <w:sz w:val="28"/>
          <w:szCs w:val="28"/>
        </w:rPr>
      </w:pPr>
    </w:p>
    <w:p w14:paraId="426B2A7D" w14:textId="0482CA57" w:rsidR="000E560D" w:rsidRDefault="00AF10C2" w:rsidP="00AF10C2">
      <w:pPr>
        <w:jc w:val="center"/>
        <w:rPr>
          <w:noProof/>
        </w:rPr>
      </w:pPr>
      <w:r w:rsidRPr="00AF10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7E8181" wp14:editId="14BD5B55">
            <wp:extent cx="5676900" cy="4848860"/>
            <wp:effectExtent l="0" t="0" r="0" b="889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A5BBB1F-21AD-4C69-ABD4-F47FB9304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8C3462" w14:textId="77777777" w:rsidR="0091054E" w:rsidRDefault="0091054E" w:rsidP="00AD2C6B">
      <w:pPr>
        <w:rPr>
          <w:rFonts w:ascii="Tw Cen MT" w:hAnsi="Tw Cen MT"/>
          <w:noProof/>
          <w:sz w:val="24"/>
          <w:szCs w:val="24"/>
          <w:u w:val="single"/>
        </w:rPr>
      </w:pPr>
    </w:p>
    <w:p w14:paraId="2DCC8FB0" w14:textId="4DEF91D7" w:rsidR="0091054E" w:rsidRPr="00C0731A" w:rsidRDefault="0091054E" w:rsidP="00C0731A">
      <w:pPr>
        <w:pStyle w:val="ListParagraph"/>
        <w:numPr>
          <w:ilvl w:val="0"/>
          <w:numId w:val="1"/>
        </w:numPr>
        <w:rPr>
          <w:rFonts w:ascii="Tw Cen MT" w:hAnsi="Tw Cen MT"/>
          <w:noProof/>
          <w:sz w:val="24"/>
          <w:szCs w:val="24"/>
          <w:u w:val="single"/>
        </w:rPr>
      </w:pPr>
      <w:r w:rsidRPr="00C0731A">
        <w:rPr>
          <w:rFonts w:ascii="Tw Cen MT" w:hAnsi="Tw Cen MT"/>
          <w:noProof/>
          <w:sz w:val="24"/>
          <w:szCs w:val="24"/>
          <w:u w:val="single"/>
        </w:rPr>
        <w:t>Conclusions</w:t>
      </w:r>
    </w:p>
    <w:p w14:paraId="7B2B2B92" w14:textId="287A27FE" w:rsidR="00AF10C2" w:rsidRDefault="00784CAE" w:rsidP="00C0731A">
      <w:pPr>
        <w:spacing w:line="360" w:lineRule="auto"/>
        <w:ind w:left="360"/>
        <w:rPr>
          <w:rFonts w:ascii="Tw Cen MT" w:hAnsi="Tw Cen MT"/>
          <w:noProof/>
          <w:sz w:val="24"/>
          <w:szCs w:val="24"/>
        </w:rPr>
      </w:pPr>
      <w:r w:rsidRPr="00784CAE">
        <w:rPr>
          <w:rFonts w:ascii="Tw Cen MT" w:hAnsi="Tw Cen MT"/>
          <w:noProof/>
          <w:sz w:val="24"/>
          <w:szCs w:val="24"/>
        </w:rPr>
        <w:t xml:space="preserve">The ‘Music’ and ‘Theater’ categories have </w:t>
      </w:r>
      <w:r w:rsidR="00AD2C6B">
        <w:rPr>
          <w:rFonts w:ascii="Tw Cen MT" w:hAnsi="Tw Cen MT"/>
          <w:noProof/>
          <w:sz w:val="24"/>
          <w:szCs w:val="24"/>
        </w:rPr>
        <w:t xml:space="preserve">had </w:t>
      </w:r>
      <w:r w:rsidRPr="00784CAE">
        <w:rPr>
          <w:rFonts w:ascii="Tw Cen MT" w:hAnsi="Tw Cen MT"/>
          <w:noProof/>
          <w:sz w:val="24"/>
          <w:szCs w:val="24"/>
        </w:rPr>
        <w:t>the highest number of total campaigns.</w:t>
      </w:r>
      <w:r w:rsidR="00AD2C6B">
        <w:rPr>
          <w:rFonts w:ascii="Tw Cen MT" w:hAnsi="Tw Cen MT"/>
          <w:noProof/>
          <w:sz w:val="24"/>
          <w:szCs w:val="24"/>
        </w:rPr>
        <w:t xml:space="preserve"> ‘Music,’ ‘Theater,’ and ‘Film &amp; Video’ </w:t>
      </w:r>
      <w:r w:rsidR="00FF30C7">
        <w:rPr>
          <w:rFonts w:ascii="Tw Cen MT" w:hAnsi="Tw Cen MT"/>
          <w:noProof/>
          <w:sz w:val="24"/>
          <w:szCs w:val="24"/>
        </w:rPr>
        <w:t>have all</w:t>
      </w:r>
      <w:r w:rsidR="00AD2C6B">
        <w:rPr>
          <w:rFonts w:ascii="Tw Cen MT" w:hAnsi="Tw Cen MT"/>
          <w:noProof/>
          <w:sz w:val="24"/>
          <w:szCs w:val="24"/>
        </w:rPr>
        <w:t xml:space="preserve"> had more than 50% of their campaigns </w:t>
      </w:r>
      <w:r w:rsidR="00FF30C7">
        <w:rPr>
          <w:rFonts w:ascii="Tw Cen MT" w:hAnsi="Tw Cen MT"/>
          <w:noProof/>
          <w:sz w:val="24"/>
          <w:szCs w:val="24"/>
        </w:rPr>
        <w:t>conclude</w:t>
      </w:r>
      <w:r w:rsidR="00AD2C6B">
        <w:rPr>
          <w:rFonts w:ascii="Tw Cen MT" w:hAnsi="Tw Cen MT"/>
          <w:noProof/>
          <w:sz w:val="24"/>
          <w:szCs w:val="24"/>
        </w:rPr>
        <w:t xml:space="preserve"> successful</w:t>
      </w:r>
      <w:r w:rsidR="00FF30C7">
        <w:rPr>
          <w:rFonts w:ascii="Tw Cen MT" w:hAnsi="Tw Cen MT"/>
          <w:noProof/>
          <w:sz w:val="24"/>
          <w:szCs w:val="24"/>
        </w:rPr>
        <w:t>ly</w:t>
      </w:r>
      <w:r w:rsidR="00AD2C6B">
        <w:rPr>
          <w:rFonts w:ascii="Tw Cen MT" w:hAnsi="Tw Cen MT"/>
          <w:noProof/>
          <w:sz w:val="24"/>
          <w:szCs w:val="24"/>
        </w:rPr>
        <w:t>.</w:t>
      </w:r>
      <w:r w:rsidRPr="00784CAE">
        <w:rPr>
          <w:rFonts w:ascii="Tw Cen MT" w:hAnsi="Tw Cen MT"/>
          <w:noProof/>
          <w:sz w:val="24"/>
          <w:szCs w:val="24"/>
        </w:rPr>
        <w:t xml:space="preserve"> </w:t>
      </w:r>
      <w:r w:rsidR="007962E7">
        <w:rPr>
          <w:rFonts w:ascii="Tw Cen MT" w:hAnsi="Tw Cen MT"/>
          <w:noProof/>
          <w:sz w:val="24"/>
          <w:szCs w:val="24"/>
        </w:rPr>
        <w:t xml:space="preserve">53% of all </w:t>
      </w:r>
      <w:r w:rsidR="007962E7" w:rsidRPr="007962E7">
        <w:rPr>
          <w:rFonts w:ascii="Tw Cen MT" w:hAnsi="Tw Cen MT"/>
          <w:i/>
          <w:iCs/>
          <w:noProof/>
          <w:sz w:val="24"/>
          <w:szCs w:val="24"/>
        </w:rPr>
        <w:t>Kickstarter</w:t>
      </w:r>
      <w:r w:rsidR="007962E7">
        <w:rPr>
          <w:rFonts w:ascii="Tw Cen MT" w:hAnsi="Tw Cen MT"/>
          <w:noProof/>
          <w:sz w:val="24"/>
          <w:szCs w:val="24"/>
        </w:rPr>
        <w:t xml:space="preserve"> campaigns </w:t>
      </w:r>
      <w:r w:rsidR="0091054E">
        <w:rPr>
          <w:rFonts w:ascii="Tw Cen MT" w:hAnsi="Tw Cen MT"/>
          <w:noProof/>
          <w:sz w:val="24"/>
          <w:szCs w:val="24"/>
        </w:rPr>
        <w:t>in this dataset</w:t>
      </w:r>
      <w:r w:rsidR="007962E7">
        <w:rPr>
          <w:rFonts w:ascii="Tw Cen MT" w:hAnsi="Tw Cen MT"/>
          <w:noProof/>
          <w:sz w:val="24"/>
          <w:szCs w:val="24"/>
        </w:rPr>
        <w:t xml:space="preserve"> have been successful.</w:t>
      </w:r>
    </w:p>
    <w:p w14:paraId="16512124" w14:textId="77777777" w:rsidR="0091054E" w:rsidRPr="00FF30C7" w:rsidRDefault="0091054E" w:rsidP="00C0731A">
      <w:pPr>
        <w:spacing w:line="360" w:lineRule="auto"/>
        <w:ind w:left="360"/>
        <w:rPr>
          <w:rFonts w:ascii="Tw Cen MT" w:hAnsi="Tw Cen MT"/>
          <w:noProof/>
          <w:sz w:val="24"/>
          <w:szCs w:val="24"/>
        </w:rPr>
      </w:pPr>
      <w:r w:rsidRPr="007962E7">
        <w:rPr>
          <w:rFonts w:ascii="Tw Cen MT" w:hAnsi="Tw Cen MT"/>
          <w:noProof/>
          <w:sz w:val="24"/>
          <w:szCs w:val="24"/>
        </w:rPr>
        <w:t>‘Plays’ is the sub-category with the greatest number of campaigns initiated; it is also the sub-category with the highest raw number of successful campaigns.</w:t>
      </w:r>
      <w:r>
        <w:rPr>
          <w:rFonts w:ascii="Tw Cen MT" w:hAnsi="Tw Cen MT"/>
          <w:noProof/>
          <w:sz w:val="24"/>
          <w:szCs w:val="24"/>
        </w:rPr>
        <w:t xml:space="preserve"> ‘Plays’ have accounted for more than 25</w:t>
      </w:r>
      <w:r w:rsidRPr="00FF30C7">
        <w:rPr>
          <w:rFonts w:ascii="Tw Cen MT" w:hAnsi="Tw Cen MT"/>
          <w:noProof/>
          <w:sz w:val="24"/>
          <w:szCs w:val="24"/>
        </w:rPr>
        <w:t xml:space="preserve">% of all </w:t>
      </w:r>
      <w:r w:rsidRPr="00FF30C7">
        <w:rPr>
          <w:rFonts w:ascii="Tw Cen MT" w:hAnsi="Tw Cen MT"/>
          <w:i/>
          <w:iCs/>
          <w:noProof/>
          <w:sz w:val="24"/>
          <w:szCs w:val="24"/>
        </w:rPr>
        <w:t>Kickstarter</w:t>
      </w:r>
      <w:r w:rsidRPr="00FF30C7">
        <w:rPr>
          <w:rFonts w:ascii="Tw Cen MT" w:hAnsi="Tw Cen MT"/>
          <w:noProof/>
          <w:sz w:val="24"/>
          <w:szCs w:val="24"/>
        </w:rPr>
        <w:t xml:space="preserve"> campaigns</w:t>
      </w:r>
      <w:r>
        <w:rPr>
          <w:rFonts w:ascii="Tw Cen MT" w:hAnsi="Tw Cen MT"/>
          <w:noProof/>
          <w:sz w:val="24"/>
          <w:szCs w:val="24"/>
        </w:rPr>
        <w:t xml:space="preserve"> from May 2009 – March 2017.</w:t>
      </w:r>
    </w:p>
    <w:p w14:paraId="506AC046" w14:textId="396F23DD" w:rsidR="0091054E" w:rsidRDefault="0091054E" w:rsidP="00C0731A">
      <w:pPr>
        <w:ind w:firstLine="360"/>
        <w:rPr>
          <w:rFonts w:ascii="Tw Cen MT" w:hAnsi="Tw Cen MT"/>
          <w:sz w:val="24"/>
          <w:szCs w:val="24"/>
        </w:rPr>
      </w:pPr>
      <w:r w:rsidRPr="00FF30C7">
        <w:rPr>
          <w:rFonts w:ascii="Tw Cen MT" w:hAnsi="Tw Cen M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5F1F10" wp14:editId="1E37764A">
            <wp:simplePos x="0" y="0"/>
            <wp:positionH relativeFrom="margin">
              <wp:align>center</wp:align>
            </wp:positionH>
            <wp:positionV relativeFrom="paragraph">
              <wp:posOffset>4705350</wp:posOffset>
            </wp:positionV>
            <wp:extent cx="5943600" cy="4628515"/>
            <wp:effectExtent l="0" t="0" r="0" b="63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80F32C-ABDC-485A-B49F-CBAB858A7D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ascii="Tw Cen MT" w:hAnsi="Tw Cen MT"/>
          <w:sz w:val="24"/>
          <w:szCs w:val="24"/>
        </w:rPr>
        <w:t xml:space="preserve">Relatively few </w:t>
      </w:r>
      <w:r w:rsidRPr="00FF30C7">
        <w:rPr>
          <w:rFonts w:ascii="Tw Cen MT" w:hAnsi="Tw Cen MT"/>
          <w:i/>
          <w:iCs/>
          <w:sz w:val="24"/>
          <w:szCs w:val="24"/>
        </w:rPr>
        <w:t>Kickstarter</w:t>
      </w:r>
      <w:r>
        <w:rPr>
          <w:rFonts w:ascii="Tw Cen MT" w:hAnsi="Tw Cen MT"/>
          <w:sz w:val="24"/>
          <w:szCs w:val="24"/>
        </w:rPr>
        <w:t xml:space="preserve"> campaigns featured in this dataset (about 8%) have been canceled.</w:t>
      </w:r>
    </w:p>
    <w:p w14:paraId="715CF5DD" w14:textId="77777777" w:rsidR="0091054E" w:rsidRPr="00784CAE" w:rsidRDefault="0091054E" w:rsidP="0091054E">
      <w:pPr>
        <w:spacing w:line="360" w:lineRule="auto"/>
        <w:rPr>
          <w:rFonts w:ascii="Tw Cen MT" w:hAnsi="Tw Cen MT"/>
          <w:noProof/>
          <w:sz w:val="24"/>
          <w:szCs w:val="24"/>
        </w:rPr>
      </w:pPr>
    </w:p>
    <w:p w14:paraId="4BA8F0D0" w14:textId="77777777" w:rsidR="005C012C" w:rsidRDefault="00AF10C2" w:rsidP="00AF10C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C41E536" wp14:editId="36638CEC">
            <wp:extent cx="6073140" cy="4551680"/>
            <wp:effectExtent l="0" t="0" r="3810" b="12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D88F057-FD08-4FD4-8011-903494256D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828493" w14:textId="24221C6B" w:rsidR="00AF10C2" w:rsidRDefault="00AF10C2" w:rsidP="00AF10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4CB94D" wp14:editId="0B2B2437">
            <wp:extent cx="5402580" cy="4229735"/>
            <wp:effectExtent l="0" t="0" r="7620" b="184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53BC04E-0507-4C1E-9049-911A856934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2FE316F6" w14:textId="77777777" w:rsidR="00AF10C2" w:rsidRDefault="00AF10C2" w:rsidP="00AF10C2">
      <w:pPr>
        <w:jc w:val="center"/>
      </w:pPr>
    </w:p>
    <w:p w14:paraId="2F8E542B" w14:textId="1164E20C" w:rsidR="00895FEB" w:rsidRPr="00C0731A" w:rsidRDefault="00895FEB" w:rsidP="00C0731A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  <w:u w:val="single"/>
        </w:rPr>
      </w:pPr>
      <w:r w:rsidRPr="00C0731A">
        <w:rPr>
          <w:rFonts w:ascii="Tw Cen MT" w:hAnsi="Tw Cen MT"/>
          <w:sz w:val="24"/>
          <w:szCs w:val="24"/>
          <w:u w:val="single"/>
        </w:rPr>
        <w:lastRenderedPageBreak/>
        <w:t>Limitations</w:t>
      </w:r>
    </w:p>
    <w:p w14:paraId="320B643A" w14:textId="0FC39327" w:rsidR="00255069" w:rsidRDefault="00895FEB" w:rsidP="00C0731A">
      <w:pPr>
        <w:spacing w:line="360" w:lineRule="auto"/>
        <w:ind w:left="360"/>
        <w:rPr>
          <w:rFonts w:ascii="Tw Cen MT" w:hAnsi="Tw Cen MT"/>
          <w:sz w:val="24"/>
          <w:szCs w:val="24"/>
        </w:rPr>
      </w:pPr>
      <w:r w:rsidRPr="00895FEB">
        <w:rPr>
          <w:rFonts w:ascii="Tw Cen MT" w:hAnsi="Tw Cen MT"/>
          <w:sz w:val="24"/>
          <w:szCs w:val="24"/>
        </w:rPr>
        <w:t xml:space="preserve">The dataset used for this analysis </w:t>
      </w:r>
      <w:r>
        <w:rPr>
          <w:rFonts w:ascii="Tw Cen MT" w:hAnsi="Tw Cen MT"/>
          <w:sz w:val="24"/>
          <w:szCs w:val="24"/>
        </w:rPr>
        <w:t xml:space="preserve">represents only about 1% of all </w:t>
      </w:r>
      <w:r w:rsidRPr="00895FEB">
        <w:rPr>
          <w:rFonts w:ascii="Tw Cen MT" w:hAnsi="Tw Cen MT"/>
          <w:i/>
          <w:iCs/>
          <w:sz w:val="24"/>
          <w:szCs w:val="24"/>
        </w:rPr>
        <w:t xml:space="preserve">Kickstarter </w:t>
      </w:r>
      <w:r>
        <w:rPr>
          <w:rFonts w:ascii="Tw Cen MT" w:hAnsi="Tw Cen MT"/>
          <w:sz w:val="24"/>
          <w:szCs w:val="24"/>
        </w:rPr>
        <w:t>campaigns</w:t>
      </w:r>
      <w:r w:rsidR="00E35CF5">
        <w:rPr>
          <w:rFonts w:ascii="Tw Cen MT" w:hAnsi="Tw Cen MT"/>
          <w:sz w:val="24"/>
          <w:szCs w:val="24"/>
        </w:rPr>
        <w:t xml:space="preserve"> launched</w:t>
      </w:r>
      <w:r>
        <w:rPr>
          <w:rFonts w:ascii="Tw Cen MT" w:hAnsi="Tw Cen MT"/>
          <w:sz w:val="24"/>
          <w:szCs w:val="24"/>
        </w:rPr>
        <w:t xml:space="preserve">. </w:t>
      </w:r>
      <w:r w:rsidR="00255069">
        <w:rPr>
          <w:rFonts w:ascii="Tw Cen MT" w:hAnsi="Tw Cen MT"/>
          <w:sz w:val="24"/>
          <w:szCs w:val="24"/>
        </w:rPr>
        <w:t>Most</w:t>
      </w:r>
      <w:r w:rsidR="00E35CF5">
        <w:rPr>
          <w:rFonts w:ascii="Tw Cen MT" w:hAnsi="Tw Cen MT"/>
          <w:sz w:val="24"/>
          <w:szCs w:val="24"/>
        </w:rPr>
        <w:t xml:space="preserve"> (99%) of all</w:t>
      </w:r>
      <w:r w:rsidR="00255069">
        <w:rPr>
          <w:rFonts w:ascii="Tw Cen MT" w:hAnsi="Tw Cen MT"/>
          <w:sz w:val="24"/>
          <w:szCs w:val="24"/>
        </w:rPr>
        <w:t xml:space="preserve"> </w:t>
      </w:r>
      <w:r w:rsidR="00255069" w:rsidRPr="00E35CF5">
        <w:rPr>
          <w:rFonts w:ascii="Tw Cen MT" w:hAnsi="Tw Cen MT"/>
          <w:i/>
          <w:iCs/>
          <w:sz w:val="24"/>
          <w:szCs w:val="24"/>
        </w:rPr>
        <w:t xml:space="preserve">Kickstarter </w:t>
      </w:r>
      <w:r w:rsidR="00255069">
        <w:rPr>
          <w:rFonts w:ascii="Tw Cen MT" w:hAnsi="Tw Cen MT"/>
          <w:sz w:val="24"/>
          <w:szCs w:val="24"/>
        </w:rPr>
        <w:t xml:space="preserve">campaigns </w:t>
      </w:r>
      <w:r w:rsidR="00E35CF5">
        <w:rPr>
          <w:rFonts w:ascii="Tw Cen MT" w:hAnsi="Tw Cen MT"/>
          <w:sz w:val="24"/>
          <w:szCs w:val="24"/>
        </w:rPr>
        <w:t xml:space="preserve">ever launched </w:t>
      </w:r>
      <w:r w:rsidR="00255069">
        <w:rPr>
          <w:rFonts w:ascii="Tw Cen MT" w:hAnsi="Tw Cen MT"/>
          <w:sz w:val="24"/>
          <w:szCs w:val="24"/>
        </w:rPr>
        <w:t xml:space="preserve">have been </w:t>
      </w:r>
      <w:r w:rsidR="00E35CF5">
        <w:rPr>
          <w:rFonts w:ascii="Tw Cen MT" w:hAnsi="Tw Cen MT"/>
          <w:sz w:val="24"/>
          <w:szCs w:val="24"/>
        </w:rPr>
        <w:t>launched</w:t>
      </w:r>
      <w:r w:rsidR="00255069">
        <w:rPr>
          <w:rFonts w:ascii="Tw Cen MT" w:hAnsi="Tw Cen MT"/>
          <w:sz w:val="24"/>
          <w:szCs w:val="24"/>
        </w:rPr>
        <w:t xml:space="preserve"> in the last 2.5 years, and that data is not included in this analysis.  Thus, the results of this analysis represent a span of time during which there was much less </w:t>
      </w:r>
      <w:r w:rsidR="00255069" w:rsidRPr="00255069">
        <w:rPr>
          <w:rFonts w:ascii="Tw Cen MT" w:hAnsi="Tw Cen MT"/>
          <w:i/>
          <w:iCs/>
          <w:sz w:val="24"/>
          <w:szCs w:val="24"/>
        </w:rPr>
        <w:t xml:space="preserve">Kickstarter </w:t>
      </w:r>
      <w:r w:rsidR="00255069">
        <w:rPr>
          <w:rFonts w:ascii="Tw Cen MT" w:hAnsi="Tw Cen MT"/>
          <w:sz w:val="24"/>
          <w:szCs w:val="24"/>
        </w:rPr>
        <w:t>activity and awareness.</w:t>
      </w:r>
    </w:p>
    <w:p w14:paraId="2AB886E3" w14:textId="51D47EE8" w:rsidR="00895FEB" w:rsidRPr="00895FEB" w:rsidRDefault="00E177E0" w:rsidP="00C0731A">
      <w:pPr>
        <w:spacing w:line="360" w:lineRule="auto"/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Projects that were not successfully funded between May 2009 and March 2017 may be designated either ‘Canceled’ or ‘Failed;’ however, there are some campaigns that did attain the necessary funding and were still canceled.  </w:t>
      </w:r>
      <w:r w:rsidR="0091054E">
        <w:rPr>
          <w:rFonts w:ascii="Tw Cen MT" w:hAnsi="Tw Cen MT"/>
          <w:sz w:val="24"/>
          <w:szCs w:val="24"/>
        </w:rPr>
        <w:t>We don’t know which factors other than funding may have contributed to the outcome of a campaign.</w:t>
      </w:r>
    </w:p>
    <w:p w14:paraId="4369C907" w14:textId="601575F4" w:rsidR="00895FEB" w:rsidRDefault="00E177E0" w:rsidP="00C0731A">
      <w:pPr>
        <w:spacing w:line="360" w:lineRule="auto"/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It’s </w:t>
      </w:r>
      <w:r w:rsidR="007A3A3D">
        <w:rPr>
          <w:rFonts w:ascii="Tw Cen MT" w:hAnsi="Tw Cen MT"/>
          <w:sz w:val="24"/>
          <w:szCs w:val="24"/>
        </w:rPr>
        <w:t xml:space="preserve">also </w:t>
      </w:r>
      <w:r>
        <w:rPr>
          <w:rFonts w:ascii="Tw Cen MT" w:hAnsi="Tw Cen MT"/>
          <w:sz w:val="24"/>
          <w:szCs w:val="24"/>
        </w:rPr>
        <w:t xml:space="preserve">possible that some failed and canceled campaigns were re-launched at a later date and completed successfully.  </w:t>
      </w:r>
    </w:p>
    <w:p w14:paraId="325AEC28" w14:textId="65227E31" w:rsidR="0091054E" w:rsidRDefault="0091054E" w:rsidP="00E35CF5">
      <w:pPr>
        <w:spacing w:line="360" w:lineRule="auto"/>
        <w:rPr>
          <w:rFonts w:ascii="Tw Cen MT" w:hAnsi="Tw Cen MT"/>
          <w:sz w:val="24"/>
          <w:szCs w:val="24"/>
        </w:rPr>
      </w:pPr>
    </w:p>
    <w:p w14:paraId="774FF876" w14:textId="086B1BC6" w:rsidR="0091054E" w:rsidRPr="00C0731A" w:rsidRDefault="0091054E" w:rsidP="00C0731A">
      <w:pPr>
        <w:pStyle w:val="ListParagraph"/>
        <w:numPr>
          <w:ilvl w:val="0"/>
          <w:numId w:val="1"/>
        </w:numPr>
        <w:spacing w:line="360" w:lineRule="auto"/>
        <w:rPr>
          <w:rFonts w:ascii="Tw Cen MT" w:hAnsi="Tw Cen MT"/>
          <w:sz w:val="24"/>
          <w:szCs w:val="24"/>
          <w:u w:val="single"/>
        </w:rPr>
      </w:pPr>
      <w:r w:rsidRPr="00C0731A">
        <w:rPr>
          <w:rFonts w:ascii="Tw Cen MT" w:hAnsi="Tw Cen MT"/>
          <w:sz w:val="24"/>
          <w:szCs w:val="24"/>
          <w:u w:val="single"/>
        </w:rPr>
        <w:t>Other Tables or Graphs</w:t>
      </w:r>
    </w:p>
    <w:p w14:paraId="2ED1F4FE" w14:textId="403CBDCE" w:rsidR="0091054E" w:rsidRDefault="00C0731A" w:rsidP="00060F96">
      <w:pPr>
        <w:spacing w:line="360" w:lineRule="auto"/>
        <w:ind w:firstLine="360"/>
        <w:jc w:val="center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Bar chart showing the r</w:t>
      </w:r>
      <w:r w:rsidR="0091054E">
        <w:rPr>
          <w:rFonts w:ascii="Tw Cen MT" w:hAnsi="Tw Cen MT"/>
          <w:sz w:val="24"/>
          <w:szCs w:val="24"/>
        </w:rPr>
        <w:t>elative percentages of Success by Category</w:t>
      </w:r>
      <w:r w:rsidR="00060F96">
        <w:rPr>
          <w:rFonts w:ascii="Tw Cen MT" w:hAnsi="Tw Cen MT"/>
          <w:sz w:val="24"/>
          <w:szCs w:val="24"/>
        </w:rPr>
        <w:t xml:space="preserve"> </w:t>
      </w:r>
      <w:r w:rsidR="00060F96">
        <w:rPr>
          <w:noProof/>
        </w:rPr>
        <w:drawing>
          <wp:inline distT="0" distB="0" distL="0" distR="0" wp14:anchorId="754A553C" wp14:editId="141CD4E0">
            <wp:extent cx="4572000" cy="2748915"/>
            <wp:effectExtent l="0" t="0" r="0" b="1333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92C599B-329D-4C98-835E-7733F096F7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3A0BB1" w14:textId="77777777" w:rsidR="00060F96" w:rsidRDefault="00060F96" w:rsidP="00C0731A">
      <w:pPr>
        <w:spacing w:line="360" w:lineRule="auto"/>
        <w:ind w:firstLine="360"/>
        <w:rPr>
          <w:rFonts w:ascii="Tw Cen MT" w:hAnsi="Tw Cen MT"/>
          <w:sz w:val="24"/>
          <w:szCs w:val="24"/>
        </w:rPr>
      </w:pPr>
    </w:p>
    <w:p w14:paraId="4C847270" w14:textId="77777777" w:rsidR="00060F96" w:rsidRDefault="00060F96" w:rsidP="00C0731A">
      <w:pPr>
        <w:spacing w:line="360" w:lineRule="auto"/>
        <w:ind w:firstLine="360"/>
        <w:rPr>
          <w:rFonts w:ascii="Tw Cen MT" w:hAnsi="Tw Cen MT"/>
          <w:sz w:val="24"/>
          <w:szCs w:val="24"/>
        </w:rPr>
      </w:pPr>
    </w:p>
    <w:p w14:paraId="445D911F" w14:textId="77777777" w:rsidR="00060F96" w:rsidRDefault="00060F96" w:rsidP="00C0731A">
      <w:pPr>
        <w:spacing w:line="360" w:lineRule="auto"/>
        <w:ind w:firstLine="360"/>
        <w:rPr>
          <w:rFonts w:ascii="Tw Cen MT" w:hAnsi="Tw Cen MT"/>
          <w:sz w:val="24"/>
          <w:szCs w:val="24"/>
        </w:rPr>
      </w:pPr>
    </w:p>
    <w:p w14:paraId="799E950E" w14:textId="77777777" w:rsidR="00060F96" w:rsidRDefault="00060F96" w:rsidP="00C0731A">
      <w:pPr>
        <w:spacing w:line="360" w:lineRule="auto"/>
        <w:ind w:firstLine="360"/>
        <w:rPr>
          <w:rFonts w:ascii="Tw Cen MT" w:hAnsi="Tw Cen MT"/>
          <w:sz w:val="24"/>
          <w:szCs w:val="24"/>
        </w:rPr>
      </w:pPr>
    </w:p>
    <w:p w14:paraId="6780B537" w14:textId="77777777" w:rsidR="00060F96" w:rsidRDefault="00060F96" w:rsidP="00C0731A">
      <w:pPr>
        <w:spacing w:line="360" w:lineRule="auto"/>
        <w:ind w:firstLine="360"/>
        <w:rPr>
          <w:rFonts w:ascii="Tw Cen MT" w:hAnsi="Tw Cen MT"/>
          <w:sz w:val="24"/>
          <w:szCs w:val="24"/>
        </w:rPr>
      </w:pPr>
    </w:p>
    <w:p w14:paraId="6A13C942" w14:textId="77777777" w:rsidR="00060F96" w:rsidRDefault="00060F96" w:rsidP="00C0731A">
      <w:pPr>
        <w:spacing w:line="360" w:lineRule="auto"/>
        <w:ind w:firstLine="360"/>
        <w:rPr>
          <w:rFonts w:ascii="Tw Cen MT" w:hAnsi="Tw Cen MT"/>
          <w:sz w:val="24"/>
          <w:szCs w:val="24"/>
        </w:rPr>
      </w:pPr>
    </w:p>
    <w:p w14:paraId="0C32009E" w14:textId="4FB4E721" w:rsidR="0091054E" w:rsidRDefault="00C0731A" w:rsidP="00FB5D6D">
      <w:pPr>
        <w:spacing w:line="360" w:lineRule="auto"/>
        <w:ind w:firstLine="360"/>
        <w:jc w:val="center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 xml:space="preserve">A pie chart showing the </w:t>
      </w:r>
      <w:r w:rsidR="0091054E">
        <w:rPr>
          <w:rFonts w:ascii="Tw Cen MT" w:hAnsi="Tw Cen MT"/>
          <w:sz w:val="24"/>
          <w:szCs w:val="24"/>
        </w:rPr>
        <w:t>distribution of</w:t>
      </w:r>
      <w:r>
        <w:rPr>
          <w:rFonts w:ascii="Tw Cen MT" w:hAnsi="Tw Cen MT"/>
          <w:sz w:val="24"/>
          <w:szCs w:val="24"/>
        </w:rPr>
        <w:t xml:space="preserve"> all Categories</w:t>
      </w:r>
    </w:p>
    <w:p w14:paraId="0F761CC9" w14:textId="13CEF2FA" w:rsidR="00823880" w:rsidRDefault="00823880" w:rsidP="00060F96">
      <w:pPr>
        <w:spacing w:line="360" w:lineRule="auto"/>
        <w:ind w:firstLine="360"/>
        <w:jc w:val="center"/>
        <w:rPr>
          <w:rFonts w:ascii="Tw Cen MT" w:hAnsi="Tw Cen MT"/>
          <w:sz w:val="24"/>
          <w:szCs w:val="24"/>
        </w:rPr>
      </w:pPr>
      <w:r>
        <w:rPr>
          <w:noProof/>
        </w:rPr>
        <w:drawing>
          <wp:inline distT="0" distB="0" distL="0" distR="0" wp14:anchorId="054C24DC" wp14:editId="1947403F">
            <wp:extent cx="4981575" cy="359092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21485CB-5C2C-4BAA-93EE-6E58E3C534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2FA6E1" w14:textId="77777777" w:rsidR="00E518DB" w:rsidRDefault="00E518DB" w:rsidP="00060F96">
      <w:pPr>
        <w:spacing w:line="360" w:lineRule="auto"/>
        <w:ind w:firstLine="360"/>
        <w:jc w:val="center"/>
        <w:rPr>
          <w:rFonts w:ascii="Tw Cen MT" w:hAnsi="Tw Cen MT"/>
          <w:sz w:val="24"/>
          <w:szCs w:val="24"/>
        </w:rPr>
      </w:pPr>
    </w:p>
    <w:p w14:paraId="5BCF12D6" w14:textId="021356A9" w:rsidR="002357A4" w:rsidRDefault="002357A4" w:rsidP="00060F96">
      <w:pPr>
        <w:spacing w:line="360" w:lineRule="auto"/>
        <w:ind w:firstLine="360"/>
        <w:jc w:val="center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Average goal amount by Sub-Category</w:t>
      </w:r>
      <w:r w:rsidR="00060F96">
        <w:rPr>
          <w:rFonts w:ascii="Tw Cen MT" w:hAnsi="Tw Cen MT"/>
          <w:sz w:val="24"/>
          <w:szCs w:val="24"/>
        </w:rPr>
        <w:t xml:space="preserve"> </w:t>
      </w:r>
      <w:r w:rsidR="00060F96">
        <w:rPr>
          <w:noProof/>
        </w:rPr>
        <w:drawing>
          <wp:inline distT="0" distB="0" distL="0" distR="0" wp14:anchorId="62E563E6" wp14:editId="611FDEEE">
            <wp:extent cx="5589270" cy="4123372"/>
            <wp:effectExtent l="0" t="0" r="11430" b="1079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59CB502-A968-4B2F-8AB7-A1CDDB4874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6BD341" w14:textId="77777777" w:rsidR="00E85631" w:rsidRDefault="00E85631" w:rsidP="00060F96">
      <w:pPr>
        <w:spacing w:line="360" w:lineRule="auto"/>
        <w:ind w:firstLine="360"/>
        <w:jc w:val="center"/>
        <w:rPr>
          <w:rFonts w:ascii="Tw Cen MT" w:hAnsi="Tw Cen MT"/>
          <w:sz w:val="24"/>
          <w:szCs w:val="24"/>
        </w:rPr>
      </w:pPr>
    </w:p>
    <w:p w14:paraId="3AF04878" w14:textId="28AEBBEA" w:rsidR="00E85631" w:rsidRDefault="00E85631" w:rsidP="00060F96">
      <w:pPr>
        <w:spacing w:line="360" w:lineRule="auto"/>
        <w:ind w:firstLine="360"/>
        <w:jc w:val="center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>Bonus</w:t>
      </w:r>
    </w:p>
    <w:p w14:paraId="60F94D49" w14:textId="0D9436E3" w:rsidR="00E85631" w:rsidRDefault="00E85631" w:rsidP="00060F96">
      <w:pPr>
        <w:spacing w:line="360" w:lineRule="auto"/>
        <w:ind w:firstLine="360"/>
        <w:jc w:val="center"/>
        <w:rPr>
          <w:rFonts w:ascii="Tw Cen MT" w:hAnsi="Tw Cen MT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90BE96" wp14:editId="3DA72C5A">
            <wp:extent cx="6858000" cy="3255010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535EE91-5245-41FA-B7EE-D01EA51A2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0A66E1" w14:textId="23F690D9" w:rsidR="00E85631" w:rsidRDefault="00E85631" w:rsidP="00060F96">
      <w:pPr>
        <w:spacing w:line="360" w:lineRule="auto"/>
        <w:ind w:firstLine="360"/>
        <w:jc w:val="center"/>
        <w:rPr>
          <w:rFonts w:ascii="Tw Cen MT" w:hAnsi="Tw Cen MT"/>
          <w:sz w:val="24"/>
          <w:szCs w:val="24"/>
          <w:u w:val="single"/>
        </w:rPr>
      </w:pPr>
    </w:p>
    <w:p w14:paraId="451F91F9" w14:textId="73526BD8" w:rsidR="00E85631" w:rsidRPr="00E85631" w:rsidRDefault="00E85631" w:rsidP="00E85631">
      <w:pPr>
        <w:spacing w:line="360" w:lineRule="auto"/>
        <w:ind w:left="360"/>
        <w:rPr>
          <w:rFonts w:ascii="Tw Cen MT" w:hAnsi="Tw Cen MT"/>
          <w:sz w:val="24"/>
          <w:szCs w:val="24"/>
        </w:rPr>
      </w:pPr>
      <w:r w:rsidRPr="00E85631">
        <w:rPr>
          <w:rFonts w:ascii="Tw Cen MT" w:hAnsi="Tw Cen MT"/>
          <w:sz w:val="24"/>
          <w:szCs w:val="24"/>
        </w:rPr>
        <w:t>Overall, projects with lower goal amounts tend to be most successful</w:t>
      </w:r>
      <w:r>
        <w:rPr>
          <w:rFonts w:ascii="Tw Cen MT" w:hAnsi="Tw Cen MT"/>
          <w:sz w:val="24"/>
          <w:szCs w:val="24"/>
        </w:rPr>
        <w:t>, and projects with higher goal amounts are more likely to fail.</w:t>
      </w:r>
    </w:p>
    <w:sectPr w:rsidR="00E85631" w:rsidRPr="00E85631" w:rsidSect="00AD2C6B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9674A"/>
    <w:multiLevelType w:val="hybridMultilevel"/>
    <w:tmpl w:val="9110AC04"/>
    <w:lvl w:ilvl="0" w:tplc="E0E2E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F0"/>
    <w:rsid w:val="00060F96"/>
    <w:rsid w:val="00085754"/>
    <w:rsid w:val="002357A4"/>
    <w:rsid w:val="00255069"/>
    <w:rsid w:val="00456F3B"/>
    <w:rsid w:val="005C012C"/>
    <w:rsid w:val="00616588"/>
    <w:rsid w:val="00623F83"/>
    <w:rsid w:val="0065379E"/>
    <w:rsid w:val="006E50F0"/>
    <w:rsid w:val="00784CAE"/>
    <w:rsid w:val="007962E7"/>
    <w:rsid w:val="007A3A3D"/>
    <w:rsid w:val="00823880"/>
    <w:rsid w:val="00895FEB"/>
    <w:rsid w:val="008B5F98"/>
    <w:rsid w:val="0091054E"/>
    <w:rsid w:val="00A205BF"/>
    <w:rsid w:val="00AB59BD"/>
    <w:rsid w:val="00AD2C6B"/>
    <w:rsid w:val="00AF10C2"/>
    <w:rsid w:val="00B413A8"/>
    <w:rsid w:val="00C0731A"/>
    <w:rsid w:val="00DF2873"/>
    <w:rsid w:val="00E177E0"/>
    <w:rsid w:val="00E35CF5"/>
    <w:rsid w:val="00E37C3F"/>
    <w:rsid w:val="00E518DB"/>
    <w:rsid w:val="00E85631"/>
    <w:rsid w:val="00FB5D6D"/>
    <w:rsid w:val="00F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A00"/>
  <w15:chartTrackingRefBased/>
  <w15:docId w15:val="{B4F28C3F-417A-4E66-B3DB-BF609806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ops\Desktop\StarterBook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ops\Desktop\Boardman-Excel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ops\Desktop\StarterBook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qops\Desktop\StarterBook%20(2)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ops\Desktop\StarterBook%20(2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ops\Desktop\StarterBook%20(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ops\Desktop\StarterBook%20(2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ops\Desktop\StarterBook%20(2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(2).xlsx]StateCountByCampaignCategory!PivotTable1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State Count</a:t>
            </a:r>
            <a:r>
              <a:rPr lang="en-US" b="1" baseline="0">
                <a:solidFill>
                  <a:srgbClr val="002060"/>
                </a:solidFill>
              </a:rPr>
              <a:t> by Campaign Category</a:t>
            </a:r>
            <a:endParaRPr lang="en-US" b="1">
              <a:solidFill>
                <a:srgbClr val="00206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9447473796393043E-2"/>
          <c:y val="0.13874766267557717"/>
          <c:w val="0.76818793346195968"/>
          <c:h val="0.6856054856688822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StateCountByCampaignCategory!$B$3:$B$4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StateCountByCampaignCategory!$A$5:$A$14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StateCountByCampaignCategory!$B$5:$B$14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73-4C6B-9356-2EEB17895A8E}"/>
            </c:ext>
          </c:extLst>
        </c:ser>
        <c:ser>
          <c:idx val="1"/>
          <c:order val="1"/>
          <c:tx>
            <c:strRef>
              <c:f>StateCountByCampaignCategory!$C$3:$C$4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StateCountByCampaignCategory!$A$5:$A$14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StateCountByCampaignCategory!$C$5:$C$14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73-4C6B-9356-2EEB17895A8E}"/>
            </c:ext>
          </c:extLst>
        </c:ser>
        <c:ser>
          <c:idx val="2"/>
          <c:order val="2"/>
          <c:tx>
            <c:strRef>
              <c:f>StateCountByCampaignCategory!$D$3:$D$4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StateCountByCampaignCategory!$A$5:$A$14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StateCountByCampaignCategory!$D$5:$D$14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73-4C6B-9356-2EEB17895A8E}"/>
            </c:ext>
          </c:extLst>
        </c:ser>
        <c:ser>
          <c:idx val="3"/>
          <c:order val="3"/>
          <c:tx>
            <c:strRef>
              <c:f>StateCountByCampaignCategory!$E$3:$E$4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StateCountByCampaignCategory!$A$5:$A$14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StateCountByCampaignCategory!$E$5:$E$14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F73-4C6B-9356-2EEB17895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3276080"/>
        <c:axId val="573276408"/>
      </c:barChart>
      <c:catAx>
        <c:axId val="57327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rgbClr val="002060"/>
                    </a:solidFill>
                  </a:rPr>
                  <a:t>Campaign</a:t>
                </a:r>
                <a:r>
                  <a:rPr lang="en-US" sz="1100" b="1" baseline="0">
                    <a:solidFill>
                      <a:srgbClr val="002060"/>
                    </a:solidFill>
                  </a:rPr>
                  <a:t> Category</a:t>
                </a:r>
                <a:endParaRPr lang="en-US" sz="1100" b="1">
                  <a:solidFill>
                    <a:srgbClr val="00206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276408"/>
        <c:crosses val="autoZero"/>
        <c:auto val="1"/>
        <c:lblAlgn val="ctr"/>
        <c:lblOffset val="100"/>
        <c:noMultiLvlLbl val="0"/>
      </c:catAx>
      <c:valAx>
        <c:axId val="573276408"/>
        <c:scaling>
          <c:orientation val="minMax"/>
          <c:max val="15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rgbClr val="002060"/>
                    </a:solidFill>
                  </a:rPr>
                  <a:t>State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27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[Boardman-ExcelChallenge.xlsx]Sheet2!PivotTable3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24720809695849"/>
          <c:y val="8.9058398477155826E-2"/>
          <c:w val="0.73589727806726191"/>
          <c:h val="0.80434593693487888"/>
        </c:manualLayout>
      </c:layout>
      <c:lineChart>
        <c:grouping val="standard"/>
        <c:varyColors val="0"/>
        <c:ser>
          <c:idx val="0"/>
          <c:order val="0"/>
          <c:tx>
            <c:strRef>
              <c:f>Sheet2!$B$4:$B$5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D0-4317-9B62-DDA450553117}"/>
            </c:ext>
          </c:extLst>
        </c:ser>
        <c:ser>
          <c:idx val="1"/>
          <c:order val="1"/>
          <c:tx>
            <c:strRef>
              <c:f>Sheet2!$C$4:$C$5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D0-4317-9B62-DDA450553117}"/>
            </c:ext>
          </c:extLst>
        </c:ser>
        <c:ser>
          <c:idx val="2"/>
          <c:order val="2"/>
          <c:tx>
            <c:strRef>
              <c:f>Sheet2!$D$4:$D$5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D0-4317-9B62-DDA450553117}"/>
            </c:ext>
          </c:extLst>
        </c:ser>
        <c:ser>
          <c:idx val="3"/>
          <c:order val="3"/>
          <c:tx>
            <c:strRef>
              <c:f>Sheet2!$E$4:$E$5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D0-4317-9B62-DDA450553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252256"/>
        <c:axId val="586252584"/>
      </c:lineChart>
      <c:catAx>
        <c:axId val="586252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Created Date</a:t>
                </a:r>
              </a:p>
            </c:rich>
          </c:tx>
          <c:layout>
            <c:manualLayout>
              <c:xMode val="edge"/>
              <c:yMode val="edge"/>
              <c:x val="0.41293141025963126"/>
              <c:y val="0.941707779977970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252584"/>
        <c:crosses val="autoZero"/>
        <c:auto val="1"/>
        <c:lblAlgn val="ctr"/>
        <c:lblOffset val="100"/>
        <c:noMultiLvlLbl val="0"/>
      </c:catAx>
      <c:valAx>
        <c:axId val="58625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#</a:t>
                </a:r>
                <a:r>
                  <a:rPr lang="en-US" sz="1100" baseline="0"/>
                  <a:t> of Campaigns</a:t>
                </a:r>
                <a:endParaRPr lang="en-US" sz="1100"/>
              </a:p>
            </c:rich>
          </c:tx>
          <c:layout>
            <c:manualLayout>
              <c:xMode val="edge"/>
              <c:yMode val="edge"/>
              <c:x val="1.1965298749327934E-2"/>
              <c:y val="0.395245083994550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25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(2).xlsx]StateCountByCampaignSubCategory!PivotTable2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 b="1">
                <a:solidFill>
                  <a:srgbClr val="002060"/>
                </a:solidFill>
              </a:rPr>
              <a:t>State Count by Campaign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StateCountByCampaignSubCategory!$B$4:$B$5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StateCountByCampaignSubCategory!$A$6:$A$47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StateCountByCampaignSubCategory!$B$6:$B$47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A5-48CE-8038-B6656D8F1F9E}"/>
            </c:ext>
          </c:extLst>
        </c:ser>
        <c:ser>
          <c:idx val="1"/>
          <c:order val="1"/>
          <c:tx>
            <c:strRef>
              <c:f>StateCountByCampaignSubCategory!$C$4:$C$5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StateCountByCampaignSubCategory!$A$6:$A$47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StateCountByCampaignSubCategory!$C$6:$C$47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A5-48CE-8038-B6656D8F1F9E}"/>
            </c:ext>
          </c:extLst>
        </c:ser>
        <c:ser>
          <c:idx val="2"/>
          <c:order val="2"/>
          <c:tx>
            <c:strRef>
              <c:f>StateCountByCampaignSubCategory!$D$4:$D$5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StateCountByCampaignSubCategory!$A$6:$A$47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StateCountByCampaignSubCategory!$D$6:$D$47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A5-48CE-8038-B6656D8F1F9E}"/>
            </c:ext>
          </c:extLst>
        </c:ser>
        <c:ser>
          <c:idx val="3"/>
          <c:order val="3"/>
          <c:tx>
            <c:strRef>
              <c:f>StateCountByCampaignSubCategory!$E$4:$E$5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StateCountByCampaignSubCategory!$A$6:$A$47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StateCountByCampaignSubCategory!$E$6:$E$47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A5-48CE-8038-B6656D8F1F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1809088"/>
        <c:axId val="571811712"/>
      </c:barChart>
      <c:catAx>
        <c:axId val="57180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rgbClr val="002060"/>
                    </a:solidFill>
                  </a:rPr>
                  <a:t>Campaign 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811712"/>
        <c:crosses val="autoZero"/>
        <c:auto val="1"/>
        <c:lblAlgn val="ctr"/>
        <c:lblOffset val="100"/>
        <c:noMultiLvlLbl val="0"/>
      </c:catAx>
      <c:valAx>
        <c:axId val="57181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rgbClr val="002060"/>
                    </a:solidFill>
                  </a:rPr>
                  <a:t>Count</a:t>
                </a:r>
                <a:r>
                  <a:rPr lang="en-US" sz="1200" b="1" baseline="0">
                    <a:solidFill>
                      <a:srgbClr val="002060"/>
                    </a:solidFill>
                  </a:rPr>
                  <a:t> of State</a:t>
                </a:r>
                <a:endParaRPr lang="en-US" sz="1200" b="1">
                  <a:solidFill>
                    <a:srgbClr val="002060"/>
                  </a:solidFill>
                </a:endParaRPr>
              </a:p>
            </c:rich>
          </c:tx>
          <c:layout>
            <c:manualLayout>
              <c:xMode val="edge"/>
              <c:yMode val="edge"/>
              <c:x val="1.4668133480014669E-2"/>
              <c:y val="0.376408746480962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80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[StarterBook (2).xlsx]StateCountsOverTime!PivotTable3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State Counts</a:t>
            </a:r>
            <a:r>
              <a:rPr lang="en-US" b="1" baseline="0">
                <a:solidFill>
                  <a:srgbClr val="002060"/>
                </a:solidFill>
              </a:rPr>
              <a:t> Over Year</a:t>
            </a:r>
            <a:endParaRPr lang="en-US" b="1">
              <a:solidFill>
                <a:srgbClr val="00206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StateCountsOverTime!$B$4:$B$5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StateCountsOverTime!$A$6:$A$18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StateCountsOverTime!$B$6:$B$18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98-4E1D-A618-4621ED383D3A}"/>
            </c:ext>
          </c:extLst>
        </c:ser>
        <c:ser>
          <c:idx val="1"/>
          <c:order val="1"/>
          <c:tx>
            <c:strRef>
              <c:f>StateCountsOverTime!$C$4:$C$5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StateCountsOverTime!$A$6:$A$18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StateCountsOverTime!$C$6:$C$18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98-4E1D-A618-4621ED383D3A}"/>
            </c:ext>
          </c:extLst>
        </c:ser>
        <c:ser>
          <c:idx val="2"/>
          <c:order val="2"/>
          <c:tx>
            <c:strRef>
              <c:f>StateCountsOverTime!$D$4:$D$5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StateCountsOverTime!$A$6:$A$18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StateCountsOverTime!$D$6:$D$18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98-4E1D-A618-4621ED383D3A}"/>
            </c:ext>
          </c:extLst>
        </c:ser>
        <c:ser>
          <c:idx val="3"/>
          <c:order val="3"/>
          <c:tx>
            <c:strRef>
              <c:f>StateCountsOverTime!$E$4:$E$5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StateCountsOverTime!$A$6:$A$18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StateCountsOverTime!$E$6:$E$18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D98-4E1D-A618-4621ED383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3268864"/>
        <c:axId val="573268208"/>
      </c:lineChart>
      <c:catAx>
        <c:axId val="573268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rgbClr val="002060"/>
                    </a:solidFill>
                  </a:rPr>
                  <a:t>State Count Change Over Launch Year</a:t>
                </a:r>
              </a:p>
            </c:rich>
          </c:tx>
          <c:layout>
            <c:manualLayout>
              <c:xMode val="edge"/>
              <c:yMode val="edge"/>
              <c:x val="0.30627700184167794"/>
              <c:y val="0.926156372979755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268208"/>
        <c:crosses val="autoZero"/>
        <c:auto val="1"/>
        <c:lblAlgn val="ctr"/>
        <c:lblOffset val="100"/>
        <c:noMultiLvlLbl val="0"/>
      </c:catAx>
      <c:valAx>
        <c:axId val="57326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rgbClr val="002060"/>
                    </a:solidFill>
                  </a:rPr>
                  <a:t>Count</a:t>
                </a:r>
                <a:r>
                  <a:rPr lang="en-US" sz="1200" b="1" baseline="0">
                    <a:solidFill>
                      <a:srgbClr val="002060"/>
                    </a:solidFill>
                  </a:rPr>
                  <a:t> of State</a:t>
                </a:r>
                <a:endParaRPr lang="en-US" sz="1200" b="1">
                  <a:solidFill>
                    <a:srgbClr val="00206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26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02060"/>
                </a:solidFill>
              </a:rPr>
              <a:t>% Successful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SuccessByCat!$C$3</c:f>
              <c:strCache>
                <c:ptCount val="1"/>
                <c:pt idx="0">
                  <c:v>%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SuccessByCat!$B$4:$B$12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Publishing</c:v>
                </c:pt>
                <c:pt idx="3">
                  <c:v>Technology</c:v>
                </c:pt>
                <c:pt idx="4">
                  <c:v>Games</c:v>
                </c:pt>
                <c:pt idx="5">
                  <c:v>Photography</c:v>
                </c:pt>
                <c:pt idx="6">
                  <c:v>Film &amp; Video</c:v>
                </c:pt>
                <c:pt idx="7">
                  <c:v>Theater</c:v>
                </c:pt>
                <c:pt idx="8">
                  <c:v>Music</c:v>
                </c:pt>
              </c:strCache>
            </c:strRef>
          </c:cat>
          <c:val>
            <c:numRef>
              <c:f>SuccessByCat!$C$4:$C$12</c:f>
              <c:numCache>
                <c:formatCode>0%</c:formatCode>
                <c:ptCount val="9"/>
                <c:pt idx="0">
                  <c:v>0</c:v>
                </c:pt>
                <c:pt idx="1">
                  <c:v>0.17</c:v>
                </c:pt>
                <c:pt idx="2">
                  <c:v>0.33755274261603374</c:v>
                </c:pt>
                <c:pt idx="3">
                  <c:v>0.34833333333333333</c:v>
                </c:pt>
                <c:pt idx="4">
                  <c:v>0.36363636363636365</c:v>
                </c:pt>
                <c:pt idx="5">
                  <c:v>0.4681818181818182</c:v>
                </c:pt>
                <c:pt idx="6">
                  <c:v>0.57692307692307687</c:v>
                </c:pt>
                <c:pt idx="7">
                  <c:v>0.60229720028715006</c:v>
                </c:pt>
                <c:pt idx="8">
                  <c:v>0.77142857142857146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6C-4B1C-9F4E-3928FAC049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047784"/>
        <c:axId val="550048440"/>
      </c:lineChart>
      <c:catAx>
        <c:axId val="550047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048440"/>
        <c:crosses val="autoZero"/>
        <c:auto val="1"/>
        <c:lblAlgn val="ctr"/>
        <c:lblOffset val="100"/>
        <c:noMultiLvlLbl val="0"/>
      </c:catAx>
      <c:valAx>
        <c:axId val="55004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047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 b="1">
                <a:solidFill>
                  <a:srgbClr val="002060"/>
                </a:solidFill>
              </a:rPr>
              <a:t>Campaigns by Category, 2009-2017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CatDistribution!$K$3</c:f>
              <c:strCache>
                <c:ptCount val="1"/>
                <c:pt idx="0">
                  <c:v># Campaigns Launched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855-4AFC-B9DB-C60C4C72B8D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855-4AFC-B9DB-C60C4C72B8D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855-4AFC-B9DB-C60C4C72B8D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855-4AFC-B9DB-C60C4C72B8D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1855-4AFC-B9DB-C60C4C72B8D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1855-4AFC-B9DB-C60C4C72B8D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1855-4AFC-B9DB-C60C4C72B8D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1855-4AFC-B9DB-C60C4C72B8D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1855-4AFC-B9DB-C60C4C72B8D7}"/>
              </c:ext>
            </c:extLst>
          </c:dPt>
          <c:dLbls>
            <c:dLbl>
              <c:idx val="2"/>
              <c:layout>
                <c:manualLayout>
                  <c:x val="1.0178117048346057E-2"/>
                  <c:y val="-1.867413632119517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855-4AFC-B9DB-C60C4C72B8D7}"/>
                </c:ext>
              </c:extLst>
            </c:dLbl>
            <c:dLbl>
              <c:idx val="3"/>
              <c:layout>
                <c:manualLayout>
                  <c:x val="7.6335877862593552E-3"/>
                  <c:y val="2.240896358543417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855-4AFC-B9DB-C60C4C72B8D7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00206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CatDistribution!$J$4:$J$12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CatDistribution!$K$4:$K$12</c:f>
              <c:numCache>
                <c:formatCode>General</c:formatCode>
                <c:ptCount val="9"/>
                <c:pt idx="0">
                  <c:v>520</c:v>
                </c:pt>
                <c:pt idx="1">
                  <c:v>200</c:v>
                </c:pt>
                <c:pt idx="2">
                  <c:v>220</c:v>
                </c:pt>
                <c:pt idx="3">
                  <c:v>24</c:v>
                </c:pt>
                <c:pt idx="4">
                  <c:v>700</c:v>
                </c:pt>
                <c:pt idx="5">
                  <c:v>220</c:v>
                </c:pt>
                <c:pt idx="6">
                  <c:v>237</c:v>
                </c:pt>
                <c:pt idx="7">
                  <c:v>600</c:v>
                </c:pt>
                <c:pt idx="8">
                  <c:v>1393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855-4AFC-B9DB-C60C4C72B8D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091082126184607"/>
          <c:y val="0.87385357810100828"/>
          <c:w val="0.72508565246138135"/>
          <c:h val="0.126146421898991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>
                <a:solidFill>
                  <a:srgbClr val="002060"/>
                </a:solidFill>
              </a:rPr>
              <a:t>Avg. Goal Amt. by SubCat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AvgGoalAmt!$G$2</c:f>
              <c:strCache>
                <c:ptCount val="1"/>
                <c:pt idx="0">
                  <c:v> Avg. Goal Amt. by SubCat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AvgGoalAmt!$F$3:$F$23</c:f>
              <c:strCache>
                <c:ptCount val="21"/>
                <c:pt idx="0">
                  <c:v>Shorts</c:v>
                </c:pt>
                <c:pt idx="1">
                  <c:v>Pop</c:v>
                </c:pt>
                <c:pt idx="2">
                  <c:v>Metal</c:v>
                </c:pt>
                <c:pt idx="3">
                  <c:v>Plays</c:v>
                </c:pt>
                <c:pt idx="4">
                  <c:v>Musical</c:v>
                </c:pt>
                <c:pt idx="5">
                  <c:v>Indie Rock</c:v>
                </c:pt>
                <c:pt idx="6">
                  <c:v>Classical Music</c:v>
                </c:pt>
                <c:pt idx="7">
                  <c:v>Rock</c:v>
                </c:pt>
                <c:pt idx="8">
                  <c:v>Electronic Music</c:v>
                </c:pt>
                <c:pt idx="9">
                  <c:v>Nonfiction</c:v>
                </c:pt>
                <c:pt idx="10">
                  <c:v>Tabletop Games</c:v>
                </c:pt>
                <c:pt idx="11">
                  <c:v>Makerspaces</c:v>
                </c:pt>
                <c:pt idx="12">
                  <c:v>Television</c:v>
                </c:pt>
                <c:pt idx="13">
                  <c:v>Space Exploration</c:v>
                </c:pt>
                <c:pt idx="14">
                  <c:v>Photobooks</c:v>
                </c:pt>
                <c:pt idx="15">
                  <c:v>Small Batch</c:v>
                </c:pt>
                <c:pt idx="16">
                  <c:v>Spaces</c:v>
                </c:pt>
                <c:pt idx="17">
                  <c:v>Wearables</c:v>
                </c:pt>
                <c:pt idx="18">
                  <c:v>Radio &amp; Podcasts</c:v>
                </c:pt>
                <c:pt idx="19">
                  <c:v>Documentary</c:v>
                </c:pt>
                <c:pt idx="20">
                  <c:v>Hardware</c:v>
                </c:pt>
              </c:strCache>
            </c:strRef>
          </c:cat>
          <c:val>
            <c:numRef>
              <c:f>AvgGoalAmt!$G$3:$G$23</c:f>
              <c:numCache>
                <c:formatCode>_("$"* #,##0.00_);_("$"* \(#,##0.00\);_("$"* "-"??_);_(@_)</c:formatCode>
                <c:ptCount val="21"/>
                <c:pt idx="0">
                  <c:v>2835</c:v>
                </c:pt>
                <c:pt idx="1">
                  <c:v>3927</c:v>
                </c:pt>
                <c:pt idx="2">
                  <c:v>3980.5</c:v>
                </c:pt>
                <c:pt idx="3">
                  <c:v>4100.8328530259369</c:v>
                </c:pt>
                <c:pt idx="4">
                  <c:v>4340</c:v>
                </c:pt>
                <c:pt idx="5">
                  <c:v>4386.881928571428</c:v>
                </c:pt>
                <c:pt idx="6">
                  <c:v>4557.875</c:v>
                </c:pt>
                <c:pt idx="7">
                  <c:v>4999.4251923076927</c:v>
                </c:pt>
                <c:pt idx="8">
                  <c:v>5067.8500000000004</c:v>
                </c:pt>
                <c:pt idx="9">
                  <c:v>5730.4333333333334</c:v>
                </c:pt>
                <c:pt idx="10">
                  <c:v>8405.3250000000007</c:v>
                </c:pt>
                <c:pt idx="11">
                  <c:v>8811.1111111111113</c:v>
                </c:pt>
                <c:pt idx="12">
                  <c:v>9037.2833333333328</c:v>
                </c:pt>
                <c:pt idx="13">
                  <c:v>11182.55</c:v>
                </c:pt>
                <c:pt idx="14">
                  <c:v>14338.184466019418</c:v>
                </c:pt>
                <c:pt idx="15">
                  <c:v>14379.411764705883</c:v>
                </c:pt>
                <c:pt idx="16">
                  <c:v>15772.635294117646</c:v>
                </c:pt>
                <c:pt idx="17">
                  <c:v>16437.900000000001</c:v>
                </c:pt>
                <c:pt idx="18">
                  <c:v>18997.5</c:v>
                </c:pt>
                <c:pt idx="19">
                  <c:v>21039.655555555557</c:v>
                </c:pt>
                <c:pt idx="20">
                  <c:v>41855.777071428573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73-4BD1-96B4-0009503C28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925392"/>
        <c:axId val="619926048"/>
      </c:barChart>
      <c:catAx>
        <c:axId val="619925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rgbClr val="002060"/>
                    </a:solidFill>
                  </a:rPr>
                  <a:t>SubCategory</a:t>
                </a:r>
              </a:p>
            </c:rich>
          </c:tx>
          <c:layout>
            <c:manualLayout>
              <c:xMode val="edge"/>
              <c:yMode val="edge"/>
              <c:x val="0.44029014620102908"/>
              <c:y val="0.933995525991833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926048"/>
        <c:crosses val="autoZero"/>
        <c:auto val="1"/>
        <c:lblAlgn val="ctr"/>
        <c:lblOffset val="100"/>
        <c:noMultiLvlLbl val="0"/>
      </c:catAx>
      <c:valAx>
        <c:axId val="61992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rgbClr val="002060"/>
                    </a:solidFill>
                  </a:rPr>
                  <a:t>Avg.</a:t>
                </a:r>
                <a:r>
                  <a:rPr lang="en-US" sz="1100" b="1" baseline="0">
                    <a:solidFill>
                      <a:srgbClr val="002060"/>
                    </a:solidFill>
                  </a:rPr>
                  <a:t> Goal</a:t>
                </a:r>
                <a:endParaRPr lang="en-US" sz="1100" b="1">
                  <a:solidFill>
                    <a:srgbClr val="002060"/>
                  </a:solidFill>
                </a:endParaRPr>
              </a:p>
            </c:rich>
          </c:tx>
          <c:layout>
            <c:manualLayout>
              <c:xMode val="edge"/>
              <c:yMode val="edge"/>
              <c:x val="6.8212824010914054E-3"/>
              <c:y val="0.34432910734224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92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2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(2).xlsx]OutcomesBasedGoal!PivotTable2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002060"/>
                </a:solidFill>
              </a:rPr>
              <a:t>Outcomes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OutcomesBasedGoal!$B$3</c:f>
              <c:strCache>
                <c:ptCount val="1"/>
                <c:pt idx="0">
                  <c:v>Max of 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OutcomesBasedGoal!$A$4:$A$16</c:f>
              <c:strCache>
                <c:ptCount val="12"/>
                <c:pt idx="0">
                  <c:v>1000 or less</c:v>
                </c:pt>
                <c:pt idx="1">
                  <c:v>1000 to 4999</c:v>
                </c:pt>
                <c:pt idx="2">
                  <c:v>10000 to 14999</c:v>
                </c:pt>
                <c:pt idx="3">
                  <c:v>15000 to 19999</c:v>
                </c:pt>
                <c:pt idx="4">
                  <c:v>20000 to 24999</c:v>
                </c:pt>
                <c:pt idx="5">
                  <c:v>25000 to 29999</c:v>
                </c:pt>
                <c:pt idx="6">
                  <c:v>30000 to 34999</c:v>
                </c:pt>
                <c:pt idx="7">
                  <c:v>35000 to 39999</c:v>
                </c:pt>
                <c:pt idx="8">
                  <c:v>40000 to 44999</c:v>
                </c:pt>
                <c:pt idx="9">
                  <c:v>45000 to 49999</c:v>
                </c:pt>
                <c:pt idx="10">
                  <c:v>5000 to 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OutcomesBasedGoal!$B$4:$B$16</c:f>
              <c:numCache>
                <c:formatCode>0.0%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0.47727272727272729</c:v>
                </c:pt>
                <c:pt idx="3">
                  <c:v>0.46766169154228854</c:v>
                </c:pt>
                <c:pt idx="4">
                  <c:v>0.40789473684210525</c:v>
                </c:pt>
                <c:pt idx="5">
                  <c:v>0.41353383458646614</c:v>
                </c:pt>
                <c:pt idx="6">
                  <c:v>0.3902439024390244</c:v>
                </c:pt>
                <c:pt idx="7">
                  <c:v>0.47272727272727272</c:v>
                </c:pt>
                <c:pt idx="8">
                  <c:v>0.48837209302325579</c:v>
                </c:pt>
                <c:pt idx="9">
                  <c:v>0.2857142857142857</c:v>
                </c:pt>
                <c:pt idx="10">
                  <c:v>0.49803921568627452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C61-45EA-9496-2F9F9C729985}"/>
            </c:ext>
          </c:extLst>
        </c:ser>
        <c:ser>
          <c:idx val="1"/>
          <c:order val="1"/>
          <c:tx>
            <c:strRef>
              <c:f>OutcomesBasedGoal!$C$3</c:f>
              <c:strCache>
                <c:ptCount val="1"/>
                <c:pt idx="0">
                  <c:v>Max of 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OutcomesBasedGoal!$A$4:$A$16</c:f>
              <c:strCache>
                <c:ptCount val="12"/>
                <c:pt idx="0">
                  <c:v>1000 or less</c:v>
                </c:pt>
                <c:pt idx="1">
                  <c:v>1000 to 4999</c:v>
                </c:pt>
                <c:pt idx="2">
                  <c:v>10000 to 14999</c:v>
                </c:pt>
                <c:pt idx="3">
                  <c:v>15000 to 19999</c:v>
                </c:pt>
                <c:pt idx="4">
                  <c:v>20000 to 24999</c:v>
                </c:pt>
                <c:pt idx="5">
                  <c:v>25000 to 29999</c:v>
                </c:pt>
                <c:pt idx="6">
                  <c:v>30000 to 34999</c:v>
                </c:pt>
                <c:pt idx="7">
                  <c:v>35000 to 39999</c:v>
                </c:pt>
                <c:pt idx="8">
                  <c:v>40000 to 44999</c:v>
                </c:pt>
                <c:pt idx="9">
                  <c:v>45000 to 49999</c:v>
                </c:pt>
                <c:pt idx="10">
                  <c:v>5000 to 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OutcomesBasedGoal!$C$4:$C$16</c:f>
              <c:numCache>
                <c:formatCode>0.0%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0.40909090909090912</c:v>
                </c:pt>
                <c:pt idx="3">
                  <c:v>0.44776119402985076</c:v>
                </c:pt>
                <c:pt idx="4">
                  <c:v>0.47368421052631576</c:v>
                </c:pt>
                <c:pt idx="5">
                  <c:v>0.48120300751879697</c:v>
                </c:pt>
                <c:pt idx="6">
                  <c:v>0.45121951219512196</c:v>
                </c:pt>
                <c:pt idx="7">
                  <c:v>0.4</c:v>
                </c:pt>
                <c:pt idx="8">
                  <c:v>0.37209302325581395</c:v>
                </c:pt>
                <c:pt idx="9">
                  <c:v>0.52380952380952384</c:v>
                </c:pt>
                <c:pt idx="10">
                  <c:v>0.36993464052287583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C61-45EA-9496-2F9F9C729985}"/>
            </c:ext>
          </c:extLst>
        </c:ser>
        <c:ser>
          <c:idx val="2"/>
          <c:order val="2"/>
          <c:tx>
            <c:strRef>
              <c:f>OutcomesBasedGoal!$D$3</c:f>
              <c:strCache>
                <c:ptCount val="1"/>
                <c:pt idx="0">
                  <c:v>Max of 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OutcomesBasedGoal!$A$4:$A$16</c:f>
              <c:strCache>
                <c:ptCount val="12"/>
                <c:pt idx="0">
                  <c:v>1000 or less</c:v>
                </c:pt>
                <c:pt idx="1">
                  <c:v>1000 to 4999</c:v>
                </c:pt>
                <c:pt idx="2">
                  <c:v>10000 to 14999</c:v>
                </c:pt>
                <c:pt idx="3">
                  <c:v>15000 to 19999</c:v>
                </c:pt>
                <c:pt idx="4">
                  <c:v>20000 to 24999</c:v>
                </c:pt>
                <c:pt idx="5">
                  <c:v>25000 to 29999</c:v>
                </c:pt>
                <c:pt idx="6">
                  <c:v>30000 to 34999</c:v>
                </c:pt>
                <c:pt idx="7">
                  <c:v>35000 to 39999</c:v>
                </c:pt>
                <c:pt idx="8">
                  <c:v>40000 to 44999</c:v>
                </c:pt>
                <c:pt idx="9">
                  <c:v>45000 to 49999</c:v>
                </c:pt>
                <c:pt idx="10">
                  <c:v>5000 to 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OutcomesBasedGoal!$D$4:$D$16</c:f>
              <c:numCache>
                <c:formatCode>0.0%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0.11363636363636363</c:v>
                </c:pt>
                <c:pt idx="3">
                  <c:v>8.45771144278607E-2</c:v>
                </c:pt>
                <c:pt idx="4">
                  <c:v>0.11842105263157894</c:v>
                </c:pt>
                <c:pt idx="5">
                  <c:v>0.10526315789473684</c:v>
                </c:pt>
                <c:pt idx="6">
                  <c:v>0.15853658536585366</c:v>
                </c:pt>
                <c:pt idx="7">
                  <c:v>0.12727272727272726</c:v>
                </c:pt>
                <c:pt idx="8">
                  <c:v>0.13953488372093023</c:v>
                </c:pt>
                <c:pt idx="9">
                  <c:v>0.19047619047619047</c:v>
                </c:pt>
                <c:pt idx="10">
                  <c:v>0.13202614379084968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C61-45EA-9496-2F9F9C7299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9135184"/>
        <c:axId val="509135512"/>
      </c:lineChart>
      <c:catAx>
        <c:axId val="509135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rgbClr val="002060"/>
                    </a:solidFill>
                  </a:rPr>
                  <a:t>Goal Range</a:t>
                </a:r>
              </a:p>
            </c:rich>
          </c:tx>
          <c:layout>
            <c:manualLayout>
              <c:xMode val="edge"/>
              <c:yMode val="edge"/>
              <c:x val="0.46386357761677993"/>
              <c:y val="0.921461992149030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135512"/>
        <c:crosses val="autoZero"/>
        <c:auto val="1"/>
        <c:lblAlgn val="ctr"/>
        <c:lblOffset val="100"/>
        <c:noMultiLvlLbl val="0"/>
      </c:catAx>
      <c:valAx>
        <c:axId val="509135512"/>
        <c:scaling>
          <c:orientation val="minMax"/>
          <c:max val="0.750000000000000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rgbClr val="002060"/>
                    </a:solidFill>
                  </a:rPr>
                  <a:t>Percentage</a:t>
                </a:r>
                <a:r>
                  <a:rPr lang="en-US" sz="1100" b="1" baseline="0">
                    <a:solidFill>
                      <a:srgbClr val="002060"/>
                    </a:solidFill>
                  </a:rPr>
                  <a:t> State</a:t>
                </a:r>
                <a:endParaRPr lang="en-US" sz="1100" b="1">
                  <a:solidFill>
                    <a:srgbClr val="002060"/>
                  </a:solidFill>
                </a:endParaRPr>
              </a:p>
            </c:rich>
          </c:tx>
          <c:layout>
            <c:manualLayout>
              <c:xMode val="edge"/>
              <c:yMode val="edge"/>
              <c:x val="9.9693797621590828E-3"/>
              <c:y val="0.408084996561661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13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qops</dc:creator>
  <cp:keywords/>
  <dc:description/>
  <cp:lastModifiedBy>qops</cp:lastModifiedBy>
  <cp:revision>10</cp:revision>
  <dcterms:created xsi:type="dcterms:W3CDTF">2019-11-30T02:43:00Z</dcterms:created>
  <dcterms:modified xsi:type="dcterms:W3CDTF">2019-12-02T01:42:00Z</dcterms:modified>
</cp:coreProperties>
</file>