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b w:val="0"/>
          <w:color w:val="000000"/>
        </w:rPr>
        <w:t>Dharmagate 产品定义</w:t>
      </w:r>
    </w:p>
    <w:p>
      <w:pPr>
        <w:pStyle w:val="Subtitle"/>
      </w:pPr>
      <w:r>
        <w:rPr>
          <w:rFonts w:ascii="Noto Sans CJK SC" w:hAnsi="Noto Sans CJK SC" w:eastAsia="Noto Sans CJK SC"/>
          <w:b w:val="0"/>
          <w:color w:val="000000"/>
        </w:rPr>
        <w:t>全球佛学资料与可信学习服务</w:t>
      </w:r>
    </w:p>
    <w:p>
      <w:r>
        <w:rPr>
          <w:rFonts w:ascii="Noto Sans CJK SC" w:hAnsi="Noto Sans CJK SC" w:eastAsia="Noto Sans CJK SC"/>
          <w:b w:val="0"/>
          <w:color w:val="000000"/>
        </w:rPr>
        <w:t>供产品 架构 设计 工程 内容与治理团队评审</w:t>
        <w:br/>
        <w:t>设计提案 v0.1  2026 年 10 月 25 日</w:t>
      </w:r>
    </w:p>
    <w:p>
      <w:pPr>
        <w:pStyle w:val="Heading1"/>
      </w:pPr>
      <w:r>
        <w:t>01 产品定义与决策摘要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产品定位：全球佛学联合目录与可信学习服务。</w:t>
      </w:r>
      <w:r>
        <w:rPr>
          <w:rFonts w:ascii="Noto Sans CJK SC" w:hAnsi="Noto Sans CJK SC" w:eastAsia="Noto Sans CJK SC"/>
          <w:b w:val="0"/>
          <w:color w:val="000000"/>
        </w:rPr>
        <w:t xml:space="preserve"> Dharmagate 连接散落的经典、译本、注疏、研究和讲授资料，对有明确许可的内容提供保存、检索与下载，对不能复制的资源保留允许的书目与原站入口。AI 帮助人理解、比较和反思，但不替代师者、不评定觉悟。</w:t>
      </w:r>
    </w:p>
    <w:p>
      <w:r>
        <w:rPr>
          <w:rFonts w:ascii="Noto Sans CJK SC" w:hAnsi="Noto Sans CJK SC" w:eastAsia="Noto Sans CJK SC"/>
          <w:b w:val="0"/>
          <w:color w:val="000000"/>
        </w:rPr>
        <w:t>本文件面向发起人、产品、内容与合作团队，定义‘为谁解决什么问题、首发做什么、怎样判断完成’。配套《架构定义》回答技术实现和运营边界，《UIUX 用户体验设计》定义页面、交互与状态；三者共享术语、约束和 DG 编号 backlog。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582"/>
      </w:tblGrid>
      <w:tr>
        <w:trPr>
          <w:tblHeader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决策</w:t>
            </w:r>
          </w:p>
        </w:tc>
        <w:tc>
          <w:tcPr>
            <w:tcW w:type="dxa" w:w="85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本版基线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首发闭环</w:t>
            </w:r>
          </w:p>
        </w:tc>
        <w:tc>
          <w:tcPr>
            <w:tcW w:type="dxa" w:w="85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一条经核许可的来源，10 至 30 部代表资料，走通采集到引用回答、阅读书签和纠错。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范围顺序</w:t>
            </w:r>
          </w:p>
        </w:tc>
        <w:tc>
          <w:tcPr>
            <w:tcW w:type="dxa" w:w="85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 可信文本闭环；P1 按需求扩 OCR、影音或教学；P2 经论证后立项。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影音约束</w:t>
            </w:r>
          </w:p>
        </w:tc>
        <w:tc>
          <w:tcPr>
            <w:tcW w:type="dxa" w:w="85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不使用 Cloudflare Stream；R2 加自有播放器，必要转码由已核准计算资源负责。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成功标准</w:t>
            </w:r>
          </w:p>
        </w:tc>
        <w:tc>
          <w:tcPr>
            <w:tcW w:type="dxa" w:w="858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可靠出处、权限正确、用户完成任务与自主选择；不以文件总数或使用时长代替觉悟。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状态：设计提案，不是功能完成声明。</w:t>
      </w:r>
      <w:r>
        <w:rPr>
          <w:rFonts w:ascii="Noto Sans CJK SC" w:hAnsi="Noto Sans CJK SC" w:eastAsia="Noto Sans CJK SC"/>
          <w:b w:val="0"/>
          <w:color w:val="000000"/>
        </w:rPr>
        <w:t xml:space="preserve"> 全部 backlog 为 proposed_pending_baseline，先与现站成果对账再估算；不默认已开工、获权或验收。旧站保持独立稳定，新旧路由、绑定与数据保护为 P0 前提。发布文档不等于授权批量下载、生产变更、购买服务或创建外部 issues。</w:t>
      </w:r>
    </w:p>
    <w:p>
      <w:r>
        <w:rPr>
          <w:rFonts w:ascii="Noto Sans CJK SC" w:hAnsi="Noto Sans CJK SC" w:eastAsia="Noto Sans CJK SC"/>
          <w:b w:val="0"/>
          <w:color w:val="000000"/>
        </w:rPr>
        <w:t>‘全球最全’是长期愿景，不能宣称现已实现。第一期是否扩大规模，由权利、质量、人员和成本门槛共同决定。</w:t>
      </w:r>
    </w:p>
    <w:p>
      <w:pPr>
        <w:pStyle w:val="Heading1"/>
        <w:pageBreakBefore/>
      </w:pPr>
      <w:r>
        <w:t>02 全球覆盖与权利分层</w:t>
      </w:r>
    </w:p>
    <w:p>
      <w:pPr>
        <w:pStyle w:val="Heading2"/>
      </w:pPr>
      <w:r>
        <w:t>把规模目标变成可以核查的清单</w:t>
      </w:r>
    </w:p>
    <w:p>
      <w:r>
        <w:rPr>
          <w:rFonts w:ascii="Noto Sans CJK SC" w:hAnsi="Noto Sans CJK SC" w:eastAsia="Noto Sans CJK SC"/>
          <w:b w:val="0"/>
          <w:color w:val="000000"/>
        </w:rPr>
        <w:t>以作品为知识单位，以版本、语言表达、出版载体和数字文件为不同实体。既收经典与论疏，也记录注释、学术研究、当代讲授与实践资源；不同类别必须清楚标示，不把现代讲义自动标为经典。总体覆盖矩阵先以汉语、巴利语及英语为候选；首个闭环只取其中一条经核许可的小型来源，藏语、梵语、日语等分阶段加入，并邀请对应语言与传统的专家校核。</w:t>
      </w:r>
    </w:p>
    <w:p>
      <w:r>
        <w:rPr>
          <w:rFonts w:ascii="Noto Sans CJK SC" w:hAnsi="Noto Sans CJK SC" w:eastAsia="Noto Sans CJK SC"/>
          <w:b w:val="0"/>
          <w:color w:val="000000"/>
        </w:rPr>
        <w:t>覆盖报告同时公布：已知来源数、已登记作品与版本数、已获完整权利资料数、全文可检索率、可下载率、影音转写覆盖率、链接存活率与待确认规模。避免用文件数或切片数包装‘全世界资料数’。重复扫描不等于新增作品，完整的不同译本也不应被去重消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880"/>
        <w:gridCol w:w="5630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288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服务方式</w:t>
            </w:r>
          </w:p>
        </w:tc>
        <w:tc>
          <w:tcPr>
            <w:tcW w:type="dxa" w:w="56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入库条件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联合目录</w:t>
            </w:r>
          </w:p>
        </w:tc>
        <w:tc>
          <w:tcPr>
            <w:tcW w:type="dxa" w:w="288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书目、摘要、馆藏与原站链接</w:t>
            </w:r>
          </w:p>
        </w:tc>
        <w:tc>
          <w:tcPr>
            <w:tcW w:type="dxa" w:w="56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确认元数据可用范围；不得把抓取全文当目录收录。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开放内容库</w:t>
            </w:r>
          </w:p>
        </w:tc>
        <w:tc>
          <w:tcPr>
            <w:tcW w:type="dxa" w:w="288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全文、扫描、音视频与合法下载</w:t>
            </w:r>
          </w:p>
        </w:tc>
        <w:tc>
          <w:tcPr>
            <w:tcW w:type="dxa" w:w="56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逐项证明适用的公版地位或许可；履行署名及其他义务。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合作授权库</w:t>
            </w:r>
          </w:p>
        </w:tc>
        <w:tc>
          <w:tcPr>
            <w:tcW w:type="dxa" w:w="288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按身份、地区、用途与期限访问</w:t>
            </w:r>
          </w:p>
        </w:tc>
        <w:tc>
          <w:tcPr>
            <w:tcW w:type="dxa" w:w="56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书面合作，明确复制、衍生、AI、分发、撤回与费用。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受限资源目录</w:t>
            </w:r>
          </w:p>
        </w:tc>
        <w:tc>
          <w:tcPr>
            <w:tcW w:type="dxa" w:w="288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只展示允许的描述与申请入口</w:t>
            </w:r>
          </w:p>
        </w:tc>
        <w:tc>
          <w:tcPr>
            <w:tcW w:type="dxa" w:w="56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不绕过登录、付费、密传或机构限制；不生成内容替代品。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未知或争议</w:t>
            </w:r>
          </w:p>
        </w:tc>
        <w:tc>
          <w:tcPr>
            <w:tcW w:type="dxa" w:w="288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隔离，不公开内容或投入 AI</w:t>
            </w:r>
          </w:p>
        </w:tc>
        <w:tc>
          <w:tcPr>
            <w:tcW w:type="dxa" w:w="56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指定责任人补证；取得结论后才能进入下一阶段。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按用途分别记录权限</w:t>
      </w:r>
    </w:p>
    <w:p>
      <w:r>
        <w:rPr>
          <w:rFonts w:ascii="Noto Sans CJK SC" w:hAnsi="Noto Sans CJK SC" w:eastAsia="Noto Sans CJK SC"/>
          <w:b w:val="0"/>
          <w:color w:val="000000"/>
        </w:rPr>
        <w:t>记录 metadata_index、preserve_original、public_display、download、translate、OCR_ASR、embeddings、RAG_quote、model_training、redistribution、commercial 等独立用途，分别使用 allowed、denied、conditional 或 unknown。公开可读不等于允许再分发；古代原文公版不代表现代译本、校勘、扫描图像或录像也公版。非商业许可需要结合实际收费、赞助与运营模式审查，禁止改编条款也不能简单推定允许转写和机器翻译。</w:t>
      </w:r>
    </w:p>
    <w:p>
      <w:r>
        <w:rPr>
          <w:rFonts w:ascii="Noto Sans CJK SC" w:hAnsi="Noto Sans CJK SC" w:eastAsia="Noto Sans CJK SC"/>
          <w:b w:val="0"/>
          <w:color w:val="000000"/>
        </w:rPr>
        <w:t>发布前保留许可原文快照、网址、获取日期、版本及权利人联系信息；设到期提醒和撤回流程。涉及司法辖区、公版计算、数据库权或合同解释时，由专业法律人员和合作机构核定，不由语言模型自行裁决。</w:t>
      </w:r>
    </w:p>
    <w:p>
      <w:r>
        <w:rPr>
          <w:rFonts w:ascii="Noto Sans CJK SC" w:hAnsi="Noto Sans CJK SC" w:eastAsia="Noto Sans CJK SC"/>
          <w:b w:val="0"/>
          <w:color w:val="000000"/>
        </w:rPr>
        <w:t>CC 条款未明确提及 AI，并不自动意味着一律允许或一律禁止；应结合许可全文、具体用途、合同与适用地区审查。第一期关闭模型训练，只有经过单独确认的语料才考虑后续训练。免费页面也不当然消除非商业条款对整体项目运营的影响。</w:t>
      </w:r>
    </w:p>
    <w:p>
      <w:pPr>
        <w:pStyle w:val="Heading1"/>
        <w:pageBreakBefore/>
      </w:pPr>
      <w:r>
        <w:t>03 文字与经典来源矩阵</w:t>
      </w:r>
    </w:p>
    <w:p>
      <w:r>
        <w:rPr>
          <w:rFonts w:ascii="Noto Sans CJK SC" w:hAnsi="Noto Sans CJK SC" w:eastAsia="Noto Sans CJK SC"/>
          <w:b w:val="0"/>
          <w:color w:val="000000"/>
        </w:rPr>
        <w:t>以下是候选来源，不是已获得完整镜像授权的名单。按每个集合与作品核验，不能把同一机构旗下所有数据套用一个许可；元数据本身也可能有批量复用条件。建议先从许可清楚、机器可读、版本结构稳定的集合建立小规模样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2232"/>
        <w:gridCol w:w="6206"/>
      </w:tblGrid>
      <w:tr>
        <w:trPr>
          <w:tblHeader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来源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优先价值</w:t>
            </w:r>
          </w:p>
        </w:tc>
        <w:tc>
          <w:tcPr>
            <w:tcW w:type="dxa" w:w="62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首期处理与权利门槛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SuttaCentral Bilara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巴利经典与多语对照</w:t>
            </w:r>
          </w:p>
        </w:tc>
        <w:tc>
          <w:tcPr>
            <w:tcW w:type="dxa" w:w="62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优先核验并接入支持创建且明确 CC0 的文本。Bilara 支持创建的译文许可不能泛化到全站第三方资源。[B1]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CBETA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汉文典籍及结构化标记</w:t>
            </w:r>
          </w:p>
        </w:tc>
        <w:tc>
          <w:tcPr>
            <w:tcW w:type="dxa" w:w="62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默认 CC BY NC SA 4.0；印顺、吕澂、太虚、演培相关资料另有例外。逐集合审批，不能据默认许可全量复制。[B2]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SAT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大正藏检索及图像参照</w:t>
            </w:r>
          </w:p>
        </w:tc>
        <w:tc>
          <w:tcPr>
            <w:tcW w:type="dxa" w:w="62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主库学术与非营利用途、禁止再分发；图像库及嘉兴藏规则不同。先目录和链接，授权后再复制指定集合。[B3]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BDRC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藏文与相关传统书目和扫描</w:t>
            </w:r>
          </w:p>
        </w:tc>
        <w:tc>
          <w:tcPr>
            <w:tcW w:type="dxa" w:w="62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优先联合目录及馆藏关联。平台不拥有底本版权，开放下载不是通用转授权；逐项查访问政策和权利状态。[B4]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84000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藏传典籍英译与版本语义</w:t>
            </w:r>
          </w:p>
        </w:tc>
        <w:tc>
          <w:tcPr>
            <w:tcW w:type="dxa" w:w="62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官网所见条款页面明确标为 DRAFT；不当作最终授权。先目录或原站入口，逐篇确认现行许可或正式合作。[B5]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其他研究与馆藏库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梵文、日文、敦煌与手稿</w:t>
            </w:r>
          </w:p>
        </w:tc>
        <w:tc>
          <w:tcPr>
            <w:tcW w:type="dxa" w:w="62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按机构白名单逐个研究；先登记稳定标识符和馆藏来源，未确认的全文不下载、不训练。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首批来源选择规则</w:t>
      </w:r>
    </w:p>
    <w:p>
      <w:r>
        <w:rPr>
          <w:rFonts w:ascii="Noto Sans CJK SC" w:hAnsi="Noto Sans CJK SC" w:eastAsia="Noto Sans CJK SC"/>
          <w:b w:val="0"/>
          <w:color w:val="000000"/>
        </w:rPr>
        <w:t>选择 3 至 5 个来源先验证合作流程、文本质量和引用定位，而不是一次开启全球抓取。每个来源指定数据负责人及学术校核人，检查版本更新、字段语义、字符编码、撤回机制和归属信息。若上游提供正式数据包或接口，优先于网页抓取；保留上游 ID，方便增量同步与双向纠错。</w:t>
      </w:r>
    </w:p>
    <w:p>
      <w:r>
        <w:rPr>
          <w:rFonts w:ascii="Noto Sans CJK SC" w:hAnsi="Noto Sans CJK SC" w:eastAsia="Noto Sans CJK SC"/>
          <w:b w:val="0"/>
          <w:color w:val="000000"/>
        </w:rPr>
        <w:t>对不可镜像的资源，优秀的联合目录仍能提供价值：用标准化题名、异名、译者、典籍编号与来源链接，把分散藏品连起来，并清楚告知为何只能跳转原站。不要以限制为由绕开来源机构，更不要把无法下载的文本从全球覆盖报告中抹掉。</w:t>
      </w:r>
    </w:p>
    <w:p>
      <w:pPr>
        <w:pStyle w:val="Heading1"/>
        <w:pageBreakBefore/>
      </w:pPr>
      <w:r>
        <w:t>04 补充来源矩阵与版本差异</w:t>
      </w:r>
    </w:p>
    <w:p>
      <w:r>
        <w:rPr>
          <w:rFonts w:ascii="Noto Sans CJK SC" w:hAnsi="Noto Sans CJK SC" w:eastAsia="Noto Sans CJK SC"/>
          <w:b w:val="0"/>
          <w:color w:val="000000"/>
        </w:rPr>
        <w:t>以下来源帮助扩展术语、梵文、现代研究与影音，但仍遵循逐文件、逐数据子集的权利检查。候选合作方不等于已经授权的伙伴。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2232"/>
        <w:gridCol w:w="6062"/>
      </w:tblGrid>
      <w:tr>
        <w:trPr>
          <w:tblHeader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来源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可利用内容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首期动作与边界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DILA 规范库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人名 地名 时间及 TEI 数据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仓库数据 CC BY SA 3.0；只按仓库实际子集使用，不套用于线上 API 中其他机构条目。[B6]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SARIT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梵文与结构化 TEI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已核《佛所行赞》文件头为 CC BY SA 4.0；按文件核验，不推定整个库相同。[B7]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GRETIL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分语言数据包与古典文本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同作品的另一数字版本可能为 CC BY NC SA 4.0，保留独立来源与许可。[B8]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Access to Insight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英语译文与部分巴利文本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逐页许可不同，不可将其中公版部分推为全站公版；先目录再逐项审核。[B9]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Dhammatalks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音频 文字 RSS 与 ZIP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默认 CC BY NC 4.0，并有旧版 free distribution 条件；核对每项，不直接纳入付费内容库。[B10]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台大佛学数字图书馆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现代佛学研究书目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先作为书目发现与外链，内容归台大或作者；允许个人下载不等于允许镜像。[B11]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日韩与手稿馆藏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韩国 ABC 犍陀罗 敦煌等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逐馆合作与逐件权利核查；尚未核清的集合不进入自动下载白名单。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YouTube 与第三方平台</w:t>
            </w:r>
          </w:p>
        </w:tc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公开视频发现与合法嵌入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API 访问不是下载许可；未经所需批准不抓取频道影音。[B12]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同作品不同版本必须分别登记</w:t>
      </w:r>
    </w:p>
    <w:p>
      <w:r>
        <w:rPr>
          <w:rFonts w:ascii="Noto Sans CJK SC" w:hAnsi="Noto Sans CJK SC" w:eastAsia="Noto Sans CJK SC"/>
          <w:b w:val="0"/>
          <w:color w:val="000000"/>
        </w:rPr>
        <w:t>SARIT 与 GRETIL 的《佛所行赞》示例说明，古典作品相同，不等于数字版本许可相同。原始录入、底本、校勘和格式转换形成的来源链，都应出现在 provenance 中。BDRC 的本体可以借鉴作品、版本、人物与地名模型，但其本体 CC0 不等于全部扫描或元数据也是 CC0。[B7][B8][B13]</w:t>
      </w:r>
    </w:p>
    <w:p>
      <w:r>
        <w:rPr>
          <w:rFonts w:ascii="Noto Sans CJK SC" w:hAnsi="Noto Sans CJK SC" w:eastAsia="Noto Sans CJK SC"/>
          <w:b w:val="0"/>
          <w:color w:val="000000"/>
        </w:rPr>
        <w:t>敦煌和其他手稿的数字图像需看每一件标明的公版、开放许可或第三方权利。不得从馆方‘开放访问’宣传语推断整馆影像可镜像；对韩国 ABC 等尚未完成官方条款核查的来源，本版只列研究线索。[B14]</w:t>
      </w:r>
    </w:p>
    <w:p>
      <w:pPr>
        <w:pStyle w:val="Heading1"/>
        <w:pageBreakBefore/>
      </w:pPr>
      <w:r>
        <w:t>05 用户价值与功能边界</w:t>
      </w:r>
    </w:p>
    <w:p>
      <w:r>
        <w:rPr>
          <w:rFonts w:ascii="Noto Sans CJK SC" w:hAnsi="Noto Sans CJK SC" w:eastAsia="Noto Sans CJK SC"/>
          <w:b w:val="0"/>
          <w:color w:val="000000"/>
        </w:rPr>
        <w:t>产品面向不同经验与目标的人，不假定所有人都信奉同一传统。默认可匿名查阅公开资料，用户可以只找书、只看原文，也可以选择学习或联系真人。宗教倾向、困扰与日记不是进入资料馆的必填条件。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3701"/>
        <w:gridCol w:w="4838"/>
      </w:tblGrid>
      <w:tr>
        <w:trPr>
          <w:tblHeader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主要用户</w:t>
            </w:r>
          </w:p>
        </w:tc>
        <w:tc>
          <w:tcPr>
            <w:tcW w:type="dxa" w:w="3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核心问题</w:t>
            </w:r>
          </w:p>
        </w:tc>
        <w:tc>
          <w:tcPr>
            <w:tcW w:type="dxa" w:w="48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可验证的产品价值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普通学习者</w:t>
            </w:r>
          </w:p>
        </w:tc>
        <w:tc>
          <w:tcPr>
            <w:tcW w:type="dxa" w:w="3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不知道可信资料在哪里，容易被无出处解释误导</w:t>
            </w:r>
          </w:p>
        </w:tc>
        <w:tc>
          <w:tcPr>
            <w:tcW w:type="dxa" w:w="48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找到可理解解释与原文，分清 AI 释义和来源观点。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师者与法师</w:t>
            </w:r>
          </w:p>
        </w:tc>
        <w:tc>
          <w:tcPr>
            <w:tcW w:type="dxa" w:w="3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希望提供正确上下文并保护传承边界</w:t>
            </w:r>
          </w:p>
        </w:tc>
        <w:tc>
          <w:tcPr>
            <w:tcW w:type="dxa" w:w="48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审阅本机构内容、回应纠错，明确不宜开放的范围。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研究者</w:t>
            </w:r>
          </w:p>
        </w:tc>
        <w:tc>
          <w:tcPr>
            <w:tcW w:type="dxa" w:w="3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作品、版本和语言散落在不同库</w:t>
            </w:r>
          </w:p>
        </w:tc>
        <w:tc>
          <w:tcPr>
            <w:tcW w:type="dxa" w:w="48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按编号找书、比较译本、追踪版本与精确引用。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教师与带领者</w:t>
            </w:r>
          </w:p>
        </w:tc>
        <w:tc>
          <w:tcPr>
            <w:tcW w:type="dxa" w:w="3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需要组织适合课程的阅读与讨论</w:t>
            </w:r>
          </w:p>
        </w:tc>
        <w:tc>
          <w:tcPr>
            <w:tcW w:type="dxa" w:w="48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建立获准资料清单，查看自愿提交的学习反馈。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机构与馆藏方</w:t>
            </w:r>
          </w:p>
        </w:tc>
        <w:tc>
          <w:tcPr>
            <w:tcW w:type="dxa" w:w="3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希望扩大可见性，又保有出处和控制权</w:t>
            </w:r>
          </w:p>
        </w:tc>
        <w:tc>
          <w:tcPr>
            <w:tcW w:type="dxa" w:w="48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管理授权、获得流量回流、纠错并执行撤回。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首发功能范围</w:t>
      </w:r>
    </w:p>
    <w:p>
      <w:r>
        <w:rPr>
          <w:rFonts w:ascii="Noto Sans CJK SC" w:hAnsi="Noto Sans CJK SC" w:eastAsia="Noto Sans CJK SC"/>
          <w:b w:val="0"/>
          <w:color w:val="000000"/>
        </w:rPr>
        <w:t>公开联合目录、合法全文阅读、精确与语义搜索、可点击出处的问答、版本信息、私人书签、内容纠错、权利与采集后台，是首个闭环。AI 回答之外必须保留直接检索与阅读路径；即使模型不可用，资料馆仍能工作。</w:t>
      </w:r>
    </w:p>
    <w:p>
      <w:pPr>
        <w:pStyle w:val="Heading2"/>
      </w:pPr>
      <w:r>
        <w:t>明确不纳入首发</w:t>
      </w:r>
    </w:p>
    <w:p>
      <w:r>
        <w:rPr>
          <w:rFonts w:ascii="Noto Sans CJK SC" w:hAnsi="Noto Sans CJK SC" w:eastAsia="Noto Sans CJK SC"/>
          <w:b w:val="0"/>
          <w:color w:val="000000"/>
        </w:rPr>
        <w:t>不承诺全球全量下载，不处理未授权现代书籍和影音，不训练专用基础模型，不复制师者声纹，不做证悟判定，不建设完整社交、直播、支付或捐赠系统。巨型知识图谱、全部语种、实时语音导师、复杂推荐画像都不能成为首发前置。</w:t>
      </w:r>
    </w:p>
    <w:p>
      <w:pPr>
        <w:pStyle w:val="Heading2"/>
      </w:pPr>
      <w:r>
        <w:t>内容与增长原则</w:t>
      </w:r>
    </w:p>
    <w:p>
      <w:r>
        <w:rPr>
          <w:rFonts w:ascii="Noto Sans CJK SC" w:hAnsi="Noto Sans CJK SC" w:eastAsia="Noto Sans CJK SC"/>
          <w:b w:val="0"/>
          <w:color w:val="000000"/>
        </w:rPr>
        <w:t>来源质量与权利可证明性优先于数量；用户任务成功优先于停留时长；多传统语境优先于统一解释；真人支持优先于对 AI 的情感依赖。商业或公益模式须先确定，它会影响非商业许可资料能否进入对应产品区域。</w:t>
      </w:r>
    </w:p>
    <w:p>
      <w:pPr>
        <w:pStyle w:val="Heading1"/>
        <w:pageBreakBefore/>
      </w:pPr>
      <w:r>
        <w:t>06 面向人的四层体验</w:t>
      </w:r>
    </w:p>
    <w:p>
      <w:r>
        <w:rPr>
          <w:rFonts w:ascii="Noto Sans CJK SC" w:hAnsi="Noto Sans CJK SC" w:eastAsia="Noto Sans CJK SC"/>
          <w:b w:val="0"/>
          <w:color w:val="000000"/>
        </w:rPr>
        <w:t>数据库搜索不等于觉悟。产品要支持人的自主理解与实践，而不能把修学变成模型给分或平台增长。建议分为资料层、理解层、修学层和真人关系层，允许用户只使用其中一层，不强制填写信仰、情绪或个人经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845"/>
        <w:gridCol w:w="4810"/>
      </w:tblGrid>
      <w:tr>
        <w:trPr>
          <w:tblHeader/>
        </w:trPr>
        <w:tc>
          <w:tcPr>
            <w:tcW w:type="dxa" w:w="15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主要体验</w:t>
            </w:r>
          </w:p>
        </w:tc>
        <w:tc>
          <w:tcPr>
            <w:tcW w:type="dxa" w:w="48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明确不做什么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资料层</w:t>
            </w:r>
          </w:p>
        </w:tc>
        <w:tc>
          <w:tcPr>
            <w:tcW w:type="dxa" w:w="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找经典 查版本 观看或下载合法资料</w:t>
            </w:r>
          </w:p>
        </w:tc>
        <w:tc>
          <w:tcPr>
            <w:tcW w:type="dxa" w:w="48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不以流量排名替代来源可靠性。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理解层</w:t>
            </w:r>
          </w:p>
        </w:tc>
        <w:tc>
          <w:tcPr>
            <w:tcW w:type="dxa" w:w="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解释术语 比较译法 展示不同传统观点</w:t>
            </w:r>
          </w:p>
        </w:tc>
        <w:tc>
          <w:tcPr>
            <w:tcW w:type="dxa" w:w="48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不声称生成答案就是佛陀或师者的原话。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修学层</w:t>
            </w:r>
          </w:p>
        </w:tc>
        <w:tc>
          <w:tcPr>
            <w:tcW w:type="dxa" w:w="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用户自选短时练习 读书计划 自省记录</w:t>
            </w:r>
          </w:p>
        </w:tc>
        <w:tc>
          <w:tcPr>
            <w:tcW w:type="dxa" w:w="48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不评定开悟等级，不用连续打卡羞辱用户。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真人关系层</w:t>
            </w:r>
          </w:p>
        </w:tc>
        <w:tc>
          <w:tcPr>
            <w:tcW w:type="dxa" w:w="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经核验的机构 师者与学习社群入口</w:t>
            </w:r>
          </w:p>
        </w:tc>
        <w:tc>
          <w:tcPr>
            <w:tcW w:type="dxa" w:w="48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不把 AI 塑造成精神领袖或替代现实关系。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新手旅程</w:t>
      </w:r>
    </w:p>
    <w:p>
      <w:r>
        <w:rPr>
          <w:rFonts w:ascii="Noto Sans CJK SC" w:hAnsi="Noto Sans CJK SC" w:eastAsia="Noto Sans CJK SC"/>
          <w:b w:val="0"/>
          <w:color w:val="000000"/>
        </w:rPr>
        <w:t>一个第一次接触佛学的人，可以从具体问题进入：例如想理解‘无常’，先收到清楚标注传统与来源的短解释，再看到可读原典和一项可自由跳过的简短观察练习。系统询问是否愿意继续，而不是立即索取心理画像或开启长期修学计划。用户可以说不认同、换传统、只看原文或停止。</w:t>
      </w:r>
    </w:p>
    <w:p>
      <w:pPr>
        <w:pStyle w:val="Heading2"/>
      </w:pPr>
      <w:r>
        <w:t>有经验者与研究者旅程</w:t>
      </w:r>
    </w:p>
    <w:p>
      <w:r>
        <w:rPr>
          <w:rFonts w:ascii="Noto Sans CJK SC" w:hAnsi="Noto Sans CJK SC" w:eastAsia="Noto Sans CJK SC"/>
          <w:b w:val="0"/>
          <w:color w:val="000000"/>
        </w:rPr>
        <w:t>已有修学经验的人可选择熟悉传统与经论，建立私人书架、并排阅读注疏，查看不同传承对同一概念的解释；研究者可追踪版本、下载许可清楚的资料、引用精确定位、导出书目与差异。推荐必须提供理由，并允许按年代、版本与来源排序，不能只依赖相似兴趣过滤。</w:t>
      </w:r>
    </w:p>
    <w:p>
      <w:pPr>
        <w:pStyle w:val="Heading2"/>
      </w:pPr>
      <w:r>
        <w:t>师者和机构旅程</w:t>
      </w:r>
    </w:p>
    <w:p>
      <w:r>
        <w:rPr>
          <w:rFonts w:ascii="Noto Sans CJK SC" w:hAnsi="Noto Sans CJK SC" w:eastAsia="Noto Sans CJK SC"/>
          <w:b w:val="0"/>
          <w:color w:val="000000"/>
        </w:rPr>
        <w:t>教师可以在授权范围内组织课程与资料清单，审阅本机构内容并回应纠错；平台提供来源控制和学习者自选联系渠道。教师不能默认读取私人日记或所有 AI 对话。课程报名、付费、认证和未成年人参与若纳入产品，须单独建立知情同意与管理规则。</w:t>
      </w:r>
    </w:p>
    <w:p>
      <w:r>
        <w:rPr>
          <w:rFonts w:ascii="Noto Sans CJK SC" w:hAnsi="Noto Sans CJK SC" w:eastAsia="Noto Sans CJK SC"/>
          <w:b w:val="0"/>
          <w:color w:val="000000"/>
        </w:rPr>
        <w:t>衡量体验以‘是否找到可信资料、是否理解出处与差异、是否保有自主选择、是否顺利联系真人’为主。每日时长、黏性、打卡天数和模型赞同率可以作为运营观察，但不能被称为觉悟指标，也不应成为推荐系统的主要优化目标。</w:t>
      </w:r>
    </w:p>
    <w:p>
      <w:pPr>
        <w:pStyle w:val="Heading1"/>
        <w:pageBreakBefore/>
      </w:pPr>
      <w:r>
        <w:t>07 师者治理与安全边界</w:t>
      </w:r>
    </w:p>
    <w:p>
      <w:pPr>
        <w:pStyle w:val="Heading2"/>
      </w:pPr>
      <w:r>
        <w:t>治理要能处理分歧而不是消除分歧</w:t>
      </w:r>
    </w:p>
    <w:p>
      <w:r>
        <w:rPr>
          <w:rFonts w:ascii="Noto Sans CJK SC" w:hAnsi="Noto Sans CJK SC" w:eastAsia="Noto Sans CJK SC"/>
          <w:b w:val="0"/>
          <w:color w:val="000000"/>
        </w:rPr>
        <w:t>建立由不同传统、语种、学术背景与实践经验组成的审阅网络，公开成员角色、选择方式和利益冲突。机构验证、学术审阅与修学资质是不同标签；不要用单一‘认证大师’标识替代复杂的传承和责任关系。用户应知道一段内容由谁提供、谁校核、是否属于某一传统的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06"/>
      </w:tblGrid>
      <w:tr>
        <w:trPr>
          <w:tblHeader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职能</w:t>
            </w:r>
          </w:p>
        </w:tc>
        <w:tc>
          <w:tcPr>
            <w:tcW w:type="dxa" w:w="80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责任与权限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数据与权利负责人</w:t>
            </w:r>
          </w:p>
        </w:tc>
        <w:tc>
          <w:tcPr>
            <w:tcW w:type="dxa" w:w="80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批准来源范围、许可证据和撤回；对未确认材料有停止发布权。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语言与经典审阅者</w:t>
            </w:r>
          </w:p>
        </w:tc>
        <w:tc>
          <w:tcPr>
            <w:tcW w:type="dxa" w:w="80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校核专名、译本、引用和版本关系；记录异议，不覆盖原始证据。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师者与实践顾问</w:t>
            </w:r>
          </w:p>
        </w:tc>
        <w:tc>
          <w:tcPr>
            <w:tcW w:type="dxa" w:w="80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审阅面向修学的表述和风险；不得访问未授权的个人记录。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信任安全团队</w:t>
            </w:r>
          </w:p>
        </w:tc>
        <w:tc>
          <w:tcPr>
            <w:tcW w:type="dxa" w:w="80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处理误导、骚扰、冒名、危险实践及敏感人群问题。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工程与安全负责人</w:t>
            </w:r>
          </w:p>
        </w:tc>
        <w:tc>
          <w:tcPr>
            <w:tcW w:type="dxa" w:w="80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执行权限、审计、备份、恢复、删除和模型发布门槛。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独立申诉渠道</w:t>
            </w:r>
          </w:p>
        </w:tc>
        <w:tc>
          <w:tcPr>
            <w:tcW w:type="dxa" w:w="80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接受作者、机构和用户申诉；有时限、记录与可纠正的结果。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AI 的角色声明应落到行为</w:t>
      </w:r>
    </w:p>
    <w:p>
      <w:r>
        <w:rPr>
          <w:rFonts w:ascii="Noto Sans CJK SC" w:hAnsi="Noto Sans CJK SC" w:eastAsia="Noto Sans CJK SC"/>
          <w:b w:val="0"/>
          <w:color w:val="000000"/>
        </w:rPr>
        <w:t>AI 是资料与理解助手，不是佛陀、上师、治疗师或对用户精神成就的裁判。它应区分文本内容、传统观点与个人实践建议；不承诺通过某个练习必然开悟，不把病症、灾难或人生遭遇归咎于用户业障，不煽动断绝现实支持，不鼓励以禁食、睡眠剥夺或疼痛证明修行。</w:t>
      </w:r>
    </w:p>
    <w:p>
      <w:r>
        <w:rPr>
          <w:rFonts w:ascii="Noto Sans CJK SC" w:hAnsi="Noto Sans CJK SC" w:eastAsia="Noto Sans CJK SC"/>
          <w:b w:val="0"/>
          <w:color w:val="000000"/>
        </w:rPr>
        <w:t>遇到强烈痛苦、失眠、异常感知、自伤风险或明显功能受损的描述，应暂停强化神秘或确定性解释，提供平静、非羞辱性的支持并鼓励联系可信任的人和适当专业帮助；需要紧急支持时使用经核验的本地资源。不要将用户的描述当作证悟、附体或某种疾病的确定证据。</w:t>
      </w:r>
    </w:p>
    <w:p>
      <w:pPr>
        <w:pStyle w:val="Heading2"/>
      </w:pPr>
      <w:r>
        <w:t>有边界的修学辅助</w:t>
      </w:r>
    </w:p>
    <w:p>
      <w:r>
        <w:rPr>
          <w:rFonts w:ascii="Noto Sans CJK SC" w:hAnsi="Noto Sans CJK SC" w:eastAsia="Noto Sans CJK SC"/>
          <w:b w:val="0"/>
          <w:color w:val="000000"/>
        </w:rPr>
        <w:t>只提供可选择、可停止、低强度的普通学习与自省工具。涉及长时闭关、强烈呼吸练习、身体风险、特殊灌顶或传承限制的内容，应尊重来源限制并指向合适真人指导。儿童与青少年采用更审慎的体验；不采集用于广告或模型训练的宗教与心理画像。</w:t>
      </w:r>
    </w:p>
    <w:p>
      <w:r>
        <w:rPr>
          <w:rFonts w:ascii="Noto Sans CJK SC" w:hAnsi="Noto Sans CJK SC" w:eastAsia="Noto Sans CJK SC"/>
          <w:b w:val="0"/>
          <w:color w:val="000000"/>
        </w:rPr>
        <w:t>建立答复纠错和模型更新评审流程。发生严重错引、权限泄露或危险建议时，可单独关闭相关功能、回滚模型配置并调查，而无需让整个资料目录下线。</w:t>
      </w:r>
    </w:p>
    <w:p>
      <w:pPr>
        <w:pStyle w:val="Heading1"/>
        <w:pageBreakBefore/>
      </w:pPr>
      <w:r>
        <w:t>08 P0 文本闭环与产品要求</w:t>
      </w:r>
    </w:p>
    <w:p>
      <w:r>
        <w:rPr>
          <w:rFonts w:ascii="Noto Sans CJK SC" w:hAnsi="Noto Sans CJK SC" w:eastAsia="Noto Sans CJK SC"/>
          <w:b w:val="0"/>
          <w:color w:val="000000"/>
        </w:rPr>
        <w:t>首个端到端闭环：许可登记 → 有界采集 → 原件校验 → 文本规范化 → 版本与片段 → 关键词及语义检索 → 有出处回答 → 原文阅读与私人书签 → 纠错审核。应选择一条资料源和 10 至 30 部可代表主要格式的资料，不用大规模演示掩盖基本链路未通。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6077"/>
        <w:gridCol w:w="2434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要求</w:t>
            </w:r>
          </w:p>
        </w:tc>
        <w:tc>
          <w:tcPr>
            <w:tcW w:type="dxa" w:w="607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验收行为</w:t>
            </w:r>
          </w:p>
        </w:tc>
        <w:tc>
          <w:tcPr>
            <w:tcW w:type="dxa" w:w="24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Backlog 关联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旧站不受损</w:t>
            </w:r>
          </w:p>
        </w:tc>
        <w:tc>
          <w:tcPr>
            <w:tcW w:type="dxa" w:w="607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新首页继续连接原应用；已登记路由、登录回调和资源路径通过兼容测试。</w:t>
            </w:r>
          </w:p>
        </w:tc>
        <w:tc>
          <w:tcPr>
            <w:tcW w:type="dxa" w:w="24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 001 至 004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来源可追溯</w:t>
            </w:r>
          </w:p>
        </w:tc>
        <w:tc>
          <w:tcPr>
            <w:tcW w:type="dxa" w:w="607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每个公开片段找到原件、来源、版本和许可；unknown 不能发布。</w:t>
            </w:r>
          </w:p>
        </w:tc>
        <w:tc>
          <w:tcPr>
            <w:tcW w:type="dxa" w:w="24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 007 至 015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搜索可解释</w:t>
            </w:r>
          </w:p>
        </w:tc>
        <w:tc>
          <w:tcPr>
            <w:tcW w:type="dxa" w:w="607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用户可以精确找编号、筛选版本、查看命中原段；语义失败不阻塞关键词。</w:t>
            </w:r>
          </w:p>
        </w:tc>
        <w:tc>
          <w:tcPr>
            <w:tcW w:type="dxa" w:w="24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 016 至 018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回答有证据</w:t>
            </w:r>
          </w:p>
        </w:tc>
        <w:tc>
          <w:tcPr>
            <w:tcW w:type="dxa" w:w="607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每项关键事实可展开原文；无证据不补造，不把不同传统合成唯一结论。</w:t>
            </w:r>
          </w:p>
        </w:tc>
        <w:tc>
          <w:tcPr>
            <w:tcW w:type="dxa" w:w="24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 019 至 021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阅读可继续</w:t>
            </w:r>
          </w:p>
        </w:tc>
        <w:tc>
          <w:tcPr>
            <w:tcW w:type="dxa" w:w="607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原文阅读、私人书签与必要导航工作，敏感内容不默认共享。</w:t>
            </w:r>
          </w:p>
        </w:tc>
        <w:tc>
          <w:tcPr>
            <w:tcW w:type="dxa" w:w="24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 022 至 026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反馈能闭环</w:t>
            </w:r>
          </w:p>
        </w:tc>
        <w:tc>
          <w:tcPr>
            <w:tcW w:type="dxa" w:w="607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纠错锚定段落，由指定角色审阅；修订可追踪并更新派生索引。</w:t>
            </w:r>
          </w:p>
        </w:tc>
        <w:tc>
          <w:tcPr>
            <w:tcW w:type="dxa" w:w="24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 023 至 025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发布可负责</w:t>
            </w:r>
          </w:p>
        </w:tc>
        <w:tc>
          <w:tcPr>
            <w:tcW w:type="dxa" w:w="607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预算、回退、删除与真实用户任务验收齐备后，才进入小范围试运行。</w:t>
            </w:r>
          </w:p>
        </w:tc>
        <w:tc>
          <w:tcPr>
            <w:tcW w:type="dxa" w:w="24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 027 至 028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角色权限的产品规则</w:t>
      </w:r>
    </w:p>
    <w:p>
      <w:r>
        <w:rPr>
          <w:rFonts w:ascii="Noto Sans CJK SC" w:hAnsi="Noto Sans CJK SC" w:eastAsia="Noto Sans CJK SC"/>
          <w:b w:val="0"/>
          <w:color w:val="000000"/>
        </w:rPr>
        <w:t>匿名访客只接触公开资料；注册用户可管理自己的私人空间；内容编辑者可处理指定来源；权利审核者决定用途许可；技术管理员不因运维身份自动获得私人日记阅读权限。师者需要用户逐项授权才能查看学习记录，授权可以撤销。</w:t>
      </w:r>
    </w:p>
    <w:p>
      <w:pPr>
        <w:pStyle w:val="Heading2"/>
      </w:pPr>
      <w:r>
        <w:t>异常和退化必须可理解</w:t>
      </w:r>
    </w:p>
    <w:p>
      <w:r>
        <w:rPr>
          <w:rFonts w:ascii="Noto Sans CJK SC" w:hAnsi="Noto Sans CJK SC" w:eastAsia="Noto Sans CJK SC"/>
          <w:b w:val="0"/>
          <w:color w:val="000000"/>
        </w:rPr>
        <w:t>无结果时解释检索范围并提供替代关键词；只有目录时清楚说明只能跳转；许可撤回时不继续播放旧缓存；AI 不可用时保留原文检索；上传和处理失败时说明状态及下一步。不要用‘AI 正在思考’掩盖权限错误、成本封顶或资料尚未审阅。</w:t>
      </w:r>
    </w:p>
    <w:p>
      <w:pPr>
        <w:pStyle w:val="Heading1"/>
        <w:pageBreakBefore/>
      </w:pPr>
      <w:r>
        <w:t>09 九十天实施路线</w:t>
      </w:r>
    </w:p>
    <w:p>
      <w:r>
        <w:rPr>
          <w:rFonts w:ascii="Noto Sans CJK SC" w:hAnsi="Noto Sans CJK SC" w:eastAsia="Noto Sans CJK SC"/>
          <w:b w:val="0"/>
          <w:color w:val="000000"/>
        </w:rPr>
        <w:t>以下为条件成立后的 90 天规划窗口，不是对全部 45 项的期限承诺。先对账现有成果，固定一条获权来源与 10 至 30 部代表资料，优先完成 P0。约 3 名工程师与产品、设计、内容、权利和多传统顾问投入需确认；授权或人员未到位时重新排期。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219"/>
        <w:gridCol w:w="4291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21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交付物</w:t>
            </w:r>
          </w:p>
        </w:tc>
        <w:tc>
          <w:tcPr>
            <w:tcW w:type="dxa" w:w="429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进入下一阶段的门槛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 1 至 15 天</w:t>
            </w:r>
          </w:p>
        </w:tc>
        <w:tc>
          <w:tcPr>
            <w:tcW w:type="dxa" w:w="421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来源与权利登记、一条试点来源与候选伙伴清单、数据模型、体验原型、预算基线</w:t>
            </w:r>
          </w:p>
        </w:tc>
        <w:tc>
          <w:tcPr>
            <w:tcW w:type="dxa" w:w="429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每个试点集合可说明来源和允许用途；不确定材料只做目录。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 16 至 30 天</w:t>
            </w:r>
          </w:p>
        </w:tc>
        <w:tc>
          <w:tcPr>
            <w:tcW w:type="dxa" w:w="421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隔离存储、采集适配器、任务编排、目录 API、首批小样本</w:t>
            </w:r>
          </w:p>
        </w:tc>
        <w:tc>
          <w:tcPr>
            <w:tcW w:type="dxa" w:w="429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重复任务可安全重放；失败可追踪；原件校验、撤回与备份测试通过。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 31 至 45 天</w:t>
            </w:r>
          </w:p>
        </w:tc>
        <w:tc>
          <w:tcPr>
            <w:tcW w:type="dxa" w:w="421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混合搜索、多版本阅读、原文定位与许可下载</w:t>
            </w:r>
          </w:p>
        </w:tc>
        <w:tc>
          <w:tcPr>
            <w:tcW w:type="dxa" w:w="429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典籍编号和版本过滤准确；引用能回到真实原段；无越权可见。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 46 至 60 天</w:t>
            </w:r>
          </w:p>
        </w:tc>
        <w:tc>
          <w:tcPr>
            <w:tcW w:type="dxa" w:w="421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证据 RAG、影音扩展仅作 P1 方案验证、多语评测</w:t>
            </w:r>
          </w:p>
        </w:tc>
        <w:tc>
          <w:tcPr>
            <w:tcW w:type="dxa" w:w="429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错引、幻觉、提示注入与受限内容测试达到门槛；失败可退回纯搜索。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 61 至 75 天</w:t>
            </w:r>
          </w:p>
        </w:tc>
        <w:tc>
          <w:tcPr>
            <w:tcW w:type="dxa" w:w="421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邀请制用户测试、师者审阅、隐私设置、纠错与申诉</w:t>
            </w:r>
          </w:p>
        </w:tc>
        <w:tc>
          <w:tcPr>
            <w:tcW w:type="dxa" w:w="429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新手及研究者核心任务成功；私人内容不进入公共索引和普通日志。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 76 至 90 天</w:t>
            </w:r>
          </w:p>
        </w:tc>
        <w:tc>
          <w:tcPr>
            <w:tcW w:type="dxa" w:w="421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压测、成本复盘、恢复与删除演练、小范围公开试运行</w:t>
            </w:r>
          </w:p>
        </w:tc>
        <w:tc>
          <w:tcPr>
            <w:tcW w:type="dxa" w:w="429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联合签署上线清单；有回退包、联系人、监控和已验证的恢复记录。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首个可交付产品的范围</w:t>
      </w:r>
    </w:p>
    <w:p>
      <w:r>
        <w:rPr>
          <w:rFonts w:ascii="Noto Sans CJK SC" w:hAnsi="Noto Sans CJK SC" w:eastAsia="Noto Sans CJK SC"/>
          <w:b w:val="0"/>
          <w:color w:val="000000"/>
        </w:rPr>
        <w:t>交付联合目录、合法的全文阅读与下载、关键词和语义搜索、带原文证据的问答、基本多版本对照、个人书架和内容纠错。用户不需要注册即可搜索与阅读公开内容。管理员可以管理权利、暂停来源、撤回资源并查看处理失败。</w:t>
      </w:r>
    </w:p>
    <w:p>
      <w:pPr>
        <w:pStyle w:val="Heading2"/>
      </w:pPr>
      <w:r>
        <w:t>首期明确不做</w:t>
      </w:r>
    </w:p>
    <w:p>
      <w:r>
        <w:rPr>
          <w:rFonts w:ascii="Noto Sans CJK SC" w:hAnsi="Noto Sans CJK SC" w:eastAsia="Noto Sans CJK SC"/>
          <w:b w:val="0"/>
          <w:color w:val="000000"/>
        </w:rPr>
        <w:t>不开展无限制全球抓取，不承诺覆盖所有语种，不把每个来源自动变成镜像，不训练自有基础模型，不建设精神成就评分，不开展需要高风险身体实践的自动指导，不建立未经核验的师者市场。直播、实时语音导师、大规模社区与商业课程体系须另行立项。</w:t>
      </w:r>
    </w:p>
    <w:p>
      <w:r>
        <w:rPr>
          <w:rFonts w:ascii="Noto Sans CJK SC" w:hAnsi="Noto Sans CJK SC" w:eastAsia="Noto Sans CJK SC"/>
          <w:b w:val="0"/>
          <w:color w:val="000000"/>
        </w:rPr>
        <w:t>工程推进与合作谈判并行，但不能把谈判中的内容提前放进生产。上线仅是受控试运行的开始；之后按月发布覆盖和质量报告，按季度复核权利、成本、语言偏差与治理结构。</w:t>
      </w:r>
    </w:p>
    <w:p>
      <w:pPr>
        <w:pStyle w:val="Heading1"/>
        <w:pageBreakBefore/>
      </w:pPr>
      <w:r>
        <w:t>10 验收 风险与待决策事项</w:t>
      </w:r>
    </w:p>
    <w:p>
      <w:r>
        <w:rPr>
          <w:rFonts w:ascii="Noto Sans CJK SC" w:hAnsi="Noto Sans CJK SC" w:eastAsia="Noto Sans CJK SC"/>
          <w:b w:val="0"/>
          <w:color w:val="000000"/>
        </w:rPr>
        <w:t>以下是建议的试点验收门槛，需在第 15 天前由产品、工程、学术与权利负责人确认。先固定测试集与计量方法，再评估，避免上线后移动标准。质量指标分别按语种、来源类型和难度报告，不用平均数掩盖小语种失败。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8539"/>
      </w:tblGrid>
      <w:tr>
        <w:trPr>
          <w:tblHeader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建议门槛与证据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权利与溯源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公开内容 100% 具备来源、许可状态、用途规则及版本；unknown 无法发布。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精确检索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已知典籍编号与标题测试集前 3 结果命中率至少 95%；异名与版本单独统计。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语义检索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由本语专家标注的测试集建立基线；前 10 结果召回目标至少 85%，逐语种验收。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证据问答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人工抽评至少 200 题；关键事实引用正确率目标至少 95%，无证据问题能拒绝编造。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权限与安全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越权读取和受限内容泄露测试必须为 0；提示注入和文件上传攻击有阻断证据。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撤回与恢复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演示一次内容及衍生索引撤回、一次私密数据删除、一次可用的备份恢复。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体验与无障碍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代表性新手、研究者和师者完成核心任务；键盘与字幕检查无阻断缺陷。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运营与成本</w:t>
            </w:r>
          </w:p>
        </w:tc>
        <w:tc>
          <w:tcPr>
            <w:tcW w:type="dxa" w:w="853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真实用量与账单映射、预算告警、降级和回退演练完成；不留无主事故告警。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最重要的风险</w:t>
      </w:r>
    </w:p>
    <w:p>
      <w:r>
        <w:rPr>
          <w:rFonts w:ascii="Noto Sans CJK SC" w:hAnsi="Noto Sans CJK SC" w:eastAsia="Noto Sans CJK SC"/>
          <w:b w:val="0"/>
          <w:color w:val="000000"/>
        </w:rPr>
        <w:t>权利误判可导致整个集合下线；过度依赖单一供应商会削弱文化资料的长期保存；低质量 OCR 和跨语误译会把错误放大为可信答案；来源与传统偏差会形成虚假的唯一佛学叙事；AI 与师者身份混淆可能伤害脆弱用户。对应措施分别是用途闸门、可导出与独立备份、分语言评测、来源多元和显式真人治理。</w:t>
      </w:r>
    </w:p>
    <w:p>
      <w:pPr>
        <w:pStyle w:val="Heading2"/>
      </w:pPr>
      <w:r>
        <w:t>建议发起人先确定的六项选择</w:t>
      </w:r>
    </w:p>
    <w:p>
      <w:r>
        <w:rPr>
          <w:rFonts w:ascii="Noto Sans CJK SC" w:hAnsi="Noto Sans CJK SC" w:eastAsia="Noto Sans CJK SC"/>
          <w:b w:val="0"/>
          <w:color w:val="000000"/>
        </w:rPr>
        <w:t>一是项目的公益与商业边界；二是第一期传统、语种和合作来源；三是首期云与人工预算上限；四是谁对权利、学术和安全分别负责；五是是否需要中国大陆独立部署与合规路径；六是何时批准进入独立测试环境的实施。确认这些即可开始有限试点，无需等待‘全世界数据’齐备。</w:t>
      </w:r>
    </w:p>
    <w:p>
      <w:r>
        <w:rPr>
          <w:rFonts w:ascii="Noto Sans CJK SC" w:hAnsi="Noto Sans CJK SC" w:eastAsia="Noto Sans CJK SC"/>
          <w:b w:val="0"/>
          <w:color w:val="000000"/>
        </w:rPr>
        <w:t>资料是否可以采集、功能是否可以上线、是否新增付费服务，均以对应的明确授权为准。三份设计文档用于建立共同基线，不把未决定事项自动转成执行指令。</w:t>
      </w:r>
    </w:p>
    <w:p>
      <w:pPr>
        <w:pStyle w:val="Heading1"/>
        <w:pageBreakBefore/>
      </w:pPr>
      <w:r>
        <w:t>11 开发 Backlog 与工作量口径</w:t>
      </w:r>
    </w:p>
    <w:p>
      <w:r>
        <w:rPr>
          <w:rFonts w:ascii="Noto Sans CJK SC" w:hAnsi="Noto Sans CJK SC" w:eastAsia="Noto Sans CJK SC"/>
          <w:b w:val="0"/>
          <w:color w:val="000000"/>
        </w:rPr>
        <w:t>完整 backlog 包含 45 项：P0 28 项、P1 11 项、P2 6 项。配套 backlog.md、backlog.json 和 backlog.csv 是逐项维护入口，包含 ID、角色、直接依赖、交付物、验收、主动人日范围、估算假设和状态；本文件保留优先级与规模摘要，不复制易漂移的全部长验收文字。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792"/>
        <w:gridCol w:w="2160"/>
        <w:gridCol w:w="6062"/>
      </w:tblGrid>
      <w:tr>
        <w:trPr>
          <w:tblHeader/>
        </w:trPr>
        <w:tc>
          <w:tcPr>
            <w:tcW w:type="dxa" w:w="11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79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粗略主动人日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范围含义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79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64 至 136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首个可信文本闭环和旧站保护。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79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43 至 89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按证据选择 OCR、影音或教学扩展。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79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35 至 84</w:t>
            </w:r>
          </w:p>
        </w:tc>
        <w:tc>
          <w:tcPr>
            <w:tcW w:type="dxa" w:w="606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研究性扩展，另行论证与立项。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  <w:t>这些范围不是报价或日历工期。假设持续投入的产品负责人、约 3 名跨前后端与数据 AI 工程师、设计支持、内容与许可负责人及兼职多传统顾问；不含外部授权、采购、账户接入、未知旧站修复及等待。先对账复用已有成果，再拆分重估；不能承诺全部 45 项在 90 天交付。</w:t>
      </w:r>
    </w:p>
    <w:p>
      <w:pPr>
        <w:pStyle w:val="Heading2"/>
      </w:pPr>
      <w:r>
        <w:t>关键依赖和第一出口</w:t>
      </w:r>
    </w:p>
    <w:p>
      <w:r>
        <w:rPr>
          <w:rFonts w:ascii="Noto Sans CJK SC" w:hAnsi="Noto Sans CJK SC" w:eastAsia="Noto Sans CJK SC"/>
          <w:b w:val="0"/>
          <w:color w:val="000000"/>
        </w:rPr>
        <w:t>主链为 DG 005 007 008 → 009 010 011 → 012 013 014 015 → 016 017 018 → 019 020 021 → 022 023 → 028。旧站保护 DG 001 至 004、身份隐私 DG 006 026、预算 DG 027 并行汇合。P0 出口是 DG 028 的完整业务验收，而不是某次模型输出或 CI 成功。</w:t>
      </w:r>
    </w:p>
    <w:p>
      <w:pPr>
        <w:pStyle w:val="Heading2"/>
      </w:pPr>
      <w:r>
        <w:t>统一完成定义</w:t>
      </w:r>
    </w:p>
    <w:p>
      <w:r>
        <w:rPr>
          <w:rFonts w:ascii="Noto Sans CJK SC" w:hAnsi="Noto Sans CJK SC" w:eastAsia="Noto Sans CJK SC"/>
          <w:b w:val="0"/>
          <w:color w:val="000000"/>
        </w:rPr>
        <w:t>每项完成须附代码或配置版本、测试命令与数据集、执行时间、实际结果和审阅人。开发完成、生产执行、业务验收分开标记；待核或阻塞项保留理由与责任人，不能用计划日期代替完成证据。影音保持 P1，不阻塞文本 MVP。</w:t>
      </w:r>
    </w:p>
    <w:p>
      <w:r>
        <w:rPr>
          <w:rFonts w:ascii="Noto Sans CJK SC" w:hAnsi="Noto Sans CJK SC" w:eastAsia="Noto Sans CJK SC"/>
          <w:b w:val="0"/>
          <w:color w:val="000000"/>
        </w:rPr>
        <w:t>本项目不自动创建 GitHub Issues；当前 backlog 以同一仓库内可编辑文件管理。若后续转为 issues，需保留 DG ID、依赖和原验收，不重新编号造成断链。</w:t>
      </w:r>
    </w:p>
    <w:p>
      <w:pPr>
        <w:pStyle w:val="Heading1"/>
        <w:pageBreakBefore/>
      </w:pPr>
      <w:r>
        <w:t>12 Backlog 导航 1 至 15</w:t>
      </w:r>
    </w:p>
    <w:p>
      <w:r>
        <w:rPr>
          <w:rFonts w:ascii="Noto Sans CJK SC" w:hAnsi="Noto Sans CJK SC" w:eastAsia="Noto Sans CJK SC"/>
          <w:b w:val="0"/>
          <w:color w:val="000000"/>
        </w:rPr>
        <w:t>完整交付与验收请以同项目 backlog.md 或结构化 CSV 和 JSON 为准。本表仅作导航；所有状态均为待对账的建议计划。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3"/>
        <w:gridCol w:w="806"/>
        <w:gridCol w:w="4853"/>
        <w:gridCol w:w="2189"/>
        <w:gridCol w:w="1195"/>
      </w:tblGrid>
      <w:tr>
        <w:trPr>
          <w:tblHeader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ID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人日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DG-001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核对旧站生产基线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发布工程师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 至 2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DG-002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建立新旧路由兼容测试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全栈工程师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DG-003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准备安全发布与回退方案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发布工程师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DG-004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阻止候选配置污染生产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发布工程师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 至 3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DG-005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建立环境隔离与配置模板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平台工程师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DG-006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实现身份与租户边界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后端工程师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DG-007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定义作品版本证据数据模型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DG-008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建立R2原件与衍生物存储规范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平台工程师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DG-009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建立逐来源权利登记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内容与许可负责人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DG-010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选定首批有限授权语料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内容编辑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DG-011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实现发布前权利闸门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后端工程师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DG-012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实现首个合规来源适配器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DG-013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建立幂等采集与处理队列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平台工程师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DG-014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规范化文本并保留原貌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DG-015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建立去重与版本更新机制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1"/>
        <w:pageBreakBefore/>
      </w:pPr>
      <w:r>
        <w:t>13 Backlog 导航 16 至 30</w:t>
      </w:r>
    </w:p>
    <w:p>
      <w:r>
        <w:rPr>
          <w:rFonts w:ascii="Noto Sans CJK SC" w:hAnsi="Noto Sans CJK SC" w:eastAsia="Noto Sans CJK SC"/>
          <w:b w:val="0"/>
          <w:color w:val="000000"/>
        </w:rPr>
        <w:t>完整交付与验收请以同项目 backlog.md 或结构化 CSV 和 JSON 为准。本表仅作导航；所有状态均为待对账的建议计划。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3"/>
        <w:gridCol w:w="806"/>
        <w:gridCol w:w="4853"/>
        <w:gridCol w:w="2189"/>
        <w:gridCol w:w="1195"/>
      </w:tblGrid>
      <w:tr>
        <w:trPr>
          <w:tblHeader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ID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人日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DG-016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建立带权利过滤的检索索引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检索工程师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DG-017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实现混合检索与可解释过滤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检索工程师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DG-018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实现稳定引用定位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后端工程师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DG-019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实现证据约束问答流程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7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DG-020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实现跨传统与安全回答边界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AI工程师与内容顾问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DG-021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建立预发布质量与权限测试集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评测负责人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DG-022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实现统一搜索与资料结果页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前端工程师与设计师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DG-023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实现有出处的阅读与问答界面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前端工程师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DG-024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实现最小私人书房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全栈工程师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DG-025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建立资料纠错与反馈闭环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全栈工程师与内容编辑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DG-026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落实隐私最小化与数据访问审计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安全与后端工程师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DG-027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建立成本可观测与故障保护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平台工程师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DG-028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验收首个上线闭环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产品与发布负责人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DG-029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增加扫描资料OCR及人工抽检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数据工程师与编辑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至 9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DG-030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增加影音转写与术语校正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音频AI工程师与编辑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至 9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1"/>
        <w:pageBreakBefore/>
      </w:pPr>
      <w:r>
        <w:t>14 Backlog 导航 31 至 45</w:t>
      </w:r>
    </w:p>
    <w:p>
      <w:r>
        <w:rPr>
          <w:rFonts w:ascii="Noto Sans CJK SC" w:hAnsi="Noto Sans CJK SC" w:eastAsia="Noto Sans CJK SC"/>
          <w:b w:val="0"/>
          <w:color w:val="000000"/>
        </w:rPr>
        <w:t>完整交付与验收请以同项目 backlog.md 或结构化 CSV 和 JSON 为准。本表仅作导航；所有状态均为待对账的建议计划。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3"/>
        <w:gridCol w:w="806"/>
        <w:gridCol w:w="4853"/>
        <w:gridCol w:w="2189"/>
        <w:gridCol w:w="1195"/>
      </w:tblGrid>
      <w:tr>
        <w:trPr>
          <w:tblHeader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ID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人日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DG-031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建设R2影音播放器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媒体与前端工程师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至 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DG-032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实现影音时间码检索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检索与前端工程师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DG-033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增加原文与异译对照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前端工程师与内容编辑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至 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DG-034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建立法师教师审核工作台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全栈工程师与教研负责人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至 9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DG-035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试点三条人本学习路径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教研与设计负责人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至 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DG-036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建立机构资料接入工作流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合作与后端负责人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至 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DG-037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扩展多语言检索评测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检索工程师与语言编辑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 至 10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DG-038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扩展多来源影音权利清退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后端与数据工程师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至 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DG-039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开展真实试点与成本优化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产品与评测负责人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至 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DG-040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建设人工可审校知识关系图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知识工程师与研究编辑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8 至 18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DG-041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扩展跨馆藏版本对齐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数据工程师与文献专家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 至 15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DG-042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增加用户可控个性化建议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AI与隐私负责人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 至 12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DG-043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按实测瓶颈扩容与灾备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平台工程师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 至 15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DG-044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评估专用模型而非默认训练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AI研究与许可负责人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 至 12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DG-045</w:t>
            </w:r>
          </w:p>
        </w:tc>
        <w:tc>
          <w:tcPr>
            <w:tcW w:type="dxa" w:w="8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85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探索受治理的人类互助空间</w:t>
            </w:r>
          </w:p>
        </w:tc>
        <w:tc>
          <w:tcPr>
            <w:tcW w:type="dxa" w:w="21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产品与社区负责人</w:t>
            </w:r>
          </w:p>
        </w:tc>
        <w:tc>
          <w:tcPr>
            <w:tcW w:type="dxa" w:w="1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 至 12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1"/>
        <w:pageBreakBefore/>
      </w:pPr>
      <w:r>
        <w:t>15 资料与权利核验来源</w:t>
      </w:r>
    </w:p>
    <w:p>
      <w:r>
        <w:rPr>
          <w:rFonts w:ascii="Noto Sans CJK SC" w:hAnsi="Noto Sans CJK SC" w:eastAsia="Noto Sans CJK SC"/>
          <w:b w:val="0"/>
          <w:color w:val="000000"/>
        </w:rPr>
        <w:t>核验日期为 2026 年 10 月 25 日。链接指向官方政策、机构或官方代码仓库；每个集合的最终授权仍需按具体版本和用途核定。</w:t>
      </w:r>
    </w:p>
    <w:p>
      <w:pPr>
        <w:spacing w:after="120" w:line="252" w:lineRule="auto"/>
      </w:pPr>
      <w:hyperlink r:id="rId11">
        <w:r>
          <w:rPr>
            <w:rFonts w:ascii="Noto Sans CJK SC" w:eastAsia="Noto Sans CJK SC"/>
            <w:sz w:val="19"/>
            <w:color w:val="1F4E79"/>
          </w:rPr>
          <w:t>[B1] SuttaCentral Bilara 许可</w:t>
        </w:r>
      </w:hyperlink>
    </w:p>
    <w:p>
      <w:pPr>
        <w:spacing w:after="120" w:line="252" w:lineRule="auto"/>
      </w:pPr>
      <w:hyperlink r:id="rId12">
        <w:r>
          <w:rPr>
            <w:rFonts w:ascii="Noto Sans CJK SC" w:eastAsia="Noto Sans CJK SC"/>
            <w:sz w:val="19"/>
            <w:color w:val="1F4E79"/>
          </w:rPr>
          <w:t>[B2] CBETA 版权与例外集合</w:t>
        </w:r>
      </w:hyperlink>
    </w:p>
    <w:p>
      <w:pPr>
        <w:spacing w:after="120" w:line="252" w:lineRule="auto"/>
      </w:pPr>
      <w:hyperlink r:id="rId13">
        <w:r>
          <w:rPr>
            <w:rFonts w:ascii="Noto Sans CJK SC" w:eastAsia="Noto Sans CJK SC"/>
            <w:sz w:val="19"/>
            <w:color w:val="1F4E79"/>
          </w:rPr>
          <w:t>[B3] SAT 使用条款与不同数据库的规则</w:t>
        </w:r>
      </w:hyperlink>
    </w:p>
    <w:p>
      <w:pPr>
        <w:spacing w:after="120" w:line="252" w:lineRule="auto"/>
      </w:pPr>
      <w:hyperlink r:id="rId14">
        <w:r>
          <w:rPr>
            <w:rFonts w:ascii="Noto Sans CJK SC" w:eastAsia="Noto Sans CJK SC"/>
            <w:sz w:val="19"/>
            <w:color w:val="1F4E79"/>
          </w:rPr>
          <w:t>[B4] BDRC 访问政策</w:t>
        </w:r>
      </w:hyperlink>
    </w:p>
    <w:p>
      <w:pPr>
        <w:spacing w:after="120" w:line="252" w:lineRule="auto"/>
      </w:pPr>
      <w:hyperlink r:id="rId15">
        <w:r>
          <w:rPr>
            <w:rFonts w:ascii="Noto Sans CJK SC" w:eastAsia="Noto Sans CJK SC"/>
            <w:sz w:val="19"/>
            <w:color w:val="1F4E79"/>
          </w:rPr>
          <w:t>[B5] 84000 使用条款草案 不能作为最终授权</w:t>
        </w:r>
      </w:hyperlink>
    </w:p>
    <w:p>
      <w:pPr>
        <w:spacing w:after="120" w:line="252" w:lineRule="auto"/>
      </w:pPr>
      <w:hyperlink r:id="rId16">
        <w:r>
          <w:rPr>
            <w:rFonts w:ascii="Noto Sans CJK SC" w:eastAsia="Noto Sans CJK SC"/>
            <w:sz w:val="19"/>
            <w:color w:val="1F4E79"/>
          </w:rPr>
          <w:t>[B6] DILA Authority Databases 仓库与许可</w:t>
        </w:r>
      </w:hyperlink>
    </w:p>
    <w:p>
      <w:pPr>
        <w:spacing w:after="120" w:line="252" w:lineRule="auto"/>
      </w:pPr>
      <w:hyperlink r:id="rId17">
        <w:r>
          <w:rPr>
            <w:rFonts w:ascii="Noto Sans CJK SC" w:eastAsia="Noto Sans CJK SC"/>
            <w:sz w:val="19"/>
            <w:color w:val="1F4E79"/>
          </w:rPr>
          <w:t>[B7] SARIT 佛所行赞 TEI 文件与许可</w:t>
        </w:r>
      </w:hyperlink>
    </w:p>
    <w:p>
      <w:pPr>
        <w:spacing w:after="120" w:line="252" w:lineRule="auto"/>
      </w:pPr>
      <w:hyperlink r:id="rId18">
        <w:r>
          <w:rPr>
            <w:rFonts w:ascii="Noto Sans CJK SC" w:eastAsia="Noto Sans CJK SC"/>
            <w:sz w:val="19"/>
            <w:color w:val="1F4E79"/>
          </w:rPr>
          <w:t>[B8] GRETIL 佛所行赞数字版本</w:t>
        </w:r>
      </w:hyperlink>
    </w:p>
    <w:p>
      <w:pPr>
        <w:spacing w:after="120" w:line="252" w:lineRule="auto"/>
      </w:pPr>
      <w:hyperlink r:id="rId19">
        <w:r>
          <w:rPr>
            <w:rFonts w:ascii="Noto Sans CJK SC" w:eastAsia="Noto Sans CJK SC"/>
            <w:sz w:val="19"/>
            <w:color w:val="1F4E79"/>
          </w:rPr>
          <w:t>[B9] Access to Insight 常见问题与许可说明</w:t>
        </w:r>
      </w:hyperlink>
    </w:p>
    <w:p>
      <w:pPr>
        <w:spacing w:after="120" w:line="252" w:lineRule="auto"/>
      </w:pPr>
      <w:hyperlink r:id="rId20">
        <w:r>
          <w:rPr>
            <w:rFonts w:ascii="Noto Sans CJK SC" w:eastAsia="Noto Sans CJK SC"/>
            <w:sz w:val="19"/>
            <w:color w:val="1F4E79"/>
          </w:rPr>
          <w:t>[B10] Dhammatalks 资源与许可</w:t>
        </w:r>
      </w:hyperlink>
    </w:p>
    <w:p>
      <w:pPr>
        <w:spacing w:after="120" w:line="252" w:lineRule="auto"/>
      </w:pPr>
      <w:hyperlink r:id="rId21">
        <w:r>
          <w:rPr>
            <w:rFonts w:ascii="Noto Sans CJK SC" w:eastAsia="Noto Sans CJK SC"/>
            <w:sz w:val="19"/>
            <w:color w:val="1F4E79"/>
          </w:rPr>
          <w:t>[B11] 台大佛学数字图书馆著作权说明</w:t>
        </w:r>
      </w:hyperlink>
    </w:p>
    <w:p>
      <w:pPr>
        <w:spacing w:after="120" w:line="252" w:lineRule="auto"/>
      </w:pPr>
      <w:hyperlink r:id="rId22">
        <w:r>
          <w:rPr>
            <w:rFonts w:ascii="Noto Sans CJK SC" w:eastAsia="Noto Sans CJK SC"/>
            <w:sz w:val="19"/>
            <w:color w:val="1F4E79"/>
          </w:rPr>
          <w:t>[B12] YouTube API 开发者政策</w:t>
        </w:r>
      </w:hyperlink>
    </w:p>
    <w:p>
      <w:pPr>
        <w:spacing w:after="120" w:line="252" w:lineRule="auto"/>
      </w:pPr>
      <w:hyperlink r:id="rId23">
        <w:r>
          <w:rPr>
            <w:rFonts w:ascii="Noto Sans CJK SC" w:eastAsia="Noto Sans CJK SC"/>
            <w:sz w:val="19"/>
            <w:color w:val="1F4E79"/>
          </w:rPr>
          <w:t>[B13] BDRC BUDA 本体与 CC0 许可</w:t>
        </w:r>
      </w:hyperlink>
    </w:p>
    <w:p>
      <w:pPr>
        <w:spacing w:after="120" w:line="252" w:lineRule="auto"/>
      </w:pPr>
      <w:hyperlink r:id="rId24">
        <w:r>
          <w:rPr>
            <w:rFonts w:ascii="Noto Sans CJK SC" w:eastAsia="Noto Sans CJK SC"/>
            <w:sz w:val="19"/>
            <w:color w:val="1F4E79"/>
          </w:rPr>
          <w:t>[B14] British Library 使用条款与逐项权利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设计提案  2026 年 10 月 25 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DHARMAGATE   全球佛学资料与可信学习服务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40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uttacentral/bilara-data/blob/published/LICENSE.md" TargetMode="External"/><Relationship Id="rId12" Type="http://schemas.openxmlformats.org/officeDocument/2006/relationships/hyperlink" Target="https://cbeta.org/copyright" TargetMode="External"/><Relationship Id="rId13" Type="http://schemas.openxmlformats.org/officeDocument/2006/relationships/hyperlink" Target="https://21dzk.l.u-tokyo.ac.jp/SAT/termsofuse.html" TargetMode="External"/><Relationship Id="rId14" Type="http://schemas.openxmlformats.org/officeDocument/2006/relationships/hyperlink" Target="https://www.bdrc.io/access-policies/" TargetMode="External"/><Relationship Id="rId15" Type="http://schemas.openxmlformats.org/officeDocument/2006/relationships/hyperlink" Target="https://84000.co/documents/terms-of-use" TargetMode="External"/><Relationship Id="rId16" Type="http://schemas.openxmlformats.org/officeDocument/2006/relationships/hyperlink" Target="https://github.com/DILA-edu/Authority-Databases" TargetMode="External"/><Relationship Id="rId17" Type="http://schemas.openxmlformats.org/officeDocument/2006/relationships/hyperlink" Target="https://github.com/sarit/SARIT-corpus/blob/master/asvaghosa-buddhacarita.xml" TargetMode="External"/><Relationship Id="rId18" Type="http://schemas.openxmlformats.org/officeDocument/2006/relationships/hyperlink" Target="https://gretil.sub.uni-goettingen.de/gretil/corpustei/transformations/html/sa_azvaghoSa-buddhacarita.htm" TargetMode="External"/><Relationship Id="rId19" Type="http://schemas.openxmlformats.org/officeDocument/2006/relationships/hyperlink" Target="https://accesstoinsight.org/faq.html" TargetMode="External"/><Relationship Id="rId20" Type="http://schemas.openxmlformats.org/officeDocument/2006/relationships/hyperlink" Target="https://www.dhammatalks.org/" TargetMode="External"/><Relationship Id="rId21" Type="http://schemas.openxmlformats.org/officeDocument/2006/relationships/hyperlink" Target="https://buddhism.lib.ntu.edu.tw/copyright2.htm" TargetMode="External"/><Relationship Id="rId22" Type="http://schemas.openxmlformats.org/officeDocument/2006/relationships/hyperlink" Target="https://developers.google.com/youtube/terms/developer-policies" TargetMode="External"/><Relationship Id="rId23" Type="http://schemas.openxmlformats.org/officeDocument/2006/relationships/hyperlink" Target="https://github.com/buda-base/owl-schema" TargetMode="External"/><Relationship Id="rId24" Type="http://schemas.openxmlformats.org/officeDocument/2006/relationships/hyperlink" Target="https://www.bl.uk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Dharmagate 产品定义</dc:title>
  <dc:subject>全球联合目录 合法保存 证据人工智能 人本修学</dc:subject>
  <dc:creator>Dharmagate 方案设计</dc:creator>
  <cp:keywords>Dharmagate,Cloudflare,佛学,联合目录,RAG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